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7D45" w14:textId="75886885" w:rsidR="007942AC" w:rsidRDefault="007942AC" w:rsidP="007942AC">
      <w:pPr>
        <w:jc w:val="center"/>
        <w:rPr>
          <w:color w:val="000000" w:themeColor="text1"/>
          <w:sz w:val="44"/>
          <w:szCs w:val="44"/>
          <w:u w:val="single"/>
        </w:rPr>
      </w:pPr>
      <w:r>
        <w:rPr>
          <w:sz w:val="44"/>
          <w:szCs w:val="44"/>
          <w:u w:val="single"/>
        </w:rPr>
        <w:t xml:space="preserve">2022-2023 Summer </w:t>
      </w:r>
      <w:r>
        <w:rPr>
          <w:color w:val="000000" w:themeColor="text1"/>
          <w:sz w:val="44"/>
          <w:szCs w:val="44"/>
          <w:u w:val="single"/>
        </w:rPr>
        <w:t>Term Data Report</w:t>
      </w:r>
    </w:p>
    <w:p w14:paraId="60FD7976" w14:textId="06B5A524" w:rsidR="007942AC" w:rsidRDefault="007942AC" w:rsidP="007942AC">
      <w:pPr>
        <w:pStyle w:val="ListParagraph"/>
        <w:numPr>
          <w:ilvl w:val="0"/>
          <w:numId w:val="1"/>
        </w:numPr>
        <w:rPr>
          <w:i/>
        </w:rPr>
      </w:pPr>
      <w:r>
        <w:t>Key OFSTED action</w:t>
      </w:r>
      <w:r w:rsidR="00F71BD9">
        <w:t xml:space="preserve"> from 2017 inspection</w:t>
      </w:r>
      <w:r>
        <w:t xml:space="preserve">: </w:t>
      </w:r>
      <w:r>
        <w:rPr>
          <w:i/>
        </w:rPr>
        <w:t>‘Introduce an assessment system, which allows teachers to record clear evidence of progress against pupils’ personalised small steps of learning in their re-written Education, Health and Care Plans, reflecting the whole breadth of the curriculum in the school.’</w:t>
      </w:r>
    </w:p>
    <w:p w14:paraId="772982F3" w14:textId="34FC93E0" w:rsidR="007942AC" w:rsidRDefault="007942AC" w:rsidP="007942AC">
      <w:pPr>
        <w:pStyle w:val="ListParagraph"/>
        <w:numPr>
          <w:ilvl w:val="0"/>
          <w:numId w:val="1"/>
        </w:numPr>
      </w:pPr>
      <w:r>
        <w:t xml:space="preserve">The report is based on data returns for </w:t>
      </w:r>
      <w:r w:rsidRPr="00F71BD9">
        <w:t>20</w:t>
      </w:r>
      <w:r w:rsidR="00D65C51" w:rsidRPr="00F71BD9">
        <w:t>9</w:t>
      </w:r>
      <w:r w:rsidRPr="001C5919">
        <w:t xml:space="preserve"> </w:t>
      </w:r>
      <w:r>
        <w:t>of the 213 students on roll</w:t>
      </w:r>
      <w:r w:rsidR="00D65C51">
        <w:t xml:space="preserve"> (</w:t>
      </w:r>
      <w:r w:rsidR="00B71709">
        <w:t>three</w:t>
      </w:r>
      <w:r w:rsidR="00D65C51">
        <w:t xml:space="preserve"> are home-educated with a tutor and </w:t>
      </w:r>
      <w:r w:rsidR="00B71709">
        <w:t>one</w:t>
      </w:r>
      <w:r w:rsidR="00D65C51">
        <w:t xml:space="preserve"> is a new starter in the Summer Term) </w:t>
      </w:r>
    </w:p>
    <w:p w14:paraId="0E919160" w14:textId="77777777" w:rsidR="007942AC" w:rsidRDefault="007942AC" w:rsidP="007942AC">
      <w:pPr>
        <w:pStyle w:val="ListParagraph"/>
        <w:numPr>
          <w:ilvl w:val="0"/>
          <w:numId w:val="1"/>
        </w:numPr>
      </w:pPr>
      <w:r>
        <w:t xml:space="preserve">Teachers are required to make two judgements: </w:t>
      </w:r>
    </w:p>
    <w:p w14:paraId="0182D556" w14:textId="66A7E039" w:rsidR="007942AC" w:rsidRDefault="007942AC" w:rsidP="007942AC">
      <w:pPr>
        <w:pStyle w:val="ListParagraph"/>
        <w:numPr>
          <w:ilvl w:val="1"/>
          <w:numId w:val="1"/>
        </w:numPr>
      </w:pPr>
      <w:r>
        <w:t xml:space="preserve">For each </w:t>
      </w:r>
      <w:r w:rsidR="00D65C51">
        <w:t>personalised learning goal,</w:t>
      </w:r>
      <w:r>
        <w:t xml:space="preserve"> is the student ‘on track’ to reach their ‘Expected Outcome’? </w:t>
      </w:r>
    </w:p>
    <w:p w14:paraId="133F0655" w14:textId="77777777" w:rsidR="007942AC" w:rsidRDefault="007942AC" w:rsidP="007942AC">
      <w:pPr>
        <w:pStyle w:val="ListParagraph"/>
        <w:numPr>
          <w:ilvl w:val="0"/>
          <w:numId w:val="2"/>
        </w:numPr>
      </w:pPr>
      <w:r>
        <w:t xml:space="preserve">If the student is ‘not on track’, why? </w:t>
      </w:r>
    </w:p>
    <w:p w14:paraId="73E2A64C" w14:textId="34648E1B" w:rsidR="007942AC" w:rsidRDefault="007942AC" w:rsidP="007942AC">
      <w:pPr>
        <w:pStyle w:val="ListParagraph"/>
        <w:numPr>
          <w:ilvl w:val="0"/>
          <w:numId w:val="1"/>
        </w:numPr>
      </w:pPr>
      <w:r>
        <w:t>Teachers’ deadline for submission of data was 14.07.23</w:t>
      </w:r>
    </w:p>
    <w:p w14:paraId="59129886" w14:textId="45534E33" w:rsidR="007942AC" w:rsidRDefault="007942AC" w:rsidP="007942AC">
      <w:pPr>
        <w:pStyle w:val="ListParagraph"/>
        <w:numPr>
          <w:ilvl w:val="0"/>
          <w:numId w:val="1"/>
        </w:numPr>
      </w:pPr>
      <w:r>
        <w:t xml:space="preserve">Week commencing </w:t>
      </w:r>
      <w:r w:rsidR="00B71709" w:rsidRPr="00B71709">
        <w:t>17.07</w:t>
      </w:r>
      <w:r w:rsidRPr="00B71709">
        <w:t>.23</w:t>
      </w:r>
      <w:r>
        <w:t xml:space="preserve">, AHTs and middle leaders conducted learning conversation meetings with individual teachers in their pathway to: </w:t>
      </w:r>
    </w:p>
    <w:p w14:paraId="397225EC" w14:textId="77777777" w:rsidR="007942AC" w:rsidRDefault="007942AC" w:rsidP="007942AC">
      <w:pPr>
        <w:pStyle w:val="ListParagraph"/>
        <w:numPr>
          <w:ilvl w:val="1"/>
          <w:numId w:val="1"/>
        </w:numPr>
      </w:pPr>
      <w:r>
        <w:t xml:space="preserve">Verify their returns. </w:t>
      </w:r>
    </w:p>
    <w:p w14:paraId="6B258F05" w14:textId="77777777" w:rsidR="007942AC" w:rsidRDefault="007942AC" w:rsidP="007942AC">
      <w:pPr>
        <w:pStyle w:val="ListParagraph"/>
        <w:numPr>
          <w:ilvl w:val="1"/>
          <w:numId w:val="1"/>
        </w:numPr>
      </w:pPr>
      <w:r>
        <w:t>Review the evidence-base for their judgements</w:t>
      </w:r>
    </w:p>
    <w:p w14:paraId="1AECAD2D" w14:textId="77777777" w:rsidR="007942AC" w:rsidRDefault="007942AC" w:rsidP="007942AC">
      <w:pPr>
        <w:pStyle w:val="ListParagraph"/>
        <w:numPr>
          <w:ilvl w:val="1"/>
          <w:numId w:val="1"/>
        </w:numPr>
      </w:pPr>
      <w:r>
        <w:t>Agree strategies to address underachievement</w:t>
      </w:r>
    </w:p>
    <w:p w14:paraId="04BC62A8" w14:textId="77777777" w:rsidR="007942AC" w:rsidRDefault="007942AC" w:rsidP="007942AC">
      <w:pPr>
        <w:pStyle w:val="ListParagraph"/>
        <w:numPr>
          <w:ilvl w:val="1"/>
          <w:numId w:val="1"/>
        </w:numPr>
      </w:pPr>
      <w:r>
        <w:t>Review last terms underachievement</w:t>
      </w:r>
    </w:p>
    <w:p w14:paraId="4A216933" w14:textId="7AA9003D" w:rsidR="007942AC" w:rsidRDefault="007942AC" w:rsidP="007942AC">
      <w:pPr>
        <w:pStyle w:val="ListParagraph"/>
        <w:numPr>
          <w:ilvl w:val="0"/>
          <w:numId w:val="1"/>
        </w:numPr>
      </w:pPr>
      <w:r>
        <w:t xml:space="preserve">The data presented in this report is analysed against the </w:t>
      </w:r>
      <w:r w:rsidR="00B71709">
        <w:t>three</w:t>
      </w:r>
      <w:r>
        <w:t xml:space="preserve"> criteria used in previous reports:</w:t>
      </w:r>
    </w:p>
    <w:p w14:paraId="7ECD9CC5" w14:textId="77777777" w:rsidR="007942AC" w:rsidRDefault="007942AC" w:rsidP="007942AC">
      <w:pPr>
        <w:pStyle w:val="ListParagraph"/>
        <w:numPr>
          <w:ilvl w:val="1"/>
          <w:numId w:val="1"/>
        </w:numPr>
      </w:pPr>
      <w:r>
        <w:t>EHCP domain</w:t>
      </w:r>
    </w:p>
    <w:p w14:paraId="31042A34" w14:textId="77777777" w:rsidR="007942AC" w:rsidRDefault="007942AC" w:rsidP="007942AC">
      <w:pPr>
        <w:pStyle w:val="ListParagraph"/>
        <w:numPr>
          <w:ilvl w:val="1"/>
          <w:numId w:val="1"/>
        </w:numPr>
      </w:pPr>
      <w:r>
        <w:t>Pupil Premium/LAC</w:t>
      </w:r>
    </w:p>
    <w:p w14:paraId="07D3D174" w14:textId="77777777" w:rsidR="007942AC" w:rsidRDefault="007942AC" w:rsidP="007942AC">
      <w:pPr>
        <w:pStyle w:val="ListParagraph"/>
        <w:numPr>
          <w:ilvl w:val="1"/>
          <w:numId w:val="1"/>
        </w:numPr>
        <w:spacing w:after="0"/>
      </w:pPr>
      <w:r>
        <w:t>Curriculum Pathway</w:t>
      </w:r>
    </w:p>
    <w:p w14:paraId="25D88704" w14:textId="749A8556" w:rsidR="006F2304" w:rsidRDefault="006F2304"/>
    <w:p w14:paraId="66FA1FB0" w14:textId="249E8F10" w:rsidR="007942AC" w:rsidRDefault="007942AC"/>
    <w:p w14:paraId="71E31068" w14:textId="2EF95D71" w:rsidR="007942AC" w:rsidRDefault="007942AC"/>
    <w:p w14:paraId="2F82950A" w14:textId="3F9C6412" w:rsidR="007942AC" w:rsidRDefault="007942AC"/>
    <w:p w14:paraId="6DB7CC4B" w14:textId="3F255D92" w:rsidR="007942AC" w:rsidRDefault="007942AC"/>
    <w:p w14:paraId="17837B7D" w14:textId="2A252EE5" w:rsidR="007942AC" w:rsidRDefault="007942AC"/>
    <w:p w14:paraId="6F84E1C7" w14:textId="57D68049" w:rsidR="007942AC" w:rsidRDefault="007942AC"/>
    <w:p w14:paraId="5B04470F" w14:textId="4E2702C9" w:rsidR="007942AC" w:rsidRDefault="007942AC"/>
    <w:p w14:paraId="1A44CCD4" w14:textId="5C72A593" w:rsidR="007942AC" w:rsidRDefault="007942AC"/>
    <w:p w14:paraId="7A2478DF" w14:textId="73C0BCBA" w:rsidR="007942AC" w:rsidRDefault="007942AC" w:rsidP="007942AC">
      <w:pPr>
        <w:rPr>
          <w:b/>
          <w:u w:val="single"/>
        </w:rPr>
      </w:pPr>
      <w:r>
        <w:rPr>
          <w:b/>
          <w:u w:val="single"/>
        </w:rPr>
        <w:lastRenderedPageBreak/>
        <w:t>Section 1 – EHCP Domain</w:t>
      </w:r>
    </w:p>
    <w:tbl>
      <w:tblPr>
        <w:tblpPr w:leftFromText="180" w:rightFromText="180" w:vertAnchor="page" w:horzAnchor="margin" w:tblpY="2701"/>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701"/>
        <w:gridCol w:w="1701"/>
        <w:gridCol w:w="1572"/>
      </w:tblGrid>
      <w:tr w:rsidR="007942AC" w14:paraId="07C67F15" w14:textId="77777777" w:rsidTr="007942AC">
        <w:trPr>
          <w:trHeight w:val="283"/>
        </w:trPr>
        <w:tc>
          <w:tcPr>
            <w:tcW w:w="4673" w:type="dxa"/>
            <w:shd w:val="clear" w:color="auto" w:fill="D9D9D9" w:themeFill="background1" w:themeFillShade="D9"/>
            <w:noWrap/>
            <w:vAlign w:val="bottom"/>
            <w:hideMark/>
          </w:tcPr>
          <w:p w14:paraId="3E843E02" w14:textId="77777777" w:rsidR="007942AC" w:rsidRDefault="007942AC" w:rsidP="007942AC">
            <w:pPr>
              <w:spacing w:after="0" w:line="240" w:lineRule="auto"/>
              <w:rPr>
                <w:rFonts w:eastAsia="Times New Roman" w:cs="Calibri"/>
                <w:b/>
                <w:sz w:val="22"/>
                <w:lang w:eastAsia="en-GB"/>
              </w:rPr>
            </w:pPr>
            <w:r>
              <w:rPr>
                <w:rFonts w:eastAsia="Times New Roman" w:cs="Calibri"/>
                <w:b/>
                <w:sz w:val="22"/>
                <w:lang w:eastAsia="en-GB"/>
              </w:rPr>
              <w:t>EHCP Domains</w:t>
            </w:r>
          </w:p>
        </w:tc>
        <w:tc>
          <w:tcPr>
            <w:tcW w:w="1701" w:type="dxa"/>
            <w:shd w:val="clear" w:color="auto" w:fill="D9D9D9" w:themeFill="background1" w:themeFillShade="D9"/>
            <w:noWrap/>
            <w:vAlign w:val="bottom"/>
            <w:hideMark/>
          </w:tcPr>
          <w:p w14:paraId="724BB149" w14:textId="77777777" w:rsidR="007942AC" w:rsidRDefault="007942AC" w:rsidP="007942AC">
            <w:pPr>
              <w:spacing w:after="0" w:line="240" w:lineRule="auto"/>
              <w:jc w:val="center"/>
              <w:rPr>
                <w:rFonts w:eastAsia="Times New Roman" w:cs="Calibri"/>
                <w:b/>
                <w:sz w:val="22"/>
                <w:lang w:eastAsia="en-GB"/>
              </w:rPr>
            </w:pPr>
            <w:r>
              <w:rPr>
                <w:rFonts w:eastAsia="Times New Roman" w:cs="Calibri"/>
                <w:b/>
                <w:sz w:val="22"/>
                <w:lang w:eastAsia="en-GB"/>
              </w:rPr>
              <w:t>Not on T</w:t>
            </w:r>
            <w:r>
              <w:rPr>
                <w:b/>
                <w:sz w:val="22"/>
              </w:rPr>
              <w:t>rack</w:t>
            </w:r>
          </w:p>
        </w:tc>
        <w:tc>
          <w:tcPr>
            <w:tcW w:w="1701" w:type="dxa"/>
            <w:shd w:val="clear" w:color="auto" w:fill="D9D9D9" w:themeFill="background1" w:themeFillShade="D9"/>
            <w:noWrap/>
            <w:vAlign w:val="bottom"/>
            <w:hideMark/>
          </w:tcPr>
          <w:p w14:paraId="5CDD2033" w14:textId="77777777" w:rsidR="007942AC" w:rsidRDefault="007942AC" w:rsidP="007942AC">
            <w:pPr>
              <w:spacing w:after="0" w:line="240" w:lineRule="auto"/>
              <w:jc w:val="center"/>
              <w:rPr>
                <w:rFonts w:eastAsia="Times New Roman" w:cs="Calibri"/>
                <w:b/>
                <w:sz w:val="22"/>
                <w:lang w:eastAsia="en-GB"/>
              </w:rPr>
            </w:pPr>
            <w:r>
              <w:rPr>
                <w:rFonts w:eastAsia="Times New Roman" w:cs="Calibri"/>
                <w:b/>
                <w:sz w:val="22"/>
                <w:lang w:eastAsia="en-GB"/>
              </w:rPr>
              <w:t>On T</w:t>
            </w:r>
            <w:r>
              <w:rPr>
                <w:b/>
                <w:sz w:val="22"/>
              </w:rPr>
              <w:t>rack</w:t>
            </w:r>
          </w:p>
        </w:tc>
        <w:tc>
          <w:tcPr>
            <w:tcW w:w="1572" w:type="dxa"/>
            <w:shd w:val="clear" w:color="auto" w:fill="D9D9D9" w:themeFill="background1" w:themeFillShade="D9"/>
            <w:noWrap/>
            <w:vAlign w:val="bottom"/>
            <w:hideMark/>
          </w:tcPr>
          <w:p w14:paraId="2A2926E9" w14:textId="77777777" w:rsidR="007942AC" w:rsidRDefault="007942AC" w:rsidP="007942AC">
            <w:pPr>
              <w:spacing w:after="0" w:line="240" w:lineRule="auto"/>
              <w:jc w:val="center"/>
              <w:rPr>
                <w:rFonts w:eastAsia="Times New Roman" w:cs="Calibri"/>
                <w:b/>
                <w:sz w:val="22"/>
                <w:lang w:eastAsia="en-GB"/>
              </w:rPr>
            </w:pPr>
            <w:r>
              <w:rPr>
                <w:rFonts w:eastAsia="Times New Roman" w:cs="Calibri"/>
                <w:b/>
                <w:sz w:val="22"/>
                <w:lang w:eastAsia="en-GB"/>
              </w:rPr>
              <w:t>Grand Total</w:t>
            </w:r>
          </w:p>
        </w:tc>
      </w:tr>
      <w:tr w:rsidR="00681067" w14:paraId="3096F109" w14:textId="77777777" w:rsidTr="007942AC">
        <w:trPr>
          <w:trHeight w:val="283"/>
        </w:trPr>
        <w:tc>
          <w:tcPr>
            <w:tcW w:w="4673" w:type="dxa"/>
            <w:shd w:val="clear" w:color="auto" w:fill="auto"/>
            <w:noWrap/>
            <w:vAlign w:val="bottom"/>
          </w:tcPr>
          <w:p w14:paraId="6505F236" w14:textId="14EE2F2A" w:rsidR="00681067" w:rsidRDefault="00681067" w:rsidP="00681067">
            <w:pPr>
              <w:spacing w:after="0" w:line="240" w:lineRule="auto"/>
              <w:rPr>
                <w:rFonts w:eastAsia="Times New Roman" w:cs="Calibri"/>
                <w:sz w:val="22"/>
                <w:lang w:eastAsia="en-GB"/>
              </w:rPr>
            </w:pPr>
            <w:r>
              <w:rPr>
                <w:rFonts w:eastAsia="Times New Roman" w:cs="Calibri"/>
                <w:sz w:val="22"/>
                <w:lang w:eastAsia="en-GB"/>
              </w:rPr>
              <w:t>Cognition and Learning</w:t>
            </w:r>
          </w:p>
        </w:tc>
        <w:tc>
          <w:tcPr>
            <w:tcW w:w="1701" w:type="dxa"/>
            <w:shd w:val="clear" w:color="auto" w:fill="auto"/>
            <w:noWrap/>
            <w:vAlign w:val="bottom"/>
          </w:tcPr>
          <w:p w14:paraId="3029FA8E" w14:textId="447A2975" w:rsidR="00681067" w:rsidRDefault="00681067" w:rsidP="00681067">
            <w:pPr>
              <w:spacing w:after="0" w:line="240" w:lineRule="auto"/>
              <w:jc w:val="center"/>
              <w:rPr>
                <w:rFonts w:eastAsia="Times New Roman" w:cs="Calibri"/>
                <w:sz w:val="22"/>
                <w:lang w:eastAsia="en-GB"/>
              </w:rPr>
            </w:pPr>
            <w:r>
              <w:rPr>
                <w:rFonts w:eastAsia="Times New Roman" w:cs="Calibri"/>
                <w:sz w:val="22"/>
                <w:lang w:eastAsia="en-GB"/>
              </w:rPr>
              <w:t>39 (6.5%)</w:t>
            </w:r>
          </w:p>
        </w:tc>
        <w:tc>
          <w:tcPr>
            <w:tcW w:w="1701" w:type="dxa"/>
            <w:shd w:val="clear" w:color="auto" w:fill="auto"/>
            <w:noWrap/>
            <w:vAlign w:val="bottom"/>
          </w:tcPr>
          <w:p w14:paraId="557DD381" w14:textId="643CC9A7" w:rsidR="00681067" w:rsidRDefault="00681067" w:rsidP="00681067">
            <w:pPr>
              <w:spacing w:after="0" w:line="240" w:lineRule="auto"/>
              <w:jc w:val="center"/>
              <w:rPr>
                <w:rFonts w:eastAsia="Times New Roman" w:cs="Calibri"/>
                <w:sz w:val="22"/>
                <w:lang w:eastAsia="en-GB"/>
              </w:rPr>
            </w:pPr>
            <w:r>
              <w:rPr>
                <w:rFonts w:eastAsia="Times New Roman" w:cs="Calibri"/>
                <w:sz w:val="22"/>
                <w:lang w:eastAsia="en-GB"/>
              </w:rPr>
              <w:t>562 (93.5%)</w:t>
            </w:r>
          </w:p>
        </w:tc>
        <w:tc>
          <w:tcPr>
            <w:tcW w:w="1572" w:type="dxa"/>
            <w:shd w:val="clear" w:color="auto" w:fill="auto"/>
            <w:noWrap/>
            <w:vAlign w:val="bottom"/>
          </w:tcPr>
          <w:p w14:paraId="5727E55C" w14:textId="3AED3FAA" w:rsidR="00681067" w:rsidRDefault="00681067" w:rsidP="00681067">
            <w:pPr>
              <w:spacing w:after="0" w:line="240" w:lineRule="auto"/>
              <w:jc w:val="center"/>
              <w:rPr>
                <w:rFonts w:eastAsia="Times New Roman" w:cs="Calibri"/>
                <w:sz w:val="22"/>
                <w:lang w:eastAsia="en-GB"/>
              </w:rPr>
            </w:pPr>
            <w:r>
              <w:rPr>
                <w:rFonts w:eastAsia="Times New Roman" w:cs="Calibri"/>
                <w:sz w:val="22"/>
                <w:lang w:eastAsia="en-GB"/>
              </w:rPr>
              <w:t>601</w:t>
            </w:r>
          </w:p>
        </w:tc>
      </w:tr>
      <w:tr w:rsidR="00681067" w14:paraId="7ECE071A" w14:textId="77777777" w:rsidTr="007942AC">
        <w:trPr>
          <w:trHeight w:val="283"/>
        </w:trPr>
        <w:tc>
          <w:tcPr>
            <w:tcW w:w="4673" w:type="dxa"/>
            <w:shd w:val="clear" w:color="auto" w:fill="auto"/>
            <w:noWrap/>
            <w:vAlign w:val="bottom"/>
          </w:tcPr>
          <w:p w14:paraId="29A9AE5A" w14:textId="109419D4" w:rsidR="00681067" w:rsidRDefault="00681067" w:rsidP="00681067">
            <w:pPr>
              <w:spacing w:after="0" w:line="240" w:lineRule="auto"/>
              <w:rPr>
                <w:rFonts w:eastAsia="Times New Roman" w:cs="Calibri"/>
                <w:sz w:val="22"/>
                <w:lang w:eastAsia="en-GB"/>
              </w:rPr>
            </w:pPr>
            <w:r>
              <w:rPr>
                <w:rFonts w:eastAsia="Times New Roman" w:cs="Calibri"/>
                <w:sz w:val="22"/>
                <w:lang w:eastAsia="en-GB"/>
              </w:rPr>
              <w:t>Independence</w:t>
            </w:r>
          </w:p>
        </w:tc>
        <w:tc>
          <w:tcPr>
            <w:tcW w:w="1701" w:type="dxa"/>
            <w:shd w:val="clear" w:color="auto" w:fill="auto"/>
            <w:noWrap/>
            <w:vAlign w:val="bottom"/>
          </w:tcPr>
          <w:p w14:paraId="6D92827E" w14:textId="48AD117B" w:rsidR="00681067" w:rsidRDefault="00681067" w:rsidP="00681067">
            <w:pPr>
              <w:spacing w:after="0" w:line="240" w:lineRule="auto"/>
              <w:jc w:val="center"/>
              <w:rPr>
                <w:rFonts w:eastAsia="Times New Roman" w:cs="Calibri"/>
                <w:sz w:val="22"/>
                <w:lang w:eastAsia="en-GB"/>
              </w:rPr>
            </w:pPr>
            <w:r>
              <w:rPr>
                <w:rFonts w:eastAsia="Times New Roman" w:cs="Calibri"/>
                <w:sz w:val="22"/>
                <w:lang w:eastAsia="en-GB"/>
              </w:rPr>
              <w:t>18 (4.6%)</w:t>
            </w:r>
          </w:p>
        </w:tc>
        <w:tc>
          <w:tcPr>
            <w:tcW w:w="1701" w:type="dxa"/>
            <w:shd w:val="clear" w:color="auto" w:fill="auto"/>
            <w:noWrap/>
            <w:vAlign w:val="bottom"/>
          </w:tcPr>
          <w:p w14:paraId="28A506C6" w14:textId="68EE3326" w:rsidR="00681067" w:rsidRDefault="00681067" w:rsidP="00681067">
            <w:pPr>
              <w:spacing w:after="0" w:line="240" w:lineRule="auto"/>
              <w:jc w:val="center"/>
              <w:rPr>
                <w:rFonts w:eastAsia="Times New Roman" w:cs="Calibri"/>
                <w:sz w:val="22"/>
                <w:lang w:eastAsia="en-GB"/>
              </w:rPr>
            </w:pPr>
            <w:r>
              <w:rPr>
                <w:rFonts w:eastAsia="Times New Roman" w:cs="Calibri"/>
                <w:sz w:val="22"/>
                <w:lang w:eastAsia="en-GB"/>
              </w:rPr>
              <w:t>374 (95.4%)</w:t>
            </w:r>
          </w:p>
        </w:tc>
        <w:tc>
          <w:tcPr>
            <w:tcW w:w="1572" w:type="dxa"/>
            <w:shd w:val="clear" w:color="auto" w:fill="auto"/>
            <w:noWrap/>
            <w:vAlign w:val="bottom"/>
          </w:tcPr>
          <w:p w14:paraId="5E019C17" w14:textId="2D1C75B1" w:rsidR="00681067" w:rsidRDefault="00681067" w:rsidP="00681067">
            <w:pPr>
              <w:spacing w:after="0" w:line="240" w:lineRule="auto"/>
              <w:jc w:val="center"/>
              <w:rPr>
                <w:rFonts w:eastAsia="Times New Roman" w:cs="Calibri"/>
                <w:sz w:val="22"/>
                <w:lang w:eastAsia="en-GB"/>
              </w:rPr>
            </w:pPr>
            <w:r>
              <w:rPr>
                <w:rFonts w:eastAsia="Times New Roman" w:cs="Calibri"/>
                <w:sz w:val="22"/>
                <w:lang w:eastAsia="en-GB"/>
              </w:rPr>
              <w:t>392</w:t>
            </w:r>
          </w:p>
        </w:tc>
      </w:tr>
      <w:tr w:rsidR="00681067" w14:paraId="3315C5E1" w14:textId="77777777" w:rsidTr="007942AC">
        <w:trPr>
          <w:trHeight w:val="283"/>
        </w:trPr>
        <w:tc>
          <w:tcPr>
            <w:tcW w:w="4673" w:type="dxa"/>
            <w:shd w:val="clear" w:color="auto" w:fill="auto"/>
            <w:noWrap/>
            <w:vAlign w:val="bottom"/>
          </w:tcPr>
          <w:p w14:paraId="40F36E1A" w14:textId="1CAF9D01" w:rsidR="00681067" w:rsidRDefault="00681067" w:rsidP="00681067">
            <w:pPr>
              <w:spacing w:after="0" w:line="240" w:lineRule="auto"/>
              <w:rPr>
                <w:rFonts w:eastAsia="Times New Roman" w:cs="Calibri"/>
                <w:sz w:val="22"/>
                <w:lang w:eastAsia="en-GB"/>
              </w:rPr>
            </w:pPr>
            <w:r>
              <w:rPr>
                <w:rFonts w:eastAsia="Times New Roman" w:cs="Calibri"/>
                <w:sz w:val="22"/>
                <w:lang w:eastAsia="en-GB"/>
              </w:rPr>
              <w:t>Physical and Sensory</w:t>
            </w:r>
          </w:p>
        </w:tc>
        <w:tc>
          <w:tcPr>
            <w:tcW w:w="1701" w:type="dxa"/>
            <w:shd w:val="clear" w:color="auto" w:fill="auto"/>
            <w:noWrap/>
            <w:vAlign w:val="bottom"/>
          </w:tcPr>
          <w:p w14:paraId="55D3A673" w14:textId="789BD0D8" w:rsidR="00681067" w:rsidRDefault="00681067" w:rsidP="00681067">
            <w:pPr>
              <w:spacing w:after="0" w:line="240" w:lineRule="auto"/>
              <w:jc w:val="center"/>
              <w:rPr>
                <w:rFonts w:eastAsia="Times New Roman" w:cs="Calibri"/>
                <w:sz w:val="22"/>
                <w:lang w:eastAsia="en-GB"/>
              </w:rPr>
            </w:pPr>
            <w:r>
              <w:rPr>
                <w:rFonts w:eastAsia="Times New Roman" w:cs="Calibri"/>
                <w:sz w:val="22"/>
                <w:lang w:eastAsia="en-GB"/>
              </w:rPr>
              <w:t>13 (15.3%)</w:t>
            </w:r>
          </w:p>
        </w:tc>
        <w:tc>
          <w:tcPr>
            <w:tcW w:w="1701" w:type="dxa"/>
            <w:shd w:val="clear" w:color="auto" w:fill="auto"/>
            <w:noWrap/>
            <w:vAlign w:val="bottom"/>
          </w:tcPr>
          <w:p w14:paraId="33A55CCD" w14:textId="76A6DE96" w:rsidR="00681067" w:rsidRDefault="00681067" w:rsidP="00681067">
            <w:pPr>
              <w:spacing w:after="0" w:line="240" w:lineRule="auto"/>
              <w:jc w:val="center"/>
              <w:rPr>
                <w:rFonts w:eastAsia="Times New Roman" w:cs="Calibri"/>
                <w:sz w:val="22"/>
                <w:lang w:eastAsia="en-GB"/>
              </w:rPr>
            </w:pPr>
            <w:r>
              <w:rPr>
                <w:rFonts w:eastAsia="Times New Roman" w:cs="Calibri"/>
                <w:sz w:val="22"/>
                <w:lang w:eastAsia="en-GB"/>
              </w:rPr>
              <w:t>72 (84.7%)</w:t>
            </w:r>
          </w:p>
        </w:tc>
        <w:tc>
          <w:tcPr>
            <w:tcW w:w="1572" w:type="dxa"/>
            <w:shd w:val="clear" w:color="auto" w:fill="auto"/>
            <w:noWrap/>
            <w:vAlign w:val="bottom"/>
          </w:tcPr>
          <w:p w14:paraId="69E5E1D6" w14:textId="350EC112" w:rsidR="00681067" w:rsidRDefault="00681067" w:rsidP="00681067">
            <w:pPr>
              <w:spacing w:after="0" w:line="240" w:lineRule="auto"/>
              <w:jc w:val="center"/>
              <w:rPr>
                <w:rFonts w:eastAsia="Times New Roman" w:cs="Calibri"/>
                <w:sz w:val="22"/>
                <w:lang w:eastAsia="en-GB"/>
              </w:rPr>
            </w:pPr>
            <w:r>
              <w:rPr>
                <w:rFonts w:eastAsia="Times New Roman" w:cs="Calibri"/>
                <w:sz w:val="22"/>
                <w:lang w:eastAsia="en-GB"/>
              </w:rPr>
              <w:t>85</w:t>
            </w:r>
          </w:p>
        </w:tc>
      </w:tr>
      <w:tr w:rsidR="00681067" w14:paraId="0EACA35E" w14:textId="77777777" w:rsidTr="007942AC">
        <w:trPr>
          <w:trHeight w:val="283"/>
        </w:trPr>
        <w:tc>
          <w:tcPr>
            <w:tcW w:w="4673" w:type="dxa"/>
            <w:shd w:val="clear" w:color="auto" w:fill="auto"/>
            <w:noWrap/>
            <w:vAlign w:val="bottom"/>
          </w:tcPr>
          <w:p w14:paraId="65551B3B" w14:textId="1826F1AD" w:rsidR="00681067" w:rsidRDefault="00681067" w:rsidP="00681067">
            <w:pPr>
              <w:spacing w:after="0" w:line="240" w:lineRule="auto"/>
              <w:rPr>
                <w:rFonts w:eastAsia="Times New Roman" w:cs="Calibri"/>
                <w:sz w:val="22"/>
                <w:lang w:eastAsia="en-GB"/>
              </w:rPr>
            </w:pPr>
            <w:r>
              <w:rPr>
                <w:rFonts w:eastAsia="Times New Roman" w:cs="Calibri"/>
                <w:sz w:val="22"/>
                <w:lang w:eastAsia="en-GB"/>
              </w:rPr>
              <w:t>Social, Emotional Wellbeing</w:t>
            </w:r>
          </w:p>
        </w:tc>
        <w:tc>
          <w:tcPr>
            <w:tcW w:w="1701" w:type="dxa"/>
            <w:shd w:val="clear" w:color="auto" w:fill="auto"/>
            <w:noWrap/>
            <w:vAlign w:val="bottom"/>
          </w:tcPr>
          <w:p w14:paraId="0D02A61D" w14:textId="49140267" w:rsidR="00681067" w:rsidRDefault="00681067" w:rsidP="00681067">
            <w:pPr>
              <w:spacing w:after="0" w:line="240" w:lineRule="auto"/>
              <w:jc w:val="center"/>
              <w:rPr>
                <w:rFonts w:eastAsia="Times New Roman" w:cs="Calibri"/>
                <w:sz w:val="22"/>
                <w:lang w:eastAsia="en-GB"/>
              </w:rPr>
            </w:pPr>
            <w:r>
              <w:rPr>
                <w:rFonts w:eastAsia="Times New Roman" w:cs="Calibri"/>
                <w:sz w:val="22"/>
                <w:lang w:eastAsia="en-GB"/>
              </w:rPr>
              <w:t>19 (5.3%)</w:t>
            </w:r>
          </w:p>
        </w:tc>
        <w:tc>
          <w:tcPr>
            <w:tcW w:w="1701" w:type="dxa"/>
            <w:shd w:val="clear" w:color="auto" w:fill="auto"/>
            <w:noWrap/>
            <w:vAlign w:val="bottom"/>
          </w:tcPr>
          <w:p w14:paraId="39AB6DCB" w14:textId="4F86515D" w:rsidR="00681067" w:rsidRDefault="00681067" w:rsidP="00681067">
            <w:pPr>
              <w:spacing w:after="0" w:line="240" w:lineRule="auto"/>
              <w:jc w:val="center"/>
              <w:rPr>
                <w:rFonts w:eastAsia="Times New Roman" w:cs="Calibri"/>
                <w:sz w:val="22"/>
                <w:lang w:eastAsia="en-GB"/>
              </w:rPr>
            </w:pPr>
            <w:r>
              <w:rPr>
                <w:rFonts w:eastAsia="Times New Roman" w:cs="Calibri"/>
                <w:sz w:val="22"/>
                <w:lang w:eastAsia="en-GB"/>
              </w:rPr>
              <w:t>338 (94.7%)</w:t>
            </w:r>
          </w:p>
        </w:tc>
        <w:tc>
          <w:tcPr>
            <w:tcW w:w="1572" w:type="dxa"/>
            <w:shd w:val="clear" w:color="auto" w:fill="auto"/>
            <w:noWrap/>
            <w:vAlign w:val="bottom"/>
          </w:tcPr>
          <w:p w14:paraId="009FD4A0" w14:textId="26FAA6A8" w:rsidR="00681067" w:rsidRDefault="00681067" w:rsidP="00681067">
            <w:pPr>
              <w:spacing w:after="0" w:line="240" w:lineRule="auto"/>
              <w:jc w:val="center"/>
              <w:rPr>
                <w:rFonts w:eastAsia="Times New Roman" w:cs="Calibri"/>
                <w:sz w:val="22"/>
                <w:lang w:eastAsia="en-GB"/>
              </w:rPr>
            </w:pPr>
            <w:r>
              <w:rPr>
                <w:rFonts w:eastAsia="Times New Roman" w:cs="Calibri"/>
                <w:sz w:val="22"/>
                <w:lang w:eastAsia="en-GB"/>
              </w:rPr>
              <w:t>357</w:t>
            </w:r>
          </w:p>
        </w:tc>
      </w:tr>
      <w:tr w:rsidR="00681067" w14:paraId="14B1E77B" w14:textId="77777777" w:rsidTr="007942AC">
        <w:trPr>
          <w:trHeight w:val="283"/>
        </w:trPr>
        <w:tc>
          <w:tcPr>
            <w:tcW w:w="4673" w:type="dxa"/>
            <w:shd w:val="clear" w:color="auto" w:fill="auto"/>
            <w:noWrap/>
            <w:vAlign w:val="bottom"/>
          </w:tcPr>
          <w:p w14:paraId="10040B32" w14:textId="29124A2C" w:rsidR="00681067" w:rsidRDefault="00681067" w:rsidP="00681067">
            <w:pPr>
              <w:spacing w:after="0" w:line="240" w:lineRule="auto"/>
              <w:rPr>
                <w:rFonts w:eastAsia="Times New Roman" w:cs="Calibri"/>
                <w:sz w:val="22"/>
                <w:lang w:eastAsia="en-GB"/>
              </w:rPr>
            </w:pPr>
            <w:r>
              <w:rPr>
                <w:rFonts w:eastAsia="Times New Roman" w:cs="Calibri"/>
                <w:sz w:val="22"/>
                <w:lang w:eastAsia="en-GB"/>
              </w:rPr>
              <w:t>Speech, Language and Communication</w:t>
            </w:r>
          </w:p>
        </w:tc>
        <w:tc>
          <w:tcPr>
            <w:tcW w:w="1701" w:type="dxa"/>
            <w:shd w:val="clear" w:color="auto" w:fill="auto"/>
            <w:noWrap/>
            <w:vAlign w:val="bottom"/>
          </w:tcPr>
          <w:p w14:paraId="062E2511" w14:textId="443BAAA4" w:rsidR="00681067" w:rsidRDefault="00681067" w:rsidP="00681067">
            <w:pPr>
              <w:spacing w:after="0" w:line="240" w:lineRule="auto"/>
              <w:jc w:val="center"/>
              <w:rPr>
                <w:rFonts w:eastAsia="Times New Roman" w:cs="Calibri"/>
                <w:sz w:val="22"/>
                <w:lang w:eastAsia="en-GB"/>
              </w:rPr>
            </w:pPr>
            <w:r>
              <w:rPr>
                <w:rFonts w:eastAsia="Times New Roman" w:cs="Calibri"/>
                <w:sz w:val="22"/>
                <w:lang w:eastAsia="en-GB"/>
              </w:rPr>
              <w:t>27 (4.0%)</w:t>
            </w:r>
          </w:p>
        </w:tc>
        <w:tc>
          <w:tcPr>
            <w:tcW w:w="1701" w:type="dxa"/>
            <w:shd w:val="clear" w:color="auto" w:fill="auto"/>
            <w:noWrap/>
            <w:vAlign w:val="bottom"/>
          </w:tcPr>
          <w:p w14:paraId="3350B93B" w14:textId="52625409" w:rsidR="00681067" w:rsidRDefault="00681067" w:rsidP="00681067">
            <w:pPr>
              <w:spacing w:after="0" w:line="240" w:lineRule="auto"/>
              <w:jc w:val="center"/>
              <w:rPr>
                <w:rFonts w:eastAsia="Times New Roman" w:cs="Calibri"/>
                <w:sz w:val="22"/>
                <w:lang w:eastAsia="en-GB"/>
              </w:rPr>
            </w:pPr>
            <w:r>
              <w:rPr>
                <w:rFonts w:eastAsia="Times New Roman" w:cs="Calibri"/>
                <w:sz w:val="22"/>
                <w:lang w:eastAsia="en-GB"/>
              </w:rPr>
              <w:t>655 (96%)</w:t>
            </w:r>
          </w:p>
        </w:tc>
        <w:tc>
          <w:tcPr>
            <w:tcW w:w="1572" w:type="dxa"/>
            <w:shd w:val="clear" w:color="auto" w:fill="auto"/>
            <w:noWrap/>
            <w:vAlign w:val="bottom"/>
          </w:tcPr>
          <w:p w14:paraId="3ADEE988" w14:textId="3B1E151A" w:rsidR="00681067" w:rsidRDefault="00681067" w:rsidP="00681067">
            <w:pPr>
              <w:spacing w:after="0" w:line="240" w:lineRule="auto"/>
              <w:jc w:val="center"/>
              <w:rPr>
                <w:rFonts w:eastAsia="Times New Roman" w:cs="Calibri"/>
                <w:sz w:val="22"/>
                <w:lang w:eastAsia="en-GB"/>
              </w:rPr>
            </w:pPr>
            <w:r>
              <w:rPr>
                <w:rFonts w:eastAsia="Times New Roman" w:cs="Calibri"/>
                <w:sz w:val="22"/>
                <w:lang w:eastAsia="en-GB"/>
              </w:rPr>
              <w:t>682</w:t>
            </w:r>
          </w:p>
        </w:tc>
      </w:tr>
      <w:tr w:rsidR="00681067" w14:paraId="57C4A01D" w14:textId="77777777" w:rsidTr="007942AC">
        <w:trPr>
          <w:trHeight w:val="283"/>
        </w:trPr>
        <w:tc>
          <w:tcPr>
            <w:tcW w:w="4673" w:type="dxa"/>
            <w:shd w:val="clear" w:color="auto" w:fill="auto"/>
            <w:noWrap/>
            <w:vAlign w:val="bottom"/>
          </w:tcPr>
          <w:p w14:paraId="080A060B" w14:textId="3DB44909" w:rsidR="00681067" w:rsidRDefault="00681067" w:rsidP="00681067">
            <w:pPr>
              <w:spacing w:after="0" w:line="240" w:lineRule="auto"/>
              <w:rPr>
                <w:rFonts w:eastAsia="Times New Roman" w:cs="Calibri"/>
                <w:b/>
                <w:bCs/>
                <w:sz w:val="22"/>
                <w:lang w:eastAsia="en-GB"/>
              </w:rPr>
            </w:pPr>
            <w:r>
              <w:rPr>
                <w:rFonts w:eastAsia="Times New Roman" w:cs="Calibri"/>
                <w:b/>
                <w:bCs/>
                <w:sz w:val="22"/>
                <w:lang w:eastAsia="en-GB"/>
              </w:rPr>
              <w:t>Grand Total</w:t>
            </w:r>
          </w:p>
        </w:tc>
        <w:tc>
          <w:tcPr>
            <w:tcW w:w="1701" w:type="dxa"/>
            <w:shd w:val="clear" w:color="auto" w:fill="auto"/>
            <w:noWrap/>
            <w:vAlign w:val="bottom"/>
          </w:tcPr>
          <w:p w14:paraId="03969BDB" w14:textId="524676A3" w:rsidR="00681067" w:rsidRDefault="00681067" w:rsidP="00681067">
            <w:pPr>
              <w:spacing w:after="0" w:line="240" w:lineRule="auto"/>
              <w:jc w:val="center"/>
              <w:rPr>
                <w:rFonts w:eastAsia="Times New Roman" w:cs="Calibri"/>
                <w:b/>
                <w:bCs/>
                <w:sz w:val="22"/>
                <w:lang w:eastAsia="en-GB"/>
              </w:rPr>
            </w:pPr>
            <w:r>
              <w:rPr>
                <w:rFonts w:eastAsia="Times New Roman" w:cs="Calibri"/>
                <w:b/>
                <w:bCs/>
                <w:sz w:val="22"/>
                <w:lang w:eastAsia="en-GB"/>
              </w:rPr>
              <w:t>116 (5.5%)</w:t>
            </w:r>
          </w:p>
        </w:tc>
        <w:tc>
          <w:tcPr>
            <w:tcW w:w="1701" w:type="dxa"/>
            <w:shd w:val="clear" w:color="auto" w:fill="auto"/>
            <w:noWrap/>
            <w:vAlign w:val="bottom"/>
          </w:tcPr>
          <w:p w14:paraId="43E5DB74" w14:textId="2D68F5E7" w:rsidR="00681067" w:rsidRDefault="00681067" w:rsidP="00681067">
            <w:pPr>
              <w:spacing w:after="0" w:line="240" w:lineRule="auto"/>
              <w:jc w:val="center"/>
              <w:rPr>
                <w:rFonts w:eastAsia="Times New Roman" w:cs="Calibri"/>
                <w:b/>
                <w:bCs/>
                <w:sz w:val="22"/>
                <w:lang w:eastAsia="en-GB"/>
              </w:rPr>
            </w:pPr>
            <w:r>
              <w:rPr>
                <w:rFonts w:eastAsia="Times New Roman" w:cs="Calibri"/>
                <w:b/>
                <w:bCs/>
                <w:sz w:val="22"/>
                <w:lang w:eastAsia="en-GB"/>
              </w:rPr>
              <w:t>2001 (94.5%)</w:t>
            </w:r>
          </w:p>
        </w:tc>
        <w:tc>
          <w:tcPr>
            <w:tcW w:w="1572" w:type="dxa"/>
            <w:shd w:val="clear" w:color="auto" w:fill="auto"/>
            <w:noWrap/>
            <w:vAlign w:val="bottom"/>
          </w:tcPr>
          <w:p w14:paraId="6420C223" w14:textId="3EA729E1" w:rsidR="00681067" w:rsidRDefault="00681067" w:rsidP="00681067">
            <w:pPr>
              <w:spacing w:after="0" w:line="240" w:lineRule="auto"/>
              <w:jc w:val="center"/>
              <w:rPr>
                <w:rFonts w:eastAsia="Times New Roman" w:cs="Calibri"/>
                <w:b/>
                <w:bCs/>
                <w:sz w:val="22"/>
                <w:lang w:eastAsia="en-GB"/>
              </w:rPr>
            </w:pPr>
            <w:r>
              <w:rPr>
                <w:rFonts w:eastAsia="Times New Roman" w:cs="Calibri"/>
                <w:b/>
                <w:bCs/>
                <w:sz w:val="22"/>
                <w:lang w:eastAsia="en-GB"/>
              </w:rPr>
              <w:t>2117</w:t>
            </w:r>
          </w:p>
        </w:tc>
      </w:tr>
    </w:tbl>
    <w:p w14:paraId="6781BD12" w14:textId="2C12DF59" w:rsidR="007942AC" w:rsidRDefault="007942AC" w:rsidP="007942AC">
      <w:pPr>
        <w:rPr>
          <w:b/>
          <w:u w:val="single"/>
        </w:rPr>
      </w:pPr>
      <w:r>
        <w:rPr>
          <w:b/>
          <w:u w:val="single"/>
        </w:rPr>
        <w:t>Summer Term 22/23</w:t>
      </w:r>
    </w:p>
    <w:p w14:paraId="4F4D0733" w14:textId="77777777" w:rsidR="007942AC" w:rsidRDefault="007942AC" w:rsidP="007942AC">
      <w:pPr>
        <w:rPr>
          <w:b/>
          <w:u w:val="single"/>
        </w:rPr>
      </w:pPr>
    </w:p>
    <w:tbl>
      <w:tblPr>
        <w:tblpPr w:leftFromText="180" w:rightFromText="180" w:vertAnchor="page" w:horzAnchor="margin" w:tblpY="5641"/>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701"/>
        <w:gridCol w:w="1701"/>
        <w:gridCol w:w="1572"/>
      </w:tblGrid>
      <w:tr w:rsidR="007942AC" w14:paraId="48649433" w14:textId="77777777" w:rsidTr="007942AC">
        <w:trPr>
          <w:trHeight w:val="283"/>
        </w:trPr>
        <w:tc>
          <w:tcPr>
            <w:tcW w:w="4673" w:type="dxa"/>
            <w:shd w:val="clear" w:color="auto" w:fill="D9D9D9" w:themeFill="background1" w:themeFillShade="D9"/>
            <w:noWrap/>
            <w:vAlign w:val="bottom"/>
            <w:hideMark/>
          </w:tcPr>
          <w:p w14:paraId="37A0E167" w14:textId="77777777" w:rsidR="007942AC" w:rsidRDefault="007942AC" w:rsidP="007942AC">
            <w:pPr>
              <w:spacing w:after="0" w:line="240" w:lineRule="auto"/>
              <w:rPr>
                <w:rFonts w:eastAsia="Times New Roman" w:cs="Calibri"/>
                <w:b/>
                <w:sz w:val="22"/>
                <w:lang w:eastAsia="en-GB"/>
              </w:rPr>
            </w:pPr>
            <w:r>
              <w:rPr>
                <w:rFonts w:eastAsia="Times New Roman" w:cs="Calibri"/>
                <w:b/>
                <w:sz w:val="22"/>
                <w:lang w:eastAsia="en-GB"/>
              </w:rPr>
              <w:t>EHCP Domains</w:t>
            </w:r>
          </w:p>
        </w:tc>
        <w:tc>
          <w:tcPr>
            <w:tcW w:w="1701" w:type="dxa"/>
            <w:shd w:val="clear" w:color="auto" w:fill="D9D9D9" w:themeFill="background1" w:themeFillShade="D9"/>
            <w:noWrap/>
            <w:vAlign w:val="bottom"/>
            <w:hideMark/>
          </w:tcPr>
          <w:p w14:paraId="31F403C9" w14:textId="77777777" w:rsidR="007942AC" w:rsidRDefault="007942AC" w:rsidP="007942AC">
            <w:pPr>
              <w:spacing w:after="0" w:line="240" w:lineRule="auto"/>
              <w:jc w:val="center"/>
              <w:rPr>
                <w:rFonts w:eastAsia="Times New Roman" w:cs="Calibri"/>
                <w:b/>
                <w:sz w:val="22"/>
                <w:lang w:eastAsia="en-GB"/>
              </w:rPr>
            </w:pPr>
            <w:r>
              <w:rPr>
                <w:rFonts w:eastAsia="Times New Roman" w:cs="Calibri"/>
                <w:b/>
                <w:sz w:val="22"/>
                <w:lang w:eastAsia="en-GB"/>
              </w:rPr>
              <w:t>Not on T</w:t>
            </w:r>
            <w:r>
              <w:rPr>
                <w:b/>
                <w:sz w:val="22"/>
              </w:rPr>
              <w:t>rack</w:t>
            </w:r>
          </w:p>
        </w:tc>
        <w:tc>
          <w:tcPr>
            <w:tcW w:w="1701" w:type="dxa"/>
            <w:shd w:val="clear" w:color="auto" w:fill="D9D9D9" w:themeFill="background1" w:themeFillShade="D9"/>
            <w:noWrap/>
            <w:vAlign w:val="bottom"/>
            <w:hideMark/>
          </w:tcPr>
          <w:p w14:paraId="794207EA" w14:textId="77777777" w:rsidR="007942AC" w:rsidRDefault="007942AC" w:rsidP="007942AC">
            <w:pPr>
              <w:spacing w:after="0" w:line="240" w:lineRule="auto"/>
              <w:jc w:val="center"/>
              <w:rPr>
                <w:rFonts w:eastAsia="Times New Roman" w:cs="Calibri"/>
                <w:b/>
                <w:sz w:val="22"/>
                <w:lang w:eastAsia="en-GB"/>
              </w:rPr>
            </w:pPr>
            <w:r>
              <w:rPr>
                <w:rFonts w:eastAsia="Times New Roman" w:cs="Calibri"/>
                <w:b/>
                <w:sz w:val="22"/>
                <w:lang w:eastAsia="en-GB"/>
              </w:rPr>
              <w:t>On T</w:t>
            </w:r>
            <w:r>
              <w:rPr>
                <w:b/>
                <w:sz w:val="22"/>
              </w:rPr>
              <w:t>rack</w:t>
            </w:r>
          </w:p>
        </w:tc>
        <w:tc>
          <w:tcPr>
            <w:tcW w:w="1572" w:type="dxa"/>
            <w:shd w:val="clear" w:color="auto" w:fill="D9D9D9" w:themeFill="background1" w:themeFillShade="D9"/>
            <w:noWrap/>
            <w:vAlign w:val="bottom"/>
            <w:hideMark/>
          </w:tcPr>
          <w:p w14:paraId="75368A4D" w14:textId="77777777" w:rsidR="007942AC" w:rsidRDefault="007942AC" w:rsidP="007942AC">
            <w:pPr>
              <w:spacing w:after="0" w:line="240" w:lineRule="auto"/>
              <w:jc w:val="center"/>
              <w:rPr>
                <w:rFonts w:eastAsia="Times New Roman" w:cs="Calibri"/>
                <w:b/>
                <w:sz w:val="22"/>
                <w:lang w:eastAsia="en-GB"/>
              </w:rPr>
            </w:pPr>
            <w:r>
              <w:rPr>
                <w:rFonts w:eastAsia="Times New Roman" w:cs="Calibri"/>
                <w:b/>
                <w:sz w:val="22"/>
                <w:lang w:eastAsia="en-GB"/>
              </w:rPr>
              <w:t>Grand Total</w:t>
            </w:r>
          </w:p>
        </w:tc>
      </w:tr>
      <w:tr w:rsidR="007942AC" w14:paraId="4B667BD8" w14:textId="77777777" w:rsidTr="007942AC">
        <w:trPr>
          <w:trHeight w:val="283"/>
        </w:trPr>
        <w:tc>
          <w:tcPr>
            <w:tcW w:w="4673" w:type="dxa"/>
            <w:shd w:val="clear" w:color="auto" w:fill="auto"/>
            <w:noWrap/>
            <w:vAlign w:val="bottom"/>
          </w:tcPr>
          <w:p w14:paraId="5596357A" w14:textId="77777777" w:rsidR="007942AC" w:rsidRDefault="007942AC" w:rsidP="007942AC">
            <w:pPr>
              <w:spacing w:after="0" w:line="240" w:lineRule="auto"/>
              <w:rPr>
                <w:rFonts w:eastAsia="Times New Roman" w:cs="Calibri"/>
                <w:sz w:val="22"/>
                <w:lang w:eastAsia="en-GB"/>
              </w:rPr>
            </w:pPr>
            <w:r>
              <w:rPr>
                <w:rFonts w:eastAsia="Times New Roman" w:cs="Calibri"/>
                <w:sz w:val="22"/>
                <w:lang w:eastAsia="en-GB"/>
              </w:rPr>
              <w:t>Cognition and Learning</w:t>
            </w:r>
          </w:p>
        </w:tc>
        <w:tc>
          <w:tcPr>
            <w:tcW w:w="1701" w:type="dxa"/>
            <w:shd w:val="clear" w:color="auto" w:fill="auto"/>
            <w:noWrap/>
            <w:vAlign w:val="bottom"/>
          </w:tcPr>
          <w:p w14:paraId="7E8E7810" w14:textId="77777777" w:rsidR="007942AC" w:rsidRDefault="007942AC" w:rsidP="007942AC">
            <w:pPr>
              <w:spacing w:after="0" w:line="240" w:lineRule="auto"/>
              <w:rPr>
                <w:rFonts w:eastAsia="Times New Roman" w:cs="Calibri"/>
                <w:sz w:val="22"/>
                <w:lang w:eastAsia="en-GB"/>
              </w:rPr>
            </w:pPr>
            <w:r>
              <w:rPr>
                <w:rFonts w:eastAsia="Times New Roman" w:cs="Calibri"/>
                <w:sz w:val="22"/>
                <w:lang w:eastAsia="en-GB"/>
              </w:rPr>
              <w:t>47 (7.8%)</w:t>
            </w:r>
          </w:p>
        </w:tc>
        <w:tc>
          <w:tcPr>
            <w:tcW w:w="1701" w:type="dxa"/>
            <w:shd w:val="clear" w:color="auto" w:fill="auto"/>
            <w:noWrap/>
            <w:vAlign w:val="bottom"/>
          </w:tcPr>
          <w:p w14:paraId="3AA0E97C" w14:textId="77777777" w:rsidR="007942AC" w:rsidRDefault="007942AC" w:rsidP="007942AC">
            <w:pPr>
              <w:spacing w:after="0" w:line="240" w:lineRule="auto"/>
              <w:jc w:val="center"/>
              <w:rPr>
                <w:rFonts w:eastAsia="Times New Roman" w:cs="Calibri"/>
                <w:sz w:val="22"/>
                <w:lang w:eastAsia="en-GB"/>
              </w:rPr>
            </w:pPr>
            <w:r>
              <w:rPr>
                <w:rFonts w:eastAsia="Times New Roman" w:cs="Calibri"/>
                <w:sz w:val="22"/>
                <w:lang w:eastAsia="en-GB"/>
              </w:rPr>
              <w:t>555 (92.2%)</w:t>
            </w:r>
          </w:p>
        </w:tc>
        <w:tc>
          <w:tcPr>
            <w:tcW w:w="1572" w:type="dxa"/>
            <w:shd w:val="clear" w:color="auto" w:fill="auto"/>
            <w:noWrap/>
            <w:vAlign w:val="bottom"/>
          </w:tcPr>
          <w:p w14:paraId="4A2A14A3" w14:textId="77777777" w:rsidR="007942AC" w:rsidRDefault="007942AC" w:rsidP="007942AC">
            <w:pPr>
              <w:spacing w:after="0" w:line="240" w:lineRule="auto"/>
              <w:jc w:val="center"/>
              <w:rPr>
                <w:rFonts w:eastAsia="Times New Roman" w:cs="Calibri"/>
                <w:sz w:val="22"/>
                <w:lang w:eastAsia="en-GB"/>
              </w:rPr>
            </w:pPr>
            <w:r>
              <w:rPr>
                <w:rFonts w:eastAsia="Times New Roman" w:cs="Calibri"/>
                <w:sz w:val="22"/>
                <w:lang w:eastAsia="en-GB"/>
              </w:rPr>
              <w:t>602</w:t>
            </w:r>
          </w:p>
        </w:tc>
      </w:tr>
      <w:tr w:rsidR="007942AC" w14:paraId="21D5EAF6" w14:textId="77777777" w:rsidTr="007942AC">
        <w:trPr>
          <w:trHeight w:val="283"/>
        </w:trPr>
        <w:tc>
          <w:tcPr>
            <w:tcW w:w="4673" w:type="dxa"/>
            <w:shd w:val="clear" w:color="auto" w:fill="auto"/>
            <w:noWrap/>
            <w:vAlign w:val="bottom"/>
          </w:tcPr>
          <w:p w14:paraId="35A9E403" w14:textId="77777777" w:rsidR="007942AC" w:rsidRDefault="007942AC" w:rsidP="007942AC">
            <w:pPr>
              <w:spacing w:after="0" w:line="240" w:lineRule="auto"/>
              <w:rPr>
                <w:rFonts w:eastAsia="Times New Roman" w:cs="Calibri"/>
                <w:sz w:val="22"/>
                <w:lang w:eastAsia="en-GB"/>
              </w:rPr>
            </w:pPr>
            <w:r>
              <w:rPr>
                <w:rFonts w:eastAsia="Times New Roman" w:cs="Calibri"/>
                <w:sz w:val="22"/>
                <w:lang w:eastAsia="en-GB"/>
              </w:rPr>
              <w:t>Independence</w:t>
            </w:r>
          </w:p>
        </w:tc>
        <w:tc>
          <w:tcPr>
            <w:tcW w:w="1701" w:type="dxa"/>
            <w:shd w:val="clear" w:color="auto" w:fill="auto"/>
            <w:noWrap/>
            <w:vAlign w:val="bottom"/>
          </w:tcPr>
          <w:p w14:paraId="519D1910" w14:textId="77777777" w:rsidR="007942AC" w:rsidRDefault="007942AC" w:rsidP="007942AC">
            <w:pPr>
              <w:spacing w:after="0" w:line="240" w:lineRule="auto"/>
              <w:rPr>
                <w:rFonts w:eastAsia="Times New Roman" w:cs="Calibri"/>
                <w:sz w:val="22"/>
                <w:lang w:eastAsia="en-GB"/>
              </w:rPr>
            </w:pPr>
            <w:r>
              <w:rPr>
                <w:rFonts w:eastAsia="Times New Roman" w:cs="Calibri"/>
                <w:sz w:val="22"/>
                <w:lang w:eastAsia="en-GB"/>
              </w:rPr>
              <w:t>21 (4.9%)</w:t>
            </w:r>
          </w:p>
        </w:tc>
        <w:tc>
          <w:tcPr>
            <w:tcW w:w="1701" w:type="dxa"/>
            <w:shd w:val="clear" w:color="auto" w:fill="auto"/>
            <w:noWrap/>
            <w:vAlign w:val="bottom"/>
          </w:tcPr>
          <w:p w14:paraId="12D749B7" w14:textId="77777777" w:rsidR="007942AC" w:rsidRDefault="007942AC" w:rsidP="007942AC">
            <w:pPr>
              <w:spacing w:after="0" w:line="240" w:lineRule="auto"/>
              <w:jc w:val="center"/>
              <w:rPr>
                <w:rFonts w:eastAsia="Times New Roman" w:cs="Calibri"/>
                <w:sz w:val="22"/>
                <w:lang w:eastAsia="en-GB"/>
              </w:rPr>
            </w:pPr>
            <w:r>
              <w:rPr>
                <w:rFonts w:eastAsia="Times New Roman" w:cs="Calibri"/>
                <w:sz w:val="22"/>
                <w:lang w:eastAsia="en-GB"/>
              </w:rPr>
              <w:t>405 (95.1%)</w:t>
            </w:r>
          </w:p>
        </w:tc>
        <w:tc>
          <w:tcPr>
            <w:tcW w:w="1572" w:type="dxa"/>
            <w:shd w:val="clear" w:color="auto" w:fill="auto"/>
            <w:noWrap/>
            <w:vAlign w:val="bottom"/>
          </w:tcPr>
          <w:p w14:paraId="6833AF38" w14:textId="77777777" w:rsidR="007942AC" w:rsidRDefault="007942AC" w:rsidP="007942AC">
            <w:pPr>
              <w:spacing w:after="0" w:line="240" w:lineRule="auto"/>
              <w:jc w:val="center"/>
              <w:rPr>
                <w:rFonts w:eastAsia="Times New Roman" w:cs="Calibri"/>
                <w:sz w:val="22"/>
                <w:lang w:eastAsia="en-GB"/>
              </w:rPr>
            </w:pPr>
            <w:r>
              <w:rPr>
                <w:rFonts w:eastAsia="Times New Roman" w:cs="Calibri"/>
                <w:sz w:val="22"/>
                <w:lang w:eastAsia="en-GB"/>
              </w:rPr>
              <w:t>426</w:t>
            </w:r>
          </w:p>
        </w:tc>
      </w:tr>
      <w:tr w:rsidR="007942AC" w14:paraId="1C490956" w14:textId="77777777" w:rsidTr="007942AC">
        <w:trPr>
          <w:trHeight w:val="283"/>
        </w:trPr>
        <w:tc>
          <w:tcPr>
            <w:tcW w:w="4673" w:type="dxa"/>
            <w:shd w:val="clear" w:color="auto" w:fill="auto"/>
            <w:noWrap/>
            <w:vAlign w:val="bottom"/>
          </w:tcPr>
          <w:p w14:paraId="26A39D43" w14:textId="77777777" w:rsidR="007942AC" w:rsidRDefault="007942AC" w:rsidP="007942AC">
            <w:pPr>
              <w:spacing w:after="0" w:line="240" w:lineRule="auto"/>
              <w:rPr>
                <w:rFonts w:eastAsia="Times New Roman" w:cs="Calibri"/>
                <w:sz w:val="22"/>
                <w:lang w:eastAsia="en-GB"/>
              </w:rPr>
            </w:pPr>
            <w:r>
              <w:rPr>
                <w:rFonts w:eastAsia="Times New Roman" w:cs="Calibri"/>
                <w:sz w:val="22"/>
                <w:lang w:eastAsia="en-GB"/>
              </w:rPr>
              <w:t>Physical and Sensory</w:t>
            </w:r>
          </w:p>
        </w:tc>
        <w:tc>
          <w:tcPr>
            <w:tcW w:w="1701" w:type="dxa"/>
            <w:shd w:val="clear" w:color="auto" w:fill="auto"/>
            <w:noWrap/>
            <w:vAlign w:val="bottom"/>
          </w:tcPr>
          <w:p w14:paraId="6DD4C829" w14:textId="77777777" w:rsidR="007942AC" w:rsidRDefault="007942AC" w:rsidP="007942AC">
            <w:pPr>
              <w:spacing w:after="0" w:line="240" w:lineRule="auto"/>
              <w:rPr>
                <w:rFonts w:eastAsia="Times New Roman" w:cs="Calibri"/>
                <w:sz w:val="22"/>
                <w:lang w:eastAsia="en-GB"/>
              </w:rPr>
            </w:pPr>
            <w:r>
              <w:rPr>
                <w:rFonts w:eastAsia="Times New Roman" w:cs="Calibri"/>
                <w:sz w:val="22"/>
                <w:lang w:eastAsia="en-GB"/>
              </w:rPr>
              <w:t>12 (12.6%)</w:t>
            </w:r>
          </w:p>
        </w:tc>
        <w:tc>
          <w:tcPr>
            <w:tcW w:w="1701" w:type="dxa"/>
            <w:shd w:val="clear" w:color="auto" w:fill="auto"/>
            <w:noWrap/>
            <w:vAlign w:val="bottom"/>
          </w:tcPr>
          <w:p w14:paraId="170FCF46" w14:textId="77777777" w:rsidR="007942AC" w:rsidRDefault="007942AC" w:rsidP="007942AC">
            <w:pPr>
              <w:spacing w:after="0" w:line="240" w:lineRule="auto"/>
              <w:jc w:val="center"/>
              <w:rPr>
                <w:rFonts w:eastAsia="Times New Roman" w:cs="Calibri"/>
                <w:sz w:val="22"/>
                <w:lang w:eastAsia="en-GB"/>
              </w:rPr>
            </w:pPr>
            <w:r>
              <w:rPr>
                <w:rFonts w:eastAsia="Times New Roman" w:cs="Calibri"/>
                <w:sz w:val="22"/>
                <w:lang w:eastAsia="en-GB"/>
              </w:rPr>
              <w:t>83 (87.4%)</w:t>
            </w:r>
          </w:p>
        </w:tc>
        <w:tc>
          <w:tcPr>
            <w:tcW w:w="1572" w:type="dxa"/>
            <w:shd w:val="clear" w:color="auto" w:fill="auto"/>
            <w:noWrap/>
            <w:vAlign w:val="bottom"/>
          </w:tcPr>
          <w:p w14:paraId="548F6601" w14:textId="77777777" w:rsidR="007942AC" w:rsidRDefault="007942AC" w:rsidP="007942AC">
            <w:pPr>
              <w:spacing w:after="0" w:line="240" w:lineRule="auto"/>
              <w:jc w:val="center"/>
              <w:rPr>
                <w:rFonts w:eastAsia="Times New Roman" w:cs="Calibri"/>
                <w:sz w:val="22"/>
                <w:lang w:eastAsia="en-GB"/>
              </w:rPr>
            </w:pPr>
            <w:r>
              <w:rPr>
                <w:rFonts w:eastAsia="Times New Roman" w:cs="Calibri"/>
                <w:sz w:val="22"/>
                <w:lang w:eastAsia="en-GB"/>
              </w:rPr>
              <w:t>95</w:t>
            </w:r>
          </w:p>
        </w:tc>
      </w:tr>
      <w:tr w:rsidR="007942AC" w14:paraId="2CCD4E3A" w14:textId="77777777" w:rsidTr="007942AC">
        <w:trPr>
          <w:trHeight w:val="283"/>
        </w:trPr>
        <w:tc>
          <w:tcPr>
            <w:tcW w:w="4673" w:type="dxa"/>
            <w:shd w:val="clear" w:color="auto" w:fill="auto"/>
            <w:noWrap/>
            <w:vAlign w:val="bottom"/>
          </w:tcPr>
          <w:p w14:paraId="38F7DAF8" w14:textId="77777777" w:rsidR="007942AC" w:rsidRDefault="007942AC" w:rsidP="007942AC">
            <w:pPr>
              <w:spacing w:after="0" w:line="240" w:lineRule="auto"/>
              <w:rPr>
                <w:rFonts w:eastAsia="Times New Roman" w:cs="Calibri"/>
                <w:sz w:val="22"/>
                <w:lang w:eastAsia="en-GB"/>
              </w:rPr>
            </w:pPr>
            <w:r>
              <w:rPr>
                <w:rFonts w:eastAsia="Times New Roman" w:cs="Calibri"/>
                <w:sz w:val="22"/>
                <w:lang w:eastAsia="en-GB"/>
              </w:rPr>
              <w:t>Social, Emotional Wellbeing</w:t>
            </w:r>
          </w:p>
        </w:tc>
        <w:tc>
          <w:tcPr>
            <w:tcW w:w="1701" w:type="dxa"/>
            <w:shd w:val="clear" w:color="auto" w:fill="auto"/>
            <w:noWrap/>
            <w:vAlign w:val="bottom"/>
          </w:tcPr>
          <w:p w14:paraId="179834D0" w14:textId="77777777" w:rsidR="007942AC" w:rsidRDefault="007942AC" w:rsidP="007942AC">
            <w:pPr>
              <w:spacing w:after="0" w:line="240" w:lineRule="auto"/>
              <w:rPr>
                <w:rFonts w:eastAsia="Times New Roman" w:cs="Calibri"/>
                <w:sz w:val="22"/>
                <w:lang w:eastAsia="en-GB"/>
              </w:rPr>
            </w:pPr>
            <w:r>
              <w:rPr>
                <w:rFonts w:eastAsia="Times New Roman" w:cs="Calibri"/>
                <w:sz w:val="22"/>
                <w:lang w:eastAsia="en-GB"/>
              </w:rPr>
              <w:t>30 (7.8%)</w:t>
            </w:r>
          </w:p>
        </w:tc>
        <w:tc>
          <w:tcPr>
            <w:tcW w:w="1701" w:type="dxa"/>
            <w:shd w:val="clear" w:color="auto" w:fill="auto"/>
            <w:noWrap/>
            <w:vAlign w:val="bottom"/>
          </w:tcPr>
          <w:p w14:paraId="452EC570" w14:textId="77777777" w:rsidR="007942AC" w:rsidRDefault="007942AC" w:rsidP="007942AC">
            <w:pPr>
              <w:spacing w:after="0" w:line="240" w:lineRule="auto"/>
              <w:jc w:val="center"/>
              <w:rPr>
                <w:rFonts w:eastAsia="Times New Roman" w:cs="Calibri"/>
                <w:sz w:val="22"/>
                <w:lang w:eastAsia="en-GB"/>
              </w:rPr>
            </w:pPr>
            <w:r>
              <w:rPr>
                <w:rFonts w:eastAsia="Times New Roman" w:cs="Calibri"/>
                <w:sz w:val="22"/>
                <w:lang w:eastAsia="en-GB"/>
              </w:rPr>
              <w:t>353 (92.2%)</w:t>
            </w:r>
          </w:p>
        </w:tc>
        <w:tc>
          <w:tcPr>
            <w:tcW w:w="1572" w:type="dxa"/>
            <w:shd w:val="clear" w:color="auto" w:fill="auto"/>
            <w:noWrap/>
            <w:vAlign w:val="bottom"/>
          </w:tcPr>
          <w:p w14:paraId="2E59242B" w14:textId="77777777" w:rsidR="007942AC" w:rsidRDefault="007942AC" w:rsidP="007942AC">
            <w:pPr>
              <w:spacing w:after="0" w:line="240" w:lineRule="auto"/>
              <w:jc w:val="center"/>
              <w:rPr>
                <w:rFonts w:eastAsia="Times New Roman" w:cs="Calibri"/>
                <w:sz w:val="22"/>
                <w:lang w:eastAsia="en-GB"/>
              </w:rPr>
            </w:pPr>
            <w:r>
              <w:rPr>
                <w:rFonts w:eastAsia="Times New Roman" w:cs="Calibri"/>
                <w:sz w:val="22"/>
                <w:lang w:eastAsia="en-GB"/>
              </w:rPr>
              <w:t>383</w:t>
            </w:r>
          </w:p>
        </w:tc>
      </w:tr>
      <w:tr w:rsidR="007942AC" w14:paraId="75EBE0C3" w14:textId="77777777" w:rsidTr="007942AC">
        <w:trPr>
          <w:trHeight w:val="283"/>
        </w:trPr>
        <w:tc>
          <w:tcPr>
            <w:tcW w:w="4673" w:type="dxa"/>
            <w:shd w:val="clear" w:color="auto" w:fill="auto"/>
            <w:noWrap/>
            <w:vAlign w:val="bottom"/>
          </w:tcPr>
          <w:p w14:paraId="5B3EE148" w14:textId="77777777" w:rsidR="007942AC" w:rsidRDefault="007942AC" w:rsidP="007942AC">
            <w:pPr>
              <w:spacing w:after="0" w:line="240" w:lineRule="auto"/>
              <w:rPr>
                <w:rFonts w:eastAsia="Times New Roman" w:cs="Calibri"/>
                <w:sz w:val="22"/>
                <w:lang w:eastAsia="en-GB"/>
              </w:rPr>
            </w:pPr>
            <w:r>
              <w:rPr>
                <w:rFonts w:eastAsia="Times New Roman" w:cs="Calibri"/>
                <w:sz w:val="22"/>
                <w:lang w:eastAsia="en-GB"/>
              </w:rPr>
              <w:t>Speech, Language and Communication</w:t>
            </w:r>
          </w:p>
        </w:tc>
        <w:tc>
          <w:tcPr>
            <w:tcW w:w="1701" w:type="dxa"/>
            <w:shd w:val="clear" w:color="auto" w:fill="auto"/>
            <w:noWrap/>
            <w:vAlign w:val="bottom"/>
          </w:tcPr>
          <w:p w14:paraId="16557BAC" w14:textId="77777777" w:rsidR="007942AC" w:rsidRDefault="007942AC" w:rsidP="007942AC">
            <w:pPr>
              <w:spacing w:after="0" w:line="240" w:lineRule="auto"/>
              <w:rPr>
                <w:rFonts w:eastAsia="Times New Roman" w:cs="Calibri"/>
                <w:sz w:val="22"/>
                <w:lang w:eastAsia="en-GB"/>
              </w:rPr>
            </w:pPr>
            <w:r>
              <w:rPr>
                <w:rFonts w:eastAsia="Times New Roman" w:cs="Calibri"/>
                <w:sz w:val="22"/>
                <w:lang w:eastAsia="en-GB"/>
              </w:rPr>
              <w:t>48 (7.2%)</w:t>
            </w:r>
          </w:p>
        </w:tc>
        <w:tc>
          <w:tcPr>
            <w:tcW w:w="1701" w:type="dxa"/>
            <w:shd w:val="clear" w:color="auto" w:fill="auto"/>
            <w:noWrap/>
            <w:vAlign w:val="bottom"/>
          </w:tcPr>
          <w:p w14:paraId="68763A44" w14:textId="77777777" w:rsidR="007942AC" w:rsidRDefault="007942AC" w:rsidP="007942AC">
            <w:pPr>
              <w:spacing w:after="0" w:line="240" w:lineRule="auto"/>
              <w:jc w:val="center"/>
              <w:rPr>
                <w:rFonts w:eastAsia="Times New Roman" w:cs="Calibri"/>
                <w:sz w:val="22"/>
                <w:lang w:eastAsia="en-GB"/>
              </w:rPr>
            </w:pPr>
            <w:r>
              <w:rPr>
                <w:rFonts w:eastAsia="Times New Roman" w:cs="Calibri"/>
                <w:sz w:val="22"/>
                <w:lang w:eastAsia="en-GB"/>
              </w:rPr>
              <w:t>619 (92.8%)</w:t>
            </w:r>
          </w:p>
        </w:tc>
        <w:tc>
          <w:tcPr>
            <w:tcW w:w="1572" w:type="dxa"/>
            <w:shd w:val="clear" w:color="auto" w:fill="auto"/>
            <w:noWrap/>
            <w:vAlign w:val="bottom"/>
          </w:tcPr>
          <w:p w14:paraId="1AA6392B" w14:textId="77777777" w:rsidR="007942AC" w:rsidRDefault="007942AC" w:rsidP="007942AC">
            <w:pPr>
              <w:spacing w:after="0" w:line="240" w:lineRule="auto"/>
              <w:jc w:val="center"/>
              <w:rPr>
                <w:rFonts w:eastAsia="Times New Roman" w:cs="Calibri"/>
                <w:sz w:val="22"/>
                <w:lang w:eastAsia="en-GB"/>
              </w:rPr>
            </w:pPr>
            <w:r>
              <w:rPr>
                <w:rFonts w:eastAsia="Times New Roman" w:cs="Calibri"/>
                <w:sz w:val="22"/>
                <w:lang w:eastAsia="en-GB"/>
              </w:rPr>
              <w:t>667</w:t>
            </w:r>
          </w:p>
        </w:tc>
      </w:tr>
      <w:tr w:rsidR="007942AC" w14:paraId="6FFD3710" w14:textId="77777777" w:rsidTr="007942AC">
        <w:trPr>
          <w:trHeight w:val="283"/>
        </w:trPr>
        <w:tc>
          <w:tcPr>
            <w:tcW w:w="4673" w:type="dxa"/>
            <w:shd w:val="clear" w:color="auto" w:fill="auto"/>
            <w:noWrap/>
            <w:vAlign w:val="bottom"/>
          </w:tcPr>
          <w:p w14:paraId="751A973E" w14:textId="77777777" w:rsidR="007942AC" w:rsidRDefault="007942AC" w:rsidP="007942AC">
            <w:pPr>
              <w:spacing w:after="0" w:line="240" w:lineRule="auto"/>
              <w:rPr>
                <w:rFonts w:eastAsia="Times New Roman" w:cs="Calibri"/>
                <w:b/>
                <w:bCs/>
                <w:sz w:val="22"/>
                <w:lang w:eastAsia="en-GB"/>
              </w:rPr>
            </w:pPr>
            <w:r>
              <w:rPr>
                <w:rFonts w:eastAsia="Times New Roman" w:cs="Calibri"/>
                <w:b/>
                <w:bCs/>
                <w:sz w:val="22"/>
                <w:lang w:eastAsia="en-GB"/>
              </w:rPr>
              <w:t>Grand Total</w:t>
            </w:r>
          </w:p>
        </w:tc>
        <w:tc>
          <w:tcPr>
            <w:tcW w:w="1701" w:type="dxa"/>
            <w:shd w:val="clear" w:color="auto" w:fill="auto"/>
            <w:noWrap/>
            <w:vAlign w:val="bottom"/>
          </w:tcPr>
          <w:p w14:paraId="18290FD9" w14:textId="77777777" w:rsidR="007942AC" w:rsidRDefault="007942AC" w:rsidP="007942AC">
            <w:pPr>
              <w:spacing w:after="0" w:line="240" w:lineRule="auto"/>
              <w:jc w:val="center"/>
              <w:rPr>
                <w:rFonts w:eastAsia="Times New Roman" w:cs="Calibri"/>
                <w:b/>
                <w:bCs/>
                <w:sz w:val="22"/>
                <w:lang w:eastAsia="en-GB"/>
              </w:rPr>
            </w:pPr>
            <w:r>
              <w:rPr>
                <w:rFonts w:eastAsia="Times New Roman" w:cs="Calibri"/>
                <w:b/>
                <w:bCs/>
                <w:sz w:val="22"/>
                <w:lang w:eastAsia="en-GB"/>
              </w:rPr>
              <w:t>158 (7.3%)</w:t>
            </w:r>
          </w:p>
        </w:tc>
        <w:tc>
          <w:tcPr>
            <w:tcW w:w="1701" w:type="dxa"/>
            <w:shd w:val="clear" w:color="auto" w:fill="auto"/>
            <w:noWrap/>
            <w:vAlign w:val="bottom"/>
          </w:tcPr>
          <w:p w14:paraId="7A51C814" w14:textId="77777777" w:rsidR="007942AC" w:rsidRDefault="007942AC" w:rsidP="007942AC">
            <w:pPr>
              <w:spacing w:after="0" w:line="240" w:lineRule="auto"/>
              <w:jc w:val="center"/>
              <w:rPr>
                <w:rFonts w:eastAsia="Times New Roman" w:cs="Calibri"/>
                <w:b/>
                <w:bCs/>
                <w:sz w:val="22"/>
                <w:lang w:eastAsia="en-GB"/>
              </w:rPr>
            </w:pPr>
            <w:r>
              <w:rPr>
                <w:rFonts w:eastAsia="Times New Roman" w:cs="Calibri"/>
                <w:b/>
                <w:bCs/>
                <w:sz w:val="22"/>
                <w:lang w:eastAsia="en-GB"/>
              </w:rPr>
              <w:t>2015 (92.7%)</w:t>
            </w:r>
          </w:p>
        </w:tc>
        <w:tc>
          <w:tcPr>
            <w:tcW w:w="1572" w:type="dxa"/>
            <w:shd w:val="clear" w:color="auto" w:fill="auto"/>
            <w:noWrap/>
            <w:vAlign w:val="bottom"/>
          </w:tcPr>
          <w:p w14:paraId="2E7595B6" w14:textId="77777777" w:rsidR="007942AC" w:rsidRDefault="007942AC" w:rsidP="007942AC">
            <w:pPr>
              <w:spacing w:after="0" w:line="240" w:lineRule="auto"/>
              <w:jc w:val="center"/>
              <w:rPr>
                <w:rFonts w:eastAsia="Times New Roman" w:cs="Calibri"/>
                <w:b/>
                <w:bCs/>
                <w:sz w:val="22"/>
                <w:lang w:eastAsia="en-GB"/>
              </w:rPr>
            </w:pPr>
            <w:r>
              <w:rPr>
                <w:rFonts w:eastAsia="Times New Roman" w:cs="Calibri"/>
                <w:b/>
                <w:bCs/>
                <w:sz w:val="22"/>
                <w:lang w:eastAsia="en-GB"/>
              </w:rPr>
              <w:t>2173</w:t>
            </w:r>
          </w:p>
        </w:tc>
      </w:tr>
    </w:tbl>
    <w:p w14:paraId="75195293" w14:textId="77777777" w:rsidR="007942AC" w:rsidRDefault="007942AC" w:rsidP="007942AC">
      <w:pPr>
        <w:rPr>
          <w:b/>
          <w:u w:val="single"/>
        </w:rPr>
      </w:pPr>
      <w:r>
        <w:rPr>
          <w:b/>
          <w:u w:val="single"/>
        </w:rPr>
        <w:t>Spring Term 22/23</w:t>
      </w:r>
    </w:p>
    <w:p w14:paraId="643E004A" w14:textId="023CD871" w:rsidR="007942AC" w:rsidRDefault="007942AC" w:rsidP="007942AC">
      <w:pPr>
        <w:rPr>
          <w:b/>
          <w:u w:val="single"/>
        </w:rPr>
      </w:pPr>
    </w:p>
    <w:p w14:paraId="3951EC83" w14:textId="3739DB02" w:rsidR="00681067" w:rsidRDefault="00681067" w:rsidP="00681067">
      <w:pPr>
        <w:rPr>
          <w:bCs/>
        </w:rPr>
      </w:pPr>
      <w:r w:rsidRPr="0091336D">
        <w:rPr>
          <w:bCs/>
        </w:rPr>
        <w:t>Assessment data from the S</w:t>
      </w:r>
      <w:r>
        <w:rPr>
          <w:bCs/>
        </w:rPr>
        <w:t>ummer</w:t>
      </w:r>
      <w:r w:rsidRPr="0091336D">
        <w:rPr>
          <w:bCs/>
        </w:rPr>
        <w:t xml:space="preserve"> Term would suggest there has been improvement across all domains; with the proportion of targets being identified as ‘On track’ increasing. </w:t>
      </w:r>
    </w:p>
    <w:p w14:paraId="16EB1FAE" w14:textId="17514B3D" w:rsidR="00681067" w:rsidRDefault="00681067" w:rsidP="00681067">
      <w:pPr>
        <w:rPr>
          <w:bCs/>
        </w:rPr>
      </w:pPr>
      <w:r>
        <w:rPr>
          <w:bCs/>
        </w:rPr>
        <w:t xml:space="preserve">The best performing domain in the </w:t>
      </w:r>
      <w:proofErr w:type="gramStart"/>
      <w:r>
        <w:rPr>
          <w:bCs/>
        </w:rPr>
        <w:t>Summer</w:t>
      </w:r>
      <w:proofErr w:type="gramEnd"/>
      <w:r>
        <w:rPr>
          <w:bCs/>
        </w:rPr>
        <w:t xml:space="preserve"> term is ‘Speech, Language and Communication’ with the number of targets being categorised as </w:t>
      </w:r>
      <w:r w:rsidR="00B71709">
        <w:rPr>
          <w:bCs/>
        </w:rPr>
        <w:t>‘</w:t>
      </w:r>
      <w:r>
        <w:rPr>
          <w:bCs/>
        </w:rPr>
        <w:t>on track</w:t>
      </w:r>
      <w:r w:rsidR="00B71709">
        <w:rPr>
          <w:bCs/>
        </w:rPr>
        <w:t>’</w:t>
      </w:r>
      <w:r>
        <w:rPr>
          <w:bCs/>
        </w:rPr>
        <w:t xml:space="preserve"> increasing by nearly 4% since last term. </w:t>
      </w:r>
    </w:p>
    <w:p w14:paraId="552B11A1" w14:textId="0639F68A" w:rsidR="00681067" w:rsidRDefault="00681067" w:rsidP="00681067">
      <w:pPr>
        <w:rPr>
          <w:bCs/>
        </w:rPr>
      </w:pPr>
      <w:r>
        <w:rPr>
          <w:bCs/>
        </w:rPr>
        <w:t>In line with the Spring Term,</w:t>
      </w:r>
      <w:r w:rsidRPr="009F4376">
        <w:rPr>
          <w:bCs/>
        </w:rPr>
        <w:t xml:space="preserve"> </w:t>
      </w:r>
      <w:r>
        <w:rPr>
          <w:bCs/>
        </w:rPr>
        <w:t>P</w:t>
      </w:r>
      <w:r w:rsidRPr="009F4376">
        <w:rPr>
          <w:bCs/>
        </w:rPr>
        <w:t xml:space="preserve">hysical and </w:t>
      </w:r>
      <w:r>
        <w:rPr>
          <w:bCs/>
        </w:rPr>
        <w:t>S</w:t>
      </w:r>
      <w:r w:rsidRPr="009F4376">
        <w:rPr>
          <w:bCs/>
        </w:rPr>
        <w:t xml:space="preserve">ensory </w:t>
      </w:r>
      <w:r>
        <w:rPr>
          <w:bCs/>
        </w:rPr>
        <w:t xml:space="preserve">remains the domain with the largest proportion of targets identified as being ‘Not on Track’. This is the domain with the smallest number of targets; with only 85 targets in total across the whole school. </w:t>
      </w:r>
      <w:r w:rsidR="00AF7BD4">
        <w:rPr>
          <w:bCs/>
        </w:rPr>
        <w:t>Over half of</w:t>
      </w:r>
      <w:r>
        <w:rPr>
          <w:bCs/>
        </w:rPr>
        <w:t xml:space="preserve"> ‘Not on Track’ targets are due to ‘attendance’</w:t>
      </w:r>
      <w:r w:rsidR="00AF7BD4">
        <w:rPr>
          <w:bCs/>
        </w:rPr>
        <w:t xml:space="preserve">, with </w:t>
      </w:r>
      <w:r w:rsidR="00B71709">
        <w:rPr>
          <w:bCs/>
        </w:rPr>
        <w:t>3</w:t>
      </w:r>
      <w:r w:rsidR="00534303">
        <w:rPr>
          <w:bCs/>
        </w:rPr>
        <w:t xml:space="preserve"> of the </w:t>
      </w:r>
      <w:r w:rsidR="00B71709">
        <w:rPr>
          <w:bCs/>
        </w:rPr>
        <w:t>13</w:t>
      </w:r>
      <w:r w:rsidR="00AF7BD4">
        <w:rPr>
          <w:bCs/>
        </w:rPr>
        <w:t xml:space="preserve"> attribut</w:t>
      </w:r>
      <w:r w:rsidR="00534303">
        <w:rPr>
          <w:bCs/>
        </w:rPr>
        <w:t>ed</w:t>
      </w:r>
      <w:r w:rsidR="00AF7BD4">
        <w:rPr>
          <w:bCs/>
        </w:rPr>
        <w:t xml:space="preserve"> to one </w:t>
      </w:r>
      <w:r w:rsidR="00534303">
        <w:rPr>
          <w:bCs/>
        </w:rPr>
        <w:t>student.</w:t>
      </w:r>
      <w:r>
        <w:rPr>
          <w:bCs/>
        </w:rPr>
        <w:t xml:space="preserve"> </w:t>
      </w:r>
    </w:p>
    <w:p w14:paraId="7E3E4E2D" w14:textId="374A1B72" w:rsidR="00AF7BD4" w:rsidRDefault="00AF7BD4" w:rsidP="00681067">
      <w:pPr>
        <w:rPr>
          <w:bCs/>
        </w:rPr>
      </w:pPr>
    </w:p>
    <w:p w14:paraId="310BAB13" w14:textId="27AEB665" w:rsidR="00AF7BD4" w:rsidRDefault="00AF7BD4" w:rsidP="00681067">
      <w:pPr>
        <w:rPr>
          <w:bCs/>
        </w:rPr>
      </w:pPr>
    </w:p>
    <w:p w14:paraId="749806E5" w14:textId="074D86F7" w:rsidR="00AF7BD4" w:rsidRDefault="00AF7BD4" w:rsidP="00681067">
      <w:pPr>
        <w:rPr>
          <w:bCs/>
        </w:rPr>
      </w:pPr>
    </w:p>
    <w:p w14:paraId="443F6A4D" w14:textId="4FDDEB22" w:rsidR="00AF7BD4" w:rsidRDefault="00AF7BD4" w:rsidP="00681067">
      <w:pPr>
        <w:rPr>
          <w:bCs/>
        </w:rPr>
      </w:pPr>
    </w:p>
    <w:p w14:paraId="0F92450E" w14:textId="796FEB6C" w:rsidR="00AF7BD4" w:rsidRDefault="00AF7BD4" w:rsidP="00681067">
      <w:pPr>
        <w:rPr>
          <w:bCs/>
        </w:rPr>
      </w:pPr>
    </w:p>
    <w:tbl>
      <w:tblPr>
        <w:tblStyle w:val="TableGrid"/>
        <w:tblpPr w:leftFromText="180" w:rightFromText="180" w:vertAnchor="text" w:horzAnchor="margin" w:tblpXSpec="right" w:tblpY="691"/>
        <w:tblOverlap w:val="never"/>
        <w:tblW w:w="0" w:type="auto"/>
        <w:tblLook w:val="04A0" w:firstRow="1" w:lastRow="0" w:firstColumn="1" w:lastColumn="0" w:noHBand="0" w:noVBand="1"/>
      </w:tblPr>
      <w:tblGrid>
        <w:gridCol w:w="2898"/>
        <w:gridCol w:w="579"/>
      </w:tblGrid>
      <w:tr w:rsidR="00203806" w:rsidRPr="0063762B" w14:paraId="0A9E1EE2" w14:textId="77777777" w:rsidTr="00203806">
        <w:trPr>
          <w:trHeight w:val="487"/>
        </w:trPr>
        <w:tc>
          <w:tcPr>
            <w:tcW w:w="2898" w:type="dxa"/>
            <w:tcBorders>
              <w:right w:val="single" w:sz="4" w:space="0" w:color="auto"/>
            </w:tcBorders>
            <w:shd w:val="clear" w:color="auto" w:fill="FFFF00"/>
            <w:noWrap/>
          </w:tcPr>
          <w:p w14:paraId="07CD6B1B" w14:textId="77777777" w:rsidR="00203806" w:rsidRPr="0063762B" w:rsidRDefault="00203806" w:rsidP="00203806">
            <w:pPr>
              <w:rPr>
                <w:noProof/>
                <w:sz w:val="18"/>
                <w:szCs w:val="16"/>
                <w:lang w:eastAsia="en-GB"/>
              </w:rPr>
            </w:pPr>
            <w:r>
              <w:rPr>
                <w:noProof/>
                <w:sz w:val="18"/>
                <w:szCs w:val="16"/>
                <w:lang w:eastAsia="en-GB"/>
              </w:rPr>
              <w:lastRenderedPageBreak/>
              <w:t>Attendance</w:t>
            </w:r>
          </w:p>
        </w:tc>
        <w:tc>
          <w:tcPr>
            <w:tcW w:w="579" w:type="dxa"/>
            <w:tcBorders>
              <w:top w:val="single" w:sz="4" w:space="0" w:color="auto"/>
              <w:left w:val="single" w:sz="4" w:space="0" w:color="auto"/>
              <w:bottom w:val="single" w:sz="4" w:space="0" w:color="auto"/>
              <w:right w:val="single" w:sz="4" w:space="0" w:color="auto"/>
            </w:tcBorders>
            <w:shd w:val="clear" w:color="auto" w:fill="FFFF00"/>
            <w:vAlign w:val="bottom"/>
          </w:tcPr>
          <w:p w14:paraId="6E92A3AD" w14:textId="77777777" w:rsidR="00203806" w:rsidRPr="0063762B" w:rsidRDefault="00203806" w:rsidP="00203806">
            <w:pPr>
              <w:rPr>
                <w:noProof/>
                <w:sz w:val="18"/>
                <w:szCs w:val="16"/>
                <w:lang w:eastAsia="en-GB"/>
              </w:rPr>
            </w:pPr>
            <w:r>
              <w:rPr>
                <w:rFonts w:cs="Calibri"/>
                <w:color w:val="000000"/>
                <w:sz w:val="18"/>
                <w:szCs w:val="16"/>
              </w:rPr>
              <w:t>51</w:t>
            </w:r>
          </w:p>
        </w:tc>
      </w:tr>
      <w:tr w:rsidR="00203806" w:rsidRPr="0063762B" w14:paraId="63204DCB" w14:textId="77777777" w:rsidTr="00203806">
        <w:trPr>
          <w:trHeight w:val="487"/>
        </w:trPr>
        <w:tc>
          <w:tcPr>
            <w:tcW w:w="2898" w:type="dxa"/>
            <w:tcBorders>
              <w:right w:val="single" w:sz="4" w:space="0" w:color="auto"/>
            </w:tcBorders>
            <w:shd w:val="clear" w:color="auto" w:fill="ED7D31" w:themeFill="accent2"/>
            <w:noWrap/>
          </w:tcPr>
          <w:p w14:paraId="6F138177" w14:textId="77777777" w:rsidR="00203806" w:rsidRPr="0063762B" w:rsidRDefault="00203806" w:rsidP="00203806">
            <w:pPr>
              <w:rPr>
                <w:noProof/>
                <w:sz w:val="18"/>
                <w:szCs w:val="16"/>
                <w:lang w:eastAsia="en-GB"/>
              </w:rPr>
            </w:pPr>
            <w:r>
              <w:rPr>
                <w:noProof/>
                <w:sz w:val="18"/>
                <w:szCs w:val="16"/>
                <w:lang w:eastAsia="en-GB"/>
              </w:rPr>
              <w:t>Medical</w:t>
            </w:r>
          </w:p>
        </w:tc>
        <w:tc>
          <w:tcPr>
            <w:tcW w:w="579" w:type="dxa"/>
            <w:tcBorders>
              <w:top w:val="single" w:sz="4" w:space="0" w:color="auto"/>
              <w:left w:val="single" w:sz="4" w:space="0" w:color="auto"/>
              <w:bottom w:val="single" w:sz="4" w:space="0" w:color="auto"/>
              <w:right w:val="single" w:sz="4" w:space="0" w:color="auto"/>
            </w:tcBorders>
            <w:shd w:val="clear" w:color="auto" w:fill="ED7D31" w:themeFill="accent2"/>
            <w:vAlign w:val="bottom"/>
          </w:tcPr>
          <w:p w14:paraId="5A5AA95D" w14:textId="0912E6A3" w:rsidR="00203806" w:rsidRPr="0063762B" w:rsidRDefault="00534303" w:rsidP="00203806">
            <w:pPr>
              <w:rPr>
                <w:noProof/>
                <w:sz w:val="18"/>
                <w:szCs w:val="16"/>
                <w:lang w:eastAsia="en-GB"/>
              </w:rPr>
            </w:pPr>
            <w:r>
              <w:rPr>
                <w:noProof/>
                <w:sz w:val="18"/>
                <w:szCs w:val="16"/>
                <w:lang w:eastAsia="en-GB"/>
              </w:rPr>
              <w:t>16</w:t>
            </w:r>
          </w:p>
        </w:tc>
      </w:tr>
      <w:tr w:rsidR="00203806" w:rsidRPr="0063762B" w14:paraId="341D7914" w14:textId="77777777" w:rsidTr="00203806">
        <w:trPr>
          <w:trHeight w:val="487"/>
        </w:trPr>
        <w:tc>
          <w:tcPr>
            <w:tcW w:w="2898" w:type="dxa"/>
            <w:tcBorders>
              <w:right w:val="single" w:sz="4" w:space="0" w:color="auto"/>
            </w:tcBorders>
            <w:shd w:val="clear" w:color="auto" w:fill="C00000"/>
            <w:noWrap/>
          </w:tcPr>
          <w:p w14:paraId="69554BFF" w14:textId="77777777" w:rsidR="00203806" w:rsidRDefault="00203806" w:rsidP="00203806">
            <w:pPr>
              <w:rPr>
                <w:noProof/>
                <w:sz w:val="18"/>
                <w:szCs w:val="16"/>
                <w:lang w:eastAsia="en-GB"/>
              </w:rPr>
            </w:pPr>
            <w:r w:rsidRPr="00AF7BD4">
              <w:rPr>
                <w:noProof/>
                <w:color w:val="000000" w:themeColor="text1"/>
                <w:sz w:val="18"/>
                <w:szCs w:val="16"/>
                <w:lang w:eastAsia="en-GB"/>
              </w:rPr>
              <w:t>Emotional</w:t>
            </w:r>
          </w:p>
        </w:tc>
        <w:tc>
          <w:tcPr>
            <w:tcW w:w="579" w:type="dxa"/>
            <w:tcBorders>
              <w:top w:val="single" w:sz="4" w:space="0" w:color="auto"/>
              <w:left w:val="single" w:sz="4" w:space="0" w:color="auto"/>
              <w:bottom w:val="single" w:sz="4" w:space="0" w:color="auto"/>
              <w:right w:val="single" w:sz="4" w:space="0" w:color="auto"/>
            </w:tcBorders>
            <w:shd w:val="clear" w:color="auto" w:fill="C00000"/>
            <w:vAlign w:val="bottom"/>
          </w:tcPr>
          <w:p w14:paraId="08515B05" w14:textId="77777777" w:rsidR="00203806" w:rsidRDefault="00203806" w:rsidP="00203806">
            <w:pPr>
              <w:rPr>
                <w:rFonts w:cs="Calibri"/>
                <w:color w:val="000000"/>
                <w:sz w:val="18"/>
                <w:szCs w:val="16"/>
              </w:rPr>
            </w:pPr>
            <w:r>
              <w:rPr>
                <w:rFonts w:cs="Calibri"/>
                <w:color w:val="000000"/>
                <w:sz w:val="18"/>
                <w:szCs w:val="16"/>
              </w:rPr>
              <w:t>3</w:t>
            </w:r>
          </w:p>
        </w:tc>
      </w:tr>
      <w:tr w:rsidR="00203806" w:rsidRPr="0063762B" w14:paraId="3AB1D620" w14:textId="77777777" w:rsidTr="00203806">
        <w:trPr>
          <w:trHeight w:val="487"/>
        </w:trPr>
        <w:tc>
          <w:tcPr>
            <w:tcW w:w="2898" w:type="dxa"/>
            <w:tcBorders>
              <w:right w:val="single" w:sz="4" w:space="0" w:color="auto"/>
            </w:tcBorders>
            <w:shd w:val="clear" w:color="auto" w:fill="92D050"/>
            <w:noWrap/>
          </w:tcPr>
          <w:p w14:paraId="69BAB8D3" w14:textId="77777777" w:rsidR="00203806" w:rsidRPr="0063762B" w:rsidRDefault="00203806" w:rsidP="00203806">
            <w:pPr>
              <w:rPr>
                <w:noProof/>
                <w:sz w:val="18"/>
                <w:szCs w:val="16"/>
                <w:lang w:eastAsia="en-GB"/>
              </w:rPr>
            </w:pPr>
            <w:r>
              <w:rPr>
                <w:noProof/>
                <w:sz w:val="18"/>
                <w:szCs w:val="16"/>
                <w:lang w:eastAsia="en-GB"/>
              </w:rPr>
              <w:t>Resources/training</w:t>
            </w:r>
          </w:p>
        </w:tc>
        <w:tc>
          <w:tcPr>
            <w:tcW w:w="579" w:type="dxa"/>
            <w:tcBorders>
              <w:top w:val="single" w:sz="4" w:space="0" w:color="auto"/>
              <w:left w:val="single" w:sz="4" w:space="0" w:color="auto"/>
              <w:bottom w:val="single" w:sz="4" w:space="0" w:color="auto"/>
              <w:right w:val="single" w:sz="4" w:space="0" w:color="auto"/>
            </w:tcBorders>
            <w:shd w:val="clear" w:color="auto" w:fill="92D050"/>
            <w:vAlign w:val="bottom"/>
          </w:tcPr>
          <w:p w14:paraId="3B515836" w14:textId="77777777" w:rsidR="00203806" w:rsidRPr="0063762B" w:rsidRDefault="00203806" w:rsidP="00203806">
            <w:pPr>
              <w:rPr>
                <w:noProof/>
                <w:sz w:val="18"/>
                <w:szCs w:val="16"/>
                <w:lang w:eastAsia="en-GB"/>
              </w:rPr>
            </w:pPr>
            <w:r>
              <w:rPr>
                <w:noProof/>
                <w:sz w:val="18"/>
                <w:szCs w:val="16"/>
                <w:lang w:eastAsia="en-GB"/>
              </w:rPr>
              <w:t>2</w:t>
            </w:r>
          </w:p>
        </w:tc>
      </w:tr>
      <w:tr w:rsidR="00203806" w:rsidRPr="0063762B" w14:paraId="0E905E93" w14:textId="77777777" w:rsidTr="00203806">
        <w:trPr>
          <w:trHeight w:val="487"/>
        </w:trPr>
        <w:tc>
          <w:tcPr>
            <w:tcW w:w="2898" w:type="dxa"/>
            <w:tcBorders>
              <w:right w:val="single" w:sz="4" w:space="0" w:color="auto"/>
            </w:tcBorders>
            <w:shd w:val="clear" w:color="auto" w:fill="7030A0"/>
            <w:noWrap/>
          </w:tcPr>
          <w:p w14:paraId="5370608A" w14:textId="77777777" w:rsidR="00203806" w:rsidRPr="0063762B" w:rsidRDefault="00203806" w:rsidP="00203806">
            <w:pPr>
              <w:rPr>
                <w:noProof/>
                <w:sz w:val="18"/>
                <w:szCs w:val="16"/>
                <w:lang w:eastAsia="en-GB"/>
              </w:rPr>
            </w:pPr>
            <w:r>
              <w:rPr>
                <w:noProof/>
                <w:sz w:val="18"/>
                <w:szCs w:val="16"/>
                <w:lang w:eastAsia="en-GB"/>
              </w:rPr>
              <w:t>Inappropriate expectation</w:t>
            </w:r>
          </w:p>
        </w:tc>
        <w:tc>
          <w:tcPr>
            <w:tcW w:w="579" w:type="dxa"/>
            <w:tcBorders>
              <w:top w:val="single" w:sz="4" w:space="0" w:color="auto"/>
              <w:left w:val="single" w:sz="4" w:space="0" w:color="auto"/>
              <w:bottom w:val="single" w:sz="4" w:space="0" w:color="auto"/>
              <w:right w:val="single" w:sz="4" w:space="0" w:color="auto"/>
            </w:tcBorders>
            <w:shd w:val="clear" w:color="auto" w:fill="7030A0"/>
            <w:vAlign w:val="bottom"/>
          </w:tcPr>
          <w:p w14:paraId="193482F3" w14:textId="77777777" w:rsidR="00203806" w:rsidRPr="0063762B" w:rsidRDefault="00203806" w:rsidP="00203806">
            <w:pPr>
              <w:rPr>
                <w:noProof/>
                <w:sz w:val="18"/>
                <w:szCs w:val="16"/>
                <w:lang w:eastAsia="en-GB"/>
              </w:rPr>
            </w:pPr>
            <w:r>
              <w:rPr>
                <w:noProof/>
                <w:sz w:val="18"/>
                <w:szCs w:val="16"/>
                <w:lang w:eastAsia="en-GB"/>
              </w:rPr>
              <w:t>12</w:t>
            </w:r>
          </w:p>
        </w:tc>
      </w:tr>
      <w:tr w:rsidR="00203806" w:rsidRPr="0063762B" w14:paraId="6FC13CD2" w14:textId="77777777" w:rsidTr="00203806">
        <w:trPr>
          <w:trHeight w:val="487"/>
        </w:trPr>
        <w:tc>
          <w:tcPr>
            <w:tcW w:w="2898" w:type="dxa"/>
            <w:tcBorders>
              <w:right w:val="single" w:sz="4" w:space="0" w:color="auto"/>
            </w:tcBorders>
            <w:shd w:val="clear" w:color="auto" w:fill="00B0F0"/>
            <w:noWrap/>
          </w:tcPr>
          <w:p w14:paraId="5388ED04" w14:textId="77777777" w:rsidR="00203806" w:rsidRPr="0063762B" w:rsidRDefault="00203806" w:rsidP="00203806">
            <w:pPr>
              <w:rPr>
                <w:noProof/>
                <w:sz w:val="18"/>
                <w:szCs w:val="16"/>
                <w:lang w:eastAsia="en-GB"/>
              </w:rPr>
            </w:pPr>
            <w:r>
              <w:rPr>
                <w:noProof/>
                <w:sz w:val="18"/>
                <w:szCs w:val="16"/>
                <w:lang w:eastAsia="en-GB"/>
              </w:rPr>
              <w:t>Unable to make provision</w:t>
            </w:r>
          </w:p>
        </w:tc>
        <w:tc>
          <w:tcPr>
            <w:tcW w:w="579" w:type="dxa"/>
            <w:tcBorders>
              <w:top w:val="single" w:sz="4" w:space="0" w:color="auto"/>
              <w:left w:val="single" w:sz="4" w:space="0" w:color="auto"/>
              <w:bottom w:val="single" w:sz="4" w:space="0" w:color="auto"/>
              <w:right w:val="single" w:sz="4" w:space="0" w:color="auto"/>
            </w:tcBorders>
            <w:shd w:val="clear" w:color="auto" w:fill="00B0F0"/>
            <w:vAlign w:val="bottom"/>
          </w:tcPr>
          <w:p w14:paraId="46F99476" w14:textId="77777777" w:rsidR="00203806" w:rsidRPr="0063762B" w:rsidRDefault="00203806" w:rsidP="00203806">
            <w:pPr>
              <w:rPr>
                <w:noProof/>
                <w:sz w:val="18"/>
                <w:szCs w:val="16"/>
                <w:lang w:eastAsia="en-GB"/>
              </w:rPr>
            </w:pPr>
            <w:r>
              <w:rPr>
                <w:noProof/>
                <w:sz w:val="18"/>
                <w:szCs w:val="16"/>
                <w:lang w:eastAsia="en-GB"/>
              </w:rPr>
              <w:t>12</w:t>
            </w:r>
          </w:p>
        </w:tc>
      </w:tr>
      <w:tr w:rsidR="00203806" w:rsidRPr="0063762B" w14:paraId="02E377E5" w14:textId="77777777" w:rsidTr="00203806">
        <w:trPr>
          <w:trHeight w:val="487"/>
        </w:trPr>
        <w:tc>
          <w:tcPr>
            <w:tcW w:w="2898" w:type="dxa"/>
            <w:tcBorders>
              <w:right w:val="single" w:sz="4" w:space="0" w:color="auto"/>
            </w:tcBorders>
            <w:shd w:val="clear" w:color="auto" w:fill="0070C0"/>
            <w:noWrap/>
          </w:tcPr>
          <w:p w14:paraId="634728D7" w14:textId="77777777" w:rsidR="00203806" w:rsidRPr="0063762B" w:rsidRDefault="00203806" w:rsidP="00203806">
            <w:pPr>
              <w:rPr>
                <w:noProof/>
                <w:sz w:val="18"/>
                <w:szCs w:val="16"/>
                <w:lang w:eastAsia="en-GB"/>
              </w:rPr>
            </w:pPr>
            <w:r>
              <w:rPr>
                <w:noProof/>
                <w:sz w:val="18"/>
                <w:szCs w:val="16"/>
                <w:lang w:eastAsia="en-GB"/>
              </w:rPr>
              <w:t xml:space="preserve">Staffing inconsistencies </w:t>
            </w:r>
          </w:p>
        </w:tc>
        <w:tc>
          <w:tcPr>
            <w:tcW w:w="579" w:type="dxa"/>
            <w:tcBorders>
              <w:top w:val="single" w:sz="4" w:space="0" w:color="auto"/>
              <w:left w:val="single" w:sz="4" w:space="0" w:color="auto"/>
              <w:bottom w:val="single" w:sz="4" w:space="0" w:color="auto"/>
              <w:right w:val="single" w:sz="4" w:space="0" w:color="auto"/>
            </w:tcBorders>
            <w:shd w:val="clear" w:color="auto" w:fill="0070C0"/>
            <w:vAlign w:val="bottom"/>
          </w:tcPr>
          <w:p w14:paraId="3BF6B751" w14:textId="77777777" w:rsidR="00203806" w:rsidRPr="0063762B" w:rsidRDefault="00203806" w:rsidP="00203806">
            <w:pPr>
              <w:rPr>
                <w:noProof/>
                <w:sz w:val="18"/>
                <w:szCs w:val="16"/>
                <w:lang w:eastAsia="en-GB"/>
              </w:rPr>
            </w:pPr>
            <w:r>
              <w:rPr>
                <w:noProof/>
                <w:sz w:val="18"/>
                <w:szCs w:val="16"/>
                <w:lang w:eastAsia="en-GB"/>
              </w:rPr>
              <w:t>20</w:t>
            </w:r>
          </w:p>
        </w:tc>
      </w:tr>
      <w:tr w:rsidR="00203806" w:rsidRPr="0063762B" w14:paraId="6FC42E9B" w14:textId="77777777" w:rsidTr="00203806">
        <w:trPr>
          <w:trHeight w:val="487"/>
        </w:trPr>
        <w:tc>
          <w:tcPr>
            <w:tcW w:w="2898" w:type="dxa"/>
            <w:shd w:val="clear" w:color="auto" w:fill="auto"/>
            <w:noWrap/>
            <w:hideMark/>
          </w:tcPr>
          <w:p w14:paraId="6E3DFD9C" w14:textId="77777777" w:rsidR="00203806" w:rsidRPr="0063762B" w:rsidRDefault="00203806" w:rsidP="00203806">
            <w:pPr>
              <w:rPr>
                <w:b/>
                <w:bCs/>
                <w:noProof/>
                <w:sz w:val="18"/>
                <w:szCs w:val="16"/>
                <w:lang w:eastAsia="en-GB"/>
              </w:rPr>
            </w:pPr>
            <w:r w:rsidRPr="0063762B">
              <w:rPr>
                <w:b/>
                <w:bCs/>
                <w:noProof/>
                <w:sz w:val="18"/>
                <w:szCs w:val="16"/>
                <w:lang w:eastAsia="en-GB"/>
              </w:rPr>
              <w:t>Grand Total</w:t>
            </w:r>
          </w:p>
        </w:tc>
        <w:tc>
          <w:tcPr>
            <w:tcW w:w="579" w:type="dxa"/>
            <w:tcBorders>
              <w:top w:val="single" w:sz="4" w:space="0" w:color="auto"/>
              <w:left w:val="nil"/>
              <w:bottom w:val="single" w:sz="4" w:space="0" w:color="auto"/>
              <w:right w:val="single" w:sz="4" w:space="0" w:color="auto"/>
            </w:tcBorders>
            <w:shd w:val="clear" w:color="auto" w:fill="auto"/>
            <w:vAlign w:val="bottom"/>
          </w:tcPr>
          <w:p w14:paraId="5B37339F" w14:textId="77777777" w:rsidR="00203806" w:rsidRPr="0063762B" w:rsidRDefault="00203806" w:rsidP="00203806">
            <w:pPr>
              <w:rPr>
                <w:b/>
                <w:bCs/>
                <w:noProof/>
                <w:sz w:val="18"/>
                <w:szCs w:val="16"/>
                <w:lang w:eastAsia="en-GB"/>
              </w:rPr>
            </w:pPr>
            <w:r>
              <w:rPr>
                <w:b/>
                <w:bCs/>
                <w:noProof/>
                <w:sz w:val="18"/>
                <w:szCs w:val="16"/>
                <w:lang w:eastAsia="en-GB"/>
              </w:rPr>
              <w:t>158</w:t>
            </w:r>
          </w:p>
        </w:tc>
      </w:tr>
    </w:tbl>
    <w:p w14:paraId="7C9805BB" w14:textId="0B08C7CB" w:rsidR="00AF7BD4" w:rsidRDefault="00F71BD9" w:rsidP="00681067">
      <w:pPr>
        <w:rPr>
          <w:bCs/>
        </w:rPr>
      </w:pPr>
      <w:r>
        <w:rPr>
          <w:noProof/>
        </w:rPr>
        <w:drawing>
          <wp:anchor distT="0" distB="0" distL="114300" distR="114300" simplePos="0" relativeHeight="251658240" behindDoc="1" locked="0" layoutInCell="1" allowOverlap="1" wp14:anchorId="45B67D2A" wp14:editId="6F9516D4">
            <wp:simplePos x="0" y="0"/>
            <wp:positionH relativeFrom="page">
              <wp:posOffset>866140</wp:posOffset>
            </wp:positionH>
            <wp:positionV relativeFrom="paragraph">
              <wp:posOffset>421005</wp:posOffset>
            </wp:positionV>
            <wp:extent cx="3410585" cy="2726690"/>
            <wp:effectExtent l="0" t="0" r="18415" b="16510"/>
            <wp:wrapTight wrapText="bothSides">
              <wp:wrapPolygon edited="0">
                <wp:start x="0" y="0"/>
                <wp:lineTo x="0" y="21580"/>
                <wp:lineTo x="21596" y="21580"/>
                <wp:lineTo x="21596" y="0"/>
                <wp:lineTo x="0" y="0"/>
              </wp:wrapPolygon>
            </wp:wrapTight>
            <wp:docPr id="1" name="Chart 1">
              <a:extLst xmlns:a="http://schemas.openxmlformats.org/drawingml/2006/main">
                <a:ext uri="{FF2B5EF4-FFF2-40B4-BE49-F238E27FC236}">
                  <a16:creationId xmlns:a16="http://schemas.microsoft.com/office/drawing/2014/main" id="{F6454254-966F-4D1F-A2D4-C43FC61E96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p>
    <w:p w14:paraId="58425F21" w14:textId="79569E6E" w:rsidR="00534303" w:rsidRDefault="00534303" w:rsidP="00681067">
      <w:pPr>
        <w:rPr>
          <w:bCs/>
        </w:rPr>
      </w:pPr>
    </w:p>
    <w:p w14:paraId="5832EF36" w14:textId="3FAD1E43" w:rsidR="00EB0983" w:rsidRDefault="00203806" w:rsidP="00681067">
      <w:pPr>
        <w:rPr>
          <w:bCs/>
        </w:rPr>
      </w:pPr>
      <w:r>
        <w:rPr>
          <w:bCs/>
        </w:rPr>
        <w:t xml:space="preserve">Attendance has been identified as the main reason for why targets are ‘Not on Track’. </w:t>
      </w:r>
      <w:r w:rsidR="00E3203D">
        <w:rPr>
          <w:bCs/>
        </w:rPr>
        <w:t>3</w:t>
      </w:r>
      <w:r w:rsidR="00534303">
        <w:rPr>
          <w:bCs/>
        </w:rPr>
        <w:t xml:space="preserve">6 of the </w:t>
      </w:r>
      <w:r>
        <w:rPr>
          <w:bCs/>
        </w:rPr>
        <w:t xml:space="preserve">51 </w:t>
      </w:r>
      <w:r w:rsidR="00534303">
        <w:rPr>
          <w:bCs/>
        </w:rPr>
        <w:t>‘not on track’</w:t>
      </w:r>
      <w:r>
        <w:rPr>
          <w:bCs/>
        </w:rPr>
        <w:t xml:space="preserve"> </w:t>
      </w:r>
      <w:r w:rsidR="00422013">
        <w:rPr>
          <w:bCs/>
        </w:rPr>
        <w:t>targets</w:t>
      </w:r>
      <w:r w:rsidR="00534303">
        <w:rPr>
          <w:bCs/>
        </w:rPr>
        <w:t xml:space="preserve"> due to attendance</w:t>
      </w:r>
      <w:r w:rsidR="00422013">
        <w:rPr>
          <w:bCs/>
        </w:rPr>
        <w:t xml:space="preserve"> pertain to </w:t>
      </w:r>
      <w:r w:rsidR="00E3203D">
        <w:rPr>
          <w:bCs/>
        </w:rPr>
        <w:t>four</w:t>
      </w:r>
      <w:r w:rsidR="00422013">
        <w:rPr>
          <w:bCs/>
        </w:rPr>
        <w:t xml:space="preserve"> student</w:t>
      </w:r>
      <w:r w:rsidR="00EB0983">
        <w:rPr>
          <w:bCs/>
        </w:rPr>
        <w:t>s</w:t>
      </w:r>
      <w:r w:rsidR="00422013">
        <w:rPr>
          <w:bCs/>
        </w:rPr>
        <w:t xml:space="preserve"> who have </w:t>
      </w:r>
      <w:r w:rsidR="00534303">
        <w:rPr>
          <w:bCs/>
        </w:rPr>
        <w:t xml:space="preserve">not </w:t>
      </w:r>
      <w:r w:rsidR="00E3203D">
        <w:rPr>
          <w:bCs/>
        </w:rPr>
        <w:t xml:space="preserve">met </w:t>
      </w:r>
      <w:r w:rsidR="00534303">
        <w:rPr>
          <w:bCs/>
        </w:rPr>
        <w:t>any of their targets due to</w:t>
      </w:r>
      <w:r w:rsidR="00E3203D">
        <w:rPr>
          <w:bCs/>
        </w:rPr>
        <w:t xml:space="preserve"> having attendance ranging from 0-54.8%</w:t>
      </w:r>
      <w:r w:rsidR="00422013">
        <w:rPr>
          <w:bCs/>
        </w:rPr>
        <w:t>.</w:t>
      </w:r>
      <w:r w:rsidR="00534303">
        <w:rPr>
          <w:bCs/>
        </w:rPr>
        <w:t xml:space="preserve"> </w:t>
      </w:r>
      <w:r w:rsidR="00422013">
        <w:rPr>
          <w:bCs/>
        </w:rPr>
        <w:t xml:space="preserve"> Attendance has been highlighted as a priority for the school and there is now an Assistant Headteacher with responsibility for this area. This lead works in conjunction with the Pastoral Team to tackle persistent absenteeism; holding individual parental meetings, sending out key updates and reminders to parents, carrying out home visits for absences over </w:t>
      </w:r>
      <w:r w:rsidR="00E3203D">
        <w:rPr>
          <w:bCs/>
        </w:rPr>
        <w:t>5</w:t>
      </w:r>
      <w:r w:rsidR="00422013">
        <w:rPr>
          <w:bCs/>
        </w:rPr>
        <w:t xml:space="preserve"> days and also ensuring day-to-day procedures are followed up with regards to reporting daily absence.</w:t>
      </w:r>
      <w:r w:rsidR="00EB0983">
        <w:rPr>
          <w:bCs/>
        </w:rPr>
        <w:t xml:space="preserve"> Reduced timetables have also been reviewed, with students and their families being supported to ensure the students are accessing as full an education as possible. </w:t>
      </w:r>
    </w:p>
    <w:p w14:paraId="370AC0D0" w14:textId="77777777" w:rsidR="00F71BD9" w:rsidRDefault="00F71BD9" w:rsidP="00EB0983">
      <w:pPr>
        <w:rPr>
          <w:b/>
          <w:u w:val="single"/>
        </w:rPr>
      </w:pPr>
    </w:p>
    <w:p w14:paraId="08CF67D9" w14:textId="300B2803" w:rsidR="00EB0983" w:rsidRDefault="00F3474E" w:rsidP="00EB0983">
      <w:pPr>
        <w:rPr>
          <w:b/>
          <w:u w:val="single"/>
        </w:rPr>
      </w:pPr>
      <w:r>
        <w:rPr>
          <w:b/>
          <w:u w:val="single"/>
        </w:rPr>
        <w:t>S</w:t>
      </w:r>
      <w:r w:rsidR="00EB0983" w:rsidRPr="007659B5">
        <w:rPr>
          <w:b/>
          <w:u w:val="single"/>
        </w:rPr>
        <w:t>ection 2: Pupil Premium and LAC</w:t>
      </w:r>
    </w:p>
    <w:p w14:paraId="17CF98BF" w14:textId="77777777" w:rsidR="00EB0983" w:rsidRDefault="00EB0983" w:rsidP="00EB0983">
      <w:pPr>
        <w:rPr>
          <w:u w:val="single"/>
        </w:rPr>
      </w:pPr>
      <w:r>
        <w:rPr>
          <w:u w:val="single"/>
        </w:rPr>
        <w:t xml:space="preserve">Pupil Premium v non-Pupil Premium  </w:t>
      </w:r>
    </w:p>
    <w:tbl>
      <w:tblPr>
        <w:tblStyle w:val="TableGrid"/>
        <w:tblW w:w="9016" w:type="dxa"/>
        <w:tblLook w:val="04A0" w:firstRow="1" w:lastRow="0" w:firstColumn="1" w:lastColumn="0" w:noHBand="0" w:noVBand="1"/>
      </w:tblPr>
      <w:tblGrid>
        <w:gridCol w:w="1846"/>
        <w:gridCol w:w="1523"/>
        <w:gridCol w:w="1876"/>
        <w:gridCol w:w="1709"/>
        <w:gridCol w:w="2062"/>
      </w:tblGrid>
      <w:tr w:rsidR="00EB0983" w14:paraId="6E56CC3D" w14:textId="77777777" w:rsidTr="00A522BC">
        <w:tc>
          <w:tcPr>
            <w:tcW w:w="1846" w:type="dxa"/>
            <w:tcBorders>
              <w:top w:val="nil"/>
              <w:left w:val="nil"/>
              <w:bottom w:val="nil"/>
              <w:right w:val="single" w:sz="4" w:space="0" w:color="auto"/>
            </w:tcBorders>
            <w:shd w:val="clear" w:color="auto" w:fill="FFFFFF" w:themeFill="background1"/>
          </w:tcPr>
          <w:p w14:paraId="1223919C" w14:textId="77777777" w:rsidR="00EB0983" w:rsidRDefault="00EB0983" w:rsidP="00A522BC">
            <w:pPr>
              <w:jc w:val="center"/>
              <w:rPr>
                <w:b/>
              </w:rPr>
            </w:pPr>
            <w:bookmarkStart w:id="0" w:name="_Hlk114737435"/>
          </w:p>
        </w:tc>
        <w:tc>
          <w:tcPr>
            <w:tcW w:w="3399" w:type="dxa"/>
            <w:gridSpan w:val="2"/>
            <w:tcBorders>
              <w:left w:val="single" w:sz="4" w:space="0" w:color="auto"/>
              <w:right w:val="single" w:sz="4" w:space="0" w:color="auto"/>
            </w:tcBorders>
            <w:shd w:val="clear" w:color="auto" w:fill="BFBFBF" w:themeFill="background1" w:themeFillShade="BF"/>
            <w:vAlign w:val="bottom"/>
          </w:tcPr>
          <w:p w14:paraId="7995C651" w14:textId="13D75275" w:rsidR="00EB0983" w:rsidRDefault="00F3474E" w:rsidP="00A522BC">
            <w:pPr>
              <w:jc w:val="center"/>
              <w:rPr>
                <w:rFonts w:eastAsia="Times New Roman" w:cs="Calibri"/>
                <w:b/>
                <w:sz w:val="22"/>
                <w:lang w:eastAsia="en-GB"/>
              </w:rPr>
            </w:pPr>
            <w:r>
              <w:rPr>
                <w:rFonts w:eastAsia="Times New Roman" w:cs="Calibri"/>
                <w:b/>
                <w:sz w:val="22"/>
                <w:lang w:eastAsia="en-GB"/>
              </w:rPr>
              <w:t>Summer 2022-23</w:t>
            </w:r>
          </w:p>
        </w:tc>
        <w:tc>
          <w:tcPr>
            <w:tcW w:w="3771" w:type="dxa"/>
            <w:gridSpan w:val="2"/>
            <w:shd w:val="clear" w:color="auto" w:fill="BFBFBF" w:themeFill="background1" w:themeFillShade="BF"/>
            <w:vAlign w:val="bottom"/>
          </w:tcPr>
          <w:p w14:paraId="01E5F78F" w14:textId="2297605C" w:rsidR="00EB0983" w:rsidRDefault="00EB0983" w:rsidP="00A522BC">
            <w:pPr>
              <w:jc w:val="center"/>
              <w:rPr>
                <w:rFonts w:eastAsia="Times New Roman" w:cs="Calibri"/>
                <w:b/>
                <w:sz w:val="22"/>
                <w:lang w:eastAsia="en-GB"/>
              </w:rPr>
            </w:pPr>
            <w:r>
              <w:rPr>
                <w:rFonts w:eastAsia="Times New Roman" w:cs="Calibri"/>
                <w:b/>
                <w:sz w:val="22"/>
                <w:lang w:eastAsia="en-GB"/>
              </w:rPr>
              <w:t>Spring 2022-23</w:t>
            </w:r>
          </w:p>
        </w:tc>
      </w:tr>
      <w:tr w:rsidR="00EB0983" w14:paraId="06091B2F" w14:textId="77777777" w:rsidTr="00A522BC">
        <w:tc>
          <w:tcPr>
            <w:tcW w:w="1846" w:type="dxa"/>
            <w:tcBorders>
              <w:top w:val="nil"/>
              <w:left w:val="nil"/>
              <w:bottom w:val="single" w:sz="4" w:space="0" w:color="auto"/>
              <w:right w:val="single" w:sz="4" w:space="0" w:color="auto"/>
            </w:tcBorders>
            <w:shd w:val="clear" w:color="auto" w:fill="FFFFFF" w:themeFill="background1"/>
          </w:tcPr>
          <w:p w14:paraId="12E62F36" w14:textId="77777777" w:rsidR="00EB0983" w:rsidRDefault="00EB0983" w:rsidP="00A522BC">
            <w:pPr>
              <w:jc w:val="center"/>
              <w:rPr>
                <w:b/>
              </w:rPr>
            </w:pPr>
          </w:p>
        </w:tc>
        <w:tc>
          <w:tcPr>
            <w:tcW w:w="1523" w:type="dxa"/>
            <w:tcBorders>
              <w:left w:val="single" w:sz="4" w:space="0" w:color="auto"/>
              <w:right w:val="single" w:sz="4" w:space="0" w:color="auto"/>
            </w:tcBorders>
            <w:shd w:val="clear" w:color="auto" w:fill="BFBFBF" w:themeFill="background1" w:themeFillShade="BF"/>
          </w:tcPr>
          <w:p w14:paraId="23ADD627" w14:textId="77777777" w:rsidR="00EB0983" w:rsidRPr="002C12E7" w:rsidRDefault="00EB0983" w:rsidP="00A522BC">
            <w:pPr>
              <w:jc w:val="center"/>
              <w:rPr>
                <w:b/>
                <w:sz w:val="22"/>
              </w:rPr>
            </w:pPr>
            <w:r w:rsidRPr="002C12E7">
              <w:rPr>
                <w:b/>
                <w:sz w:val="22"/>
              </w:rPr>
              <w:t>Non pupil premium</w:t>
            </w:r>
          </w:p>
        </w:tc>
        <w:tc>
          <w:tcPr>
            <w:tcW w:w="1876" w:type="dxa"/>
            <w:tcBorders>
              <w:left w:val="single" w:sz="4" w:space="0" w:color="auto"/>
            </w:tcBorders>
            <w:shd w:val="clear" w:color="auto" w:fill="BFBFBF" w:themeFill="background1" w:themeFillShade="BF"/>
          </w:tcPr>
          <w:p w14:paraId="5EFD5E19" w14:textId="77777777" w:rsidR="00EB0983" w:rsidRPr="002C12E7" w:rsidRDefault="00EB0983" w:rsidP="00A522BC">
            <w:pPr>
              <w:jc w:val="center"/>
              <w:rPr>
                <w:b/>
                <w:sz w:val="22"/>
              </w:rPr>
            </w:pPr>
            <w:r w:rsidRPr="002C12E7">
              <w:rPr>
                <w:b/>
                <w:sz w:val="22"/>
              </w:rPr>
              <w:t>Pupil premium</w:t>
            </w:r>
          </w:p>
        </w:tc>
        <w:tc>
          <w:tcPr>
            <w:tcW w:w="1709" w:type="dxa"/>
            <w:shd w:val="clear" w:color="auto" w:fill="BFBFBF" w:themeFill="background1" w:themeFillShade="BF"/>
          </w:tcPr>
          <w:p w14:paraId="390FCD4F" w14:textId="77777777" w:rsidR="00EB0983" w:rsidRPr="002C12E7" w:rsidRDefault="00EB0983" w:rsidP="00A522BC">
            <w:pPr>
              <w:jc w:val="center"/>
              <w:rPr>
                <w:b/>
                <w:sz w:val="22"/>
              </w:rPr>
            </w:pPr>
            <w:r w:rsidRPr="002C12E7">
              <w:rPr>
                <w:b/>
                <w:sz w:val="22"/>
              </w:rPr>
              <w:t>Non pupil premium</w:t>
            </w:r>
          </w:p>
        </w:tc>
        <w:tc>
          <w:tcPr>
            <w:tcW w:w="2062" w:type="dxa"/>
            <w:shd w:val="clear" w:color="auto" w:fill="BFBFBF" w:themeFill="background1" w:themeFillShade="BF"/>
          </w:tcPr>
          <w:p w14:paraId="2E441C94" w14:textId="77777777" w:rsidR="00EB0983" w:rsidRPr="002C12E7" w:rsidRDefault="00EB0983" w:rsidP="00A522BC">
            <w:pPr>
              <w:jc w:val="center"/>
              <w:rPr>
                <w:b/>
                <w:sz w:val="22"/>
              </w:rPr>
            </w:pPr>
            <w:r w:rsidRPr="002C12E7">
              <w:rPr>
                <w:b/>
                <w:sz w:val="22"/>
              </w:rPr>
              <w:t>Pupil premium</w:t>
            </w:r>
          </w:p>
        </w:tc>
      </w:tr>
      <w:tr w:rsidR="00EB0983" w14:paraId="304E23D0" w14:textId="77777777" w:rsidTr="00A522BC">
        <w:tc>
          <w:tcPr>
            <w:tcW w:w="1846" w:type="dxa"/>
            <w:tcBorders>
              <w:top w:val="single" w:sz="4" w:space="0" w:color="auto"/>
            </w:tcBorders>
          </w:tcPr>
          <w:p w14:paraId="26647D24" w14:textId="77777777" w:rsidR="00EB0983" w:rsidRPr="002C12E7" w:rsidRDefault="00EB0983" w:rsidP="00EB0983">
            <w:pPr>
              <w:jc w:val="center"/>
              <w:rPr>
                <w:sz w:val="22"/>
                <w:szCs w:val="20"/>
              </w:rPr>
            </w:pPr>
            <w:r w:rsidRPr="002C12E7">
              <w:rPr>
                <w:sz w:val="22"/>
                <w:szCs w:val="20"/>
              </w:rPr>
              <w:t>Not On Track</w:t>
            </w:r>
          </w:p>
        </w:tc>
        <w:tc>
          <w:tcPr>
            <w:tcW w:w="1523" w:type="dxa"/>
          </w:tcPr>
          <w:p w14:paraId="7821A837" w14:textId="2F19DECE" w:rsidR="00EB0983" w:rsidRPr="002C12E7" w:rsidRDefault="00F3474E" w:rsidP="00EB0983">
            <w:pPr>
              <w:jc w:val="center"/>
              <w:rPr>
                <w:sz w:val="22"/>
                <w:szCs w:val="20"/>
              </w:rPr>
            </w:pPr>
            <w:r>
              <w:rPr>
                <w:sz w:val="22"/>
                <w:szCs w:val="20"/>
              </w:rPr>
              <w:t>7.0%</w:t>
            </w:r>
          </w:p>
        </w:tc>
        <w:tc>
          <w:tcPr>
            <w:tcW w:w="1876" w:type="dxa"/>
          </w:tcPr>
          <w:p w14:paraId="3E3F3387" w14:textId="2CE1E97D" w:rsidR="00EB0983" w:rsidRPr="002C12E7" w:rsidRDefault="00F3474E" w:rsidP="00EB0983">
            <w:pPr>
              <w:jc w:val="center"/>
              <w:rPr>
                <w:sz w:val="22"/>
                <w:szCs w:val="20"/>
              </w:rPr>
            </w:pPr>
            <w:r>
              <w:rPr>
                <w:sz w:val="22"/>
                <w:szCs w:val="20"/>
              </w:rPr>
              <w:t>2.7%</w:t>
            </w:r>
          </w:p>
        </w:tc>
        <w:tc>
          <w:tcPr>
            <w:tcW w:w="1709" w:type="dxa"/>
          </w:tcPr>
          <w:p w14:paraId="19A88B1A" w14:textId="41DCCCEA" w:rsidR="00EB0983" w:rsidRPr="002C12E7" w:rsidRDefault="00EB0983" w:rsidP="00EB0983">
            <w:pPr>
              <w:jc w:val="center"/>
              <w:rPr>
                <w:sz w:val="22"/>
                <w:szCs w:val="20"/>
              </w:rPr>
            </w:pPr>
            <w:r w:rsidRPr="002C12E7">
              <w:rPr>
                <w:sz w:val="22"/>
                <w:szCs w:val="20"/>
              </w:rPr>
              <w:t>6.8%</w:t>
            </w:r>
          </w:p>
        </w:tc>
        <w:tc>
          <w:tcPr>
            <w:tcW w:w="2062" w:type="dxa"/>
          </w:tcPr>
          <w:p w14:paraId="71ED1BBD" w14:textId="0640B963" w:rsidR="00EB0983" w:rsidRPr="002C12E7" w:rsidRDefault="00EB0983" w:rsidP="00EB0983">
            <w:pPr>
              <w:jc w:val="center"/>
              <w:rPr>
                <w:sz w:val="22"/>
                <w:szCs w:val="20"/>
              </w:rPr>
            </w:pPr>
            <w:r w:rsidRPr="002C12E7">
              <w:rPr>
                <w:sz w:val="22"/>
                <w:szCs w:val="20"/>
              </w:rPr>
              <w:t>2.6%</w:t>
            </w:r>
          </w:p>
        </w:tc>
      </w:tr>
      <w:tr w:rsidR="00EB0983" w14:paraId="5B4AADC0" w14:textId="77777777" w:rsidTr="00A522BC">
        <w:tc>
          <w:tcPr>
            <w:tcW w:w="1846" w:type="dxa"/>
          </w:tcPr>
          <w:p w14:paraId="40C0A9AB" w14:textId="77777777" w:rsidR="00EB0983" w:rsidRPr="002C12E7" w:rsidRDefault="00EB0983" w:rsidP="00EB0983">
            <w:pPr>
              <w:jc w:val="center"/>
              <w:rPr>
                <w:sz w:val="22"/>
                <w:szCs w:val="20"/>
              </w:rPr>
            </w:pPr>
            <w:r w:rsidRPr="002C12E7">
              <w:rPr>
                <w:sz w:val="22"/>
                <w:szCs w:val="20"/>
              </w:rPr>
              <w:t>On Track</w:t>
            </w:r>
          </w:p>
        </w:tc>
        <w:tc>
          <w:tcPr>
            <w:tcW w:w="1523" w:type="dxa"/>
          </w:tcPr>
          <w:p w14:paraId="3A39ED6C" w14:textId="41003772" w:rsidR="00EB0983" w:rsidRPr="002C12E7" w:rsidRDefault="00F3474E" w:rsidP="00EB0983">
            <w:pPr>
              <w:jc w:val="center"/>
              <w:rPr>
                <w:sz w:val="22"/>
                <w:szCs w:val="20"/>
              </w:rPr>
            </w:pPr>
            <w:r>
              <w:rPr>
                <w:sz w:val="22"/>
                <w:szCs w:val="20"/>
              </w:rPr>
              <w:t>93.0%</w:t>
            </w:r>
          </w:p>
        </w:tc>
        <w:tc>
          <w:tcPr>
            <w:tcW w:w="1876" w:type="dxa"/>
          </w:tcPr>
          <w:p w14:paraId="5B561C14" w14:textId="7D25BC1B" w:rsidR="00EB0983" w:rsidRPr="002C12E7" w:rsidRDefault="00F3474E" w:rsidP="00EB0983">
            <w:pPr>
              <w:jc w:val="center"/>
              <w:rPr>
                <w:sz w:val="22"/>
                <w:szCs w:val="20"/>
              </w:rPr>
            </w:pPr>
            <w:r>
              <w:rPr>
                <w:sz w:val="22"/>
                <w:szCs w:val="20"/>
              </w:rPr>
              <w:t>97.3%</w:t>
            </w:r>
          </w:p>
        </w:tc>
        <w:tc>
          <w:tcPr>
            <w:tcW w:w="1709" w:type="dxa"/>
          </w:tcPr>
          <w:p w14:paraId="11800EEC" w14:textId="416AD747" w:rsidR="00EB0983" w:rsidRPr="002C12E7" w:rsidRDefault="00EB0983" w:rsidP="00EB0983">
            <w:pPr>
              <w:jc w:val="center"/>
              <w:rPr>
                <w:sz w:val="22"/>
                <w:szCs w:val="20"/>
              </w:rPr>
            </w:pPr>
            <w:r w:rsidRPr="002C12E7">
              <w:rPr>
                <w:sz w:val="22"/>
                <w:szCs w:val="20"/>
              </w:rPr>
              <w:t>93.2%</w:t>
            </w:r>
          </w:p>
        </w:tc>
        <w:tc>
          <w:tcPr>
            <w:tcW w:w="2062" w:type="dxa"/>
          </w:tcPr>
          <w:p w14:paraId="78C93D89" w14:textId="145DE199" w:rsidR="00EB0983" w:rsidRPr="002C12E7" w:rsidRDefault="00EB0983" w:rsidP="00EB0983">
            <w:pPr>
              <w:jc w:val="center"/>
              <w:rPr>
                <w:sz w:val="22"/>
                <w:szCs w:val="20"/>
              </w:rPr>
            </w:pPr>
            <w:r w:rsidRPr="002C12E7">
              <w:rPr>
                <w:sz w:val="22"/>
                <w:szCs w:val="20"/>
              </w:rPr>
              <w:t>97.4%</w:t>
            </w:r>
          </w:p>
        </w:tc>
      </w:tr>
    </w:tbl>
    <w:bookmarkEnd w:id="0"/>
    <w:p w14:paraId="4EA656E0" w14:textId="77777777" w:rsidR="00F3474E" w:rsidRPr="002C12E7" w:rsidRDefault="00F3474E" w:rsidP="00F3474E">
      <w:r>
        <w:lastRenderedPageBreak/>
        <w:t xml:space="preserve">Positively, the data demonstrates that the Pupil Premium cohort continue to outperform the non-pupil premium, in relation to the proportion of targets ‘On Track’. It must be acknowledged that social deprivation is not the main barrier to learning for students with complex learning difficulties, however the data indicates there has been an effective use of the Pupil Premium funding. This funding has allowed the school to provide multiple learning opportunities and additional provision. </w:t>
      </w:r>
    </w:p>
    <w:p w14:paraId="1B4137EC" w14:textId="77777777" w:rsidR="00F71BD9" w:rsidRDefault="00F71BD9" w:rsidP="00F3474E">
      <w:pPr>
        <w:rPr>
          <w:u w:val="single"/>
        </w:rPr>
      </w:pPr>
    </w:p>
    <w:p w14:paraId="68964467" w14:textId="018D0D3B" w:rsidR="00F3474E" w:rsidRDefault="00F3474E" w:rsidP="00F3474E">
      <w:pPr>
        <w:rPr>
          <w:u w:val="single"/>
        </w:rPr>
      </w:pPr>
      <w:r w:rsidRPr="000E57EB">
        <w:rPr>
          <w:u w:val="single"/>
        </w:rPr>
        <w:t xml:space="preserve">LAC </w:t>
      </w:r>
      <w:r>
        <w:rPr>
          <w:u w:val="single"/>
        </w:rPr>
        <w:t>S</w:t>
      </w:r>
      <w:r>
        <w:rPr>
          <w:u w:val="single"/>
        </w:rPr>
        <w:t>ummer</w:t>
      </w:r>
      <w:r w:rsidRPr="000E57EB">
        <w:rPr>
          <w:u w:val="single"/>
        </w:rPr>
        <w:t xml:space="preserve"> </w:t>
      </w:r>
      <w:r>
        <w:rPr>
          <w:u w:val="single"/>
        </w:rPr>
        <w:t>T</w:t>
      </w:r>
      <w:r w:rsidRPr="000E57EB">
        <w:rPr>
          <w:u w:val="single"/>
        </w:rPr>
        <w:t xml:space="preserve">erm </w:t>
      </w:r>
    </w:p>
    <w:tbl>
      <w:tblPr>
        <w:tblStyle w:val="TableGrid"/>
        <w:tblW w:w="9141" w:type="dxa"/>
        <w:tblLook w:val="04A0" w:firstRow="1" w:lastRow="0" w:firstColumn="1" w:lastColumn="0" w:noHBand="0" w:noVBand="1"/>
      </w:tblPr>
      <w:tblGrid>
        <w:gridCol w:w="2887"/>
        <w:gridCol w:w="3074"/>
        <w:gridCol w:w="3180"/>
      </w:tblGrid>
      <w:tr w:rsidR="00F3474E" w14:paraId="60E5C02D" w14:textId="77777777" w:rsidTr="00F3474E">
        <w:trPr>
          <w:trHeight w:val="438"/>
        </w:trPr>
        <w:tc>
          <w:tcPr>
            <w:tcW w:w="2887" w:type="dxa"/>
            <w:tcBorders>
              <w:top w:val="nil"/>
              <w:left w:val="nil"/>
              <w:bottom w:val="nil"/>
              <w:right w:val="single" w:sz="4" w:space="0" w:color="auto"/>
            </w:tcBorders>
            <w:shd w:val="clear" w:color="auto" w:fill="FFFFFF" w:themeFill="background1"/>
          </w:tcPr>
          <w:p w14:paraId="67CB1B14" w14:textId="77777777" w:rsidR="00F3474E" w:rsidRDefault="00F3474E" w:rsidP="00105889">
            <w:pPr>
              <w:jc w:val="center"/>
              <w:rPr>
                <w:b/>
              </w:rPr>
            </w:pPr>
          </w:p>
        </w:tc>
        <w:tc>
          <w:tcPr>
            <w:tcW w:w="6254" w:type="dxa"/>
            <w:gridSpan w:val="2"/>
            <w:tcBorders>
              <w:left w:val="single" w:sz="4" w:space="0" w:color="auto"/>
              <w:right w:val="single" w:sz="4" w:space="0" w:color="auto"/>
            </w:tcBorders>
            <w:shd w:val="clear" w:color="auto" w:fill="BFBFBF" w:themeFill="background1" w:themeFillShade="BF"/>
            <w:vAlign w:val="bottom"/>
          </w:tcPr>
          <w:p w14:paraId="771379CE" w14:textId="77777777" w:rsidR="00F3474E" w:rsidRDefault="00F3474E" w:rsidP="00105889">
            <w:pPr>
              <w:jc w:val="center"/>
              <w:rPr>
                <w:rFonts w:eastAsia="Times New Roman" w:cs="Calibri"/>
                <w:b/>
                <w:sz w:val="22"/>
                <w:lang w:eastAsia="en-GB"/>
              </w:rPr>
            </w:pPr>
            <w:r>
              <w:rPr>
                <w:rFonts w:eastAsia="Times New Roman" w:cs="Calibri"/>
                <w:b/>
                <w:sz w:val="22"/>
                <w:lang w:eastAsia="en-GB"/>
              </w:rPr>
              <w:t>S</w:t>
            </w:r>
            <w:r>
              <w:rPr>
                <w:rFonts w:eastAsia="Times New Roman" w:cs="Calibri"/>
                <w:b/>
                <w:sz w:val="22"/>
                <w:lang w:eastAsia="en-GB"/>
              </w:rPr>
              <w:t>ummer</w:t>
            </w:r>
            <w:r>
              <w:rPr>
                <w:rFonts w:eastAsia="Times New Roman" w:cs="Calibri"/>
                <w:b/>
                <w:sz w:val="22"/>
                <w:lang w:eastAsia="en-GB"/>
              </w:rPr>
              <w:t xml:space="preserve"> 2022-23</w:t>
            </w:r>
          </w:p>
        </w:tc>
      </w:tr>
      <w:tr w:rsidR="00F3474E" w:rsidRPr="002C12E7" w14:paraId="6DBE0095" w14:textId="77777777" w:rsidTr="00F3474E">
        <w:trPr>
          <w:trHeight w:val="425"/>
        </w:trPr>
        <w:tc>
          <w:tcPr>
            <w:tcW w:w="2887" w:type="dxa"/>
            <w:tcBorders>
              <w:top w:val="nil"/>
              <w:left w:val="nil"/>
              <w:bottom w:val="single" w:sz="4" w:space="0" w:color="auto"/>
              <w:right w:val="single" w:sz="4" w:space="0" w:color="auto"/>
            </w:tcBorders>
            <w:shd w:val="clear" w:color="auto" w:fill="FFFFFF" w:themeFill="background1"/>
          </w:tcPr>
          <w:p w14:paraId="690A6EAA" w14:textId="77777777" w:rsidR="00F3474E" w:rsidRDefault="00F3474E" w:rsidP="00105889">
            <w:pPr>
              <w:jc w:val="center"/>
              <w:rPr>
                <w:b/>
              </w:rPr>
            </w:pPr>
          </w:p>
        </w:tc>
        <w:tc>
          <w:tcPr>
            <w:tcW w:w="3074" w:type="dxa"/>
            <w:tcBorders>
              <w:left w:val="single" w:sz="4" w:space="0" w:color="auto"/>
              <w:right w:val="single" w:sz="4" w:space="0" w:color="auto"/>
            </w:tcBorders>
            <w:shd w:val="clear" w:color="auto" w:fill="BFBFBF" w:themeFill="background1" w:themeFillShade="BF"/>
          </w:tcPr>
          <w:p w14:paraId="50445450" w14:textId="77777777" w:rsidR="00F3474E" w:rsidRPr="002C12E7" w:rsidRDefault="00F3474E" w:rsidP="00105889">
            <w:pPr>
              <w:jc w:val="center"/>
              <w:rPr>
                <w:b/>
                <w:sz w:val="22"/>
              </w:rPr>
            </w:pPr>
            <w:proofErr w:type="gramStart"/>
            <w:r w:rsidRPr="002C12E7">
              <w:rPr>
                <w:b/>
                <w:sz w:val="22"/>
              </w:rPr>
              <w:t xml:space="preserve">Non </w:t>
            </w:r>
            <w:r>
              <w:rPr>
                <w:b/>
                <w:sz w:val="22"/>
              </w:rPr>
              <w:t>LAC</w:t>
            </w:r>
            <w:proofErr w:type="gramEnd"/>
          </w:p>
        </w:tc>
        <w:tc>
          <w:tcPr>
            <w:tcW w:w="3179" w:type="dxa"/>
            <w:tcBorders>
              <w:left w:val="single" w:sz="4" w:space="0" w:color="auto"/>
            </w:tcBorders>
            <w:shd w:val="clear" w:color="auto" w:fill="BFBFBF" w:themeFill="background1" w:themeFillShade="BF"/>
          </w:tcPr>
          <w:p w14:paraId="686351C2" w14:textId="77777777" w:rsidR="00F3474E" w:rsidRPr="002C12E7" w:rsidRDefault="00F3474E" w:rsidP="00105889">
            <w:pPr>
              <w:jc w:val="center"/>
              <w:rPr>
                <w:b/>
                <w:sz w:val="22"/>
              </w:rPr>
            </w:pPr>
            <w:r>
              <w:rPr>
                <w:b/>
                <w:sz w:val="22"/>
              </w:rPr>
              <w:t>LAC</w:t>
            </w:r>
          </w:p>
        </w:tc>
      </w:tr>
      <w:tr w:rsidR="00F3474E" w:rsidRPr="002C12E7" w14:paraId="46C42324" w14:textId="77777777" w:rsidTr="00F3474E">
        <w:trPr>
          <w:trHeight w:val="413"/>
        </w:trPr>
        <w:tc>
          <w:tcPr>
            <w:tcW w:w="2887" w:type="dxa"/>
            <w:tcBorders>
              <w:top w:val="single" w:sz="4" w:space="0" w:color="auto"/>
            </w:tcBorders>
          </w:tcPr>
          <w:p w14:paraId="2D294160" w14:textId="77777777" w:rsidR="00F3474E" w:rsidRPr="002C12E7" w:rsidRDefault="00F3474E" w:rsidP="00105889">
            <w:pPr>
              <w:jc w:val="center"/>
              <w:rPr>
                <w:sz w:val="22"/>
                <w:szCs w:val="20"/>
              </w:rPr>
            </w:pPr>
            <w:r w:rsidRPr="002C12E7">
              <w:rPr>
                <w:sz w:val="22"/>
                <w:szCs w:val="20"/>
              </w:rPr>
              <w:t>Not On Track</w:t>
            </w:r>
          </w:p>
        </w:tc>
        <w:tc>
          <w:tcPr>
            <w:tcW w:w="3074" w:type="dxa"/>
          </w:tcPr>
          <w:p w14:paraId="22BDD36C" w14:textId="0C9102F4" w:rsidR="00F3474E" w:rsidRPr="002C12E7" w:rsidRDefault="00F3474E" w:rsidP="00105889">
            <w:pPr>
              <w:jc w:val="center"/>
              <w:rPr>
                <w:sz w:val="22"/>
                <w:szCs w:val="20"/>
              </w:rPr>
            </w:pPr>
            <w:r>
              <w:rPr>
                <w:sz w:val="22"/>
                <w:szCs w:val="20"/>
              </w:rPr>
              <w:t>5.3</w:t>
            </w:r>
            <w:r w:rsidRPr="002C12E7">
              <w:rPr>
                <w:sz w:val="22"/>
                <w:szCs w:val="20"/>
              </w:rPr>
              <w:t>%</w:t>
            </w:r>
          </w:p>
        </w:tc>
        <w:tc>
          <w:tcPr>
            <w:tcW w:w="3179" w:type="dxa"/>
          </w:tcPr>
          <w:p w14:paraId="67649E03" w14:textId="217E7428" w:rsidR="00F3474E" w:rsidRPr="002C12E7" w:rsidRDefault="00F3474E" w:rsidP="00105889">
            <w:pPr>
              <w:jc w:val="center"/>
              <w:rPr>
                <w:sz w:val="22"/>
                <w:szCs w:val="20"/>
              </w:rPr>
            </w:pPr>
            <w:r>
              <w:rPr>
                <w:sz w:val="22"/>
                <w:szCs w:val="20"/>
              </w:rPr>
              <w:t>9.6</w:t>
            </w:r>
            <w:r w:rsidRPr="002C12E7">
              <w:rPr>
                <w:sz w:val="22"/>
                <w:szCs w:val="20"/>
              </w:rPr>
              <w:t>%</w:t>
            </w:r>
          </w:p>
        </w:tc>
      </w:tr>
      <w:tr w:rsidR="00F3474E" w:rsidRPr="002C12E7" w14:paraId="2ED38547" w14:textId="77777777" w:rsidTr="00F3474E">
        <w:trPr>
          <w:trHeight w:val="401"/>
        </w:trPr>
        <w:tc>
          <w:tcPr>
            <w:tcW w:w="2887" w:type="dxa"/>
          </w:tcPr>
          <w:p w14:paraId="6D85031A" w14:textId="77777777" w:rsidR="00F3474E" w:rsidRPr="002C12E7" w:rsidRDefault="00F3474E" w:rsidP="00105889">
            <w:pPr>
              <w:jc w:val="center"/>
              <w:rPr>
                <w:sz w:val="22"/>
                <w:szCs w:val="20"/>
              </w:rPr>
            </w:pPr>
            <w:r w:rsidRPr="002C12E7">
              <w:rPr>
                <w:sz w:val="22"/>
                <w:szCs w:val="20"/>
              </w:rPr>
              <w:t>On Track</w:t>
            </w:r>
          </w:p>
        </w:tc>
        <w:tc>
          <w:tcPr>
            <w:tcW w:w="3074" w:type="dxa"/>
          </w:tcPr>
          <w:p w14:paraId="22D4F349" w14:textId="67CD843B" w:rsidR="00F3474E" w:rsidRPr="002C12E7" w:rsidRDefault="00F3474E" w:rsidP="00105889">
            <w:pPr>
              <w:jc w:val="center"/>
              <w:rPr>
                <w:sz w:val="22"/>
                <w:szCs w:val="20"/>
              </w:rPr>
            </w:pPr>
            <w:r w:rsidRPr="002C12E7">
              <w:rPr>
                <w:sz w:val="22"/>
                <w:szCs w:val="20"/>
              </w:rPr>
              <w:t>9</w:t>
            </w:r>
            <w:r>
              <w:rPr>
                <w:sz w:val="22"/>
                <w:szCs w:val="20"/>
              </w:rPr>
              <w:t>4.7</w:t>
            </w:r>
            <w:r w:rsidRPr="002C12E7">
              <w:rPr>
                <w:sz w:val="22"/>
                <w:szCs w:val="20"/>
              </w:rPr>
              <w:t>%</w:t>
            </w:r>
          </w:p>
        </w:tc>
        <w:tc>
          <w:tcPr>
            <w:tcW w:w="3179" w:type="dxa"/>
          </w:tcPr>
          <w:p w14:paraId="5E85EE4A" w14:textId="5861692E" w:rsidR="00F3474E" w:rsidRPr="002C12E7" w:rsidRDefault="00F3474E" w:rsidP="00105889">
            <w:pPr>
              <w:jc w:val="center"/>
              <w:rPr>
                <w:sz w:val="22"/>
                <w:szCs w:val="20"/>
              </w:rPr>
            </w:pPr>
            <w:r>
              <w:rPr>
                <w:sz w:val="22"/>
                <w:szCs w:val="20"/>
              </w:rPr>
              <w:t>90.4</w:t>
            </w:r>
            <w:r w:rsidRPr="002C12E7">
              <w:rPr>
                <w:sz w:val="22"/>
                <w:szCs w:val="20"/>
              </w:rPr>
              <w:t>%</w:t>
            </w:r>
          </w:p>
        </w:tc>
      </w:tr>
    </w:tbl>
    <w:p w14:paraId="03ACD382" w14:textId="77777777" w:rsidR="00F3474E" w:rsidRDefault="00F3474E" w:rsidP="00F3474E">
      <w:pPr>
        <w:rPr>
          <w:u w:val="single"/>
        </w:rPr>
      </w:pPr>
    </w:p>
    <w:p w14:paraId="387B2EA1" w14:textId="77777777" w:rsidR="00F33072" w:rsidRPr="00AE346C" w:rsidRDefault="00F33072" w:rsidP="00F33072">
      <w:r>
        <w:t>Although there is an attainment gap between LAC and non-LAC students at The Meadows, the data is still positive in comparison with national statistics. Educational outcomes for our LAC students are monitored by the Virtual School within their termly PEP meetings. Pupil Premium Plus spend is deployed to deliver targeted support to enable the students to meet their targets.</w:t>
      </w:r>
    </w:p>
    <w:p w14:paraId="5AF877B0" w14:textId="45C0D53D" w:rsidR="00EB0983" w:rsidRDefault="00F33072" w:rsidP="00EB0983">
      <w:pPr>
        <w:rPr>
          <w:b/>
          <w:bCs/>
        </w:rPr>
      </w:pPr>
      <w:r>
        <w:rPr>
          <w:b/>
          <w:bCs/>
        </w:rPr>
        <w:t>Comparison by Pathway</w:t>
      </w:r>
    </w:p>
    <w:p w14:paraId="11C16D17" w14:textId="4482BC5C" w:rsidR="00F33072" w:rsidRDefault="00F33072" w:rsidP="00EB0983">
      <w:pPr>
        <w:rPr>
          <w:b/>
          <w:bCs/>
        </w:rPr>
      </w:pPr>
    </w:p>
    <w:tbl>
      <w:tblPr>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99"/>
        <w:gridCol w:w="1841"/>
        <w:gridCol w:w="1720"/>
        <w:gridCol w:w="1858"/>
      </w:tblGrid>
      <w:tr w:rsidR="00F33072" w14:paraId="43254C28" w14:textId="77777777" w:rsidTr="00105889">
        <w:trPr>
          <w:trHeight w:val="300"/>
        </w:trPr>
        <w:tc>
          <w:tcPr>
            <w:tcW w:w="1520" w:type="dxa"/>
            <w:tcBorders>
              <w:top w:val="nil"/>
              <w:left w:val="nil"/>
              <w:bottom w:val="nil"/>
              <w:right w:val="single" w:sz="4" w:space="0" w:color="auto"/>
            </w:tcBorders>
            <w:shd w:val="clear" w:color="auto" w:fill="auto"/>
            <w:noWrap/>
            <w:vAlign w:val="bottom"/>
          </w:tcPr>
          <w:p w14:paraId="7A36FCB8" w14:textId="77777777" w:rsidR="00F33072" w:rsidRDefault="00F33072" w:rsidP="00F33072">
            <w:pPr>
              <w:spacing w:after="0" w:line="240" w:lineRule="auto"/>
              <w:rPr>
                <w:rFonts w:eastAsia="Times New Roman" w:cs="Calibri"/>
                <w:b/>
                <w:bCs/>
                <w:color w:val="000000"/>
                <w:sz w:val="22"/>
                <w:lang w:eastAsia="en-GB"/>
              </w:rPr>
            </w:pPr>
          </w:p>
        </w:tc>
        <w:tc>
          <w:tcPr>
            <w:tcW w:w="3440" w:type="dxa"/>
            <w:gridSpan w:val="2"/>
            <w:tcBorders>
              <w:left w:val="single" w:sz="4" w:space="0" w:color="auto"/>
              <w:bottom w:val="single" w:sz="4" w:space="0" w:color="auto"/>
            </w:tcBorders>
            <w:shd w:val="clear" w:color="auto" w:fill="BFBFBF" w:themeFill="background1" w:themeFillShade="BF"/>
            <w:vAlign w:val="bottom"/>
          </w:tcPr>
          <w:p w14:paraId="2A8A0712" w14:textId="1A8EAFD2" w:rsidR="00F33072" w:rsidRDefault="00F33072" w:rsidP="00F33072">
            <w:pPr>
              <w:spacing w:after="0" w:line="240" w:lineRule="auto"/>
              <w:jc w:val="center"/>
              <w:rPr>
                <w:rFonts w:eastAsia="Times New Roman" w:cs="Calibri"/>
                <w:b/>
                <w:sz w:val="22"/>
                <w:lang w:eastAsia="en-GB"/>
              </w:rPr>
            </w:pPr>
            <w:r>
              <w:rPr>
                <w:rFonts w:eastAsia="Times New Roman" w:cs="Calibri"/>
                <w:b/>
                <w:sz w:val="22"/>
                <w:lang w:eastAsia="en-GB"/>
              </w:rPr>
              <w:t>S</w:t>
            </w:r>
            <w:r>
              <w:rPr>
                <w:rFonts w:eastAsia="Times New Roman" w:cs="Calibri"/>
                <w:b/>
                <w:sz w:val="22"/>
                <w:lang w:eastAsia="en-GB"/>
              </w:rPr>
              <w:t>ummer</w:t>
            </w:r>
            <w:r>
              <w:rPr>
                <w:rFonts w:eastAsia="Times New Roman" w:cs="Calibri"/>
                <w:b/>
                <w:sz w:val="22"/>
                <w:lang w:eastAsia="en-GB"/>
              </w:rPr>
              <w:t xml:space="preserve"> 2022-2023</w:t>
            </w:r>
          </w:p>
        </w:tc>
        <w:tc>
          <w:tcPr>
            <w:tcW w:w="3578" w:type="dxa"/>
            <w:gridSpan w:val="2"/>
            <w:shd w:val="clear" w:color="auto" w:fill="BFBFBF" w:themeFill="background1" w:themeFillShade="BF"/>
            <w:noWrap/>
            <w:vAlign w:val="bottom"/>
          </w:tcPr>
          <w:p w14:paraId="0C3E0A7E" w14:textId="35B7599A" w:rsidR="00F33072" w:rsidRDefault="00F33072" w:rsidP="00F33072">
            <w:pPr>
              <w:spacing w:after="0" w:line="240" w:lineRule="auto"/>
              <w:jc w:val="center"/>
              <w:rPr>
                <w:rFonts w:eastAsia="Times New Roman" w:cs="Calibri"/>
                <w:b/>
                <w:sz w:val="22"/>
                <w:lang w:eastAsia="en-GB"/>
              </w:rPr>
            </w:pPr>
            <w:r>
              <w:rPr>
                <w:rFonts w:eastAsia="Times New Roman" w:cs="Calibri"/>
                <w:b/>
                <w:sz w:val="22"/>
                <w:lang w:eastAsia="en-GB"/>
              </w:rPr>
              <w:t>Spring 2022-2023</w:t>
            </w:r>
          </w:p>
        </w:tc>
      </w:tr>
      <w:tr w:rsidR="00F33072" w14:paraId="4F36D897" w14:textId="77777777" w:rsidTr="00105889">
        <w:trPr>
          <w:trHeight w:val="300"/>
        </w:trPr>
        <w:tc>
          <w:tcPr>
            <w:tcW w:w="1520" w:type="dxa"/>
            <w:tcBorders>
              <w:top w:val="nil"/>
              <w:left w:val="nil"/>
              <w:bottom w:val="single" w:sz="4" w:space="0" w:color="auto"/>
              <w:right w:val="single" w:sz="4" w:space="0" w:color="auto"/>
            </w:tcBorders>
            <w:shd w:val="clear" w:color="auto" w:fill="auto"/>
            <w:noWrap/>
            <w:vAlign w:val="bottom"/>
            <w:hideMark/>
          </w:tcPr>
          <w:p w14:paraId="08E75FD8" w14:textId="77777777" w:rsidR="00F33072" w:rsidRDefault="00F33072" w:rsidP="00F33072">
            <w:pPr>
              <w:spacing w:after="0" w:line="240" w:lineRule="auto"/>
              <w:rPr>
                <w:rFonts w:eastAsia="Times New Roman" w:cs="Calibri"/>
                <w:b/>
                <w:bCs/>
                <w:color w:val="000000"/>
                <w:sz w:val="22"/>
                <w:lang w:eastAsia="en-GB"/>
              </w:rPr>
            </w:pPr>
          </w:p>
        </w:tc>
        <w:tc>
          <w:tcPr>
            <w:tcW w:w="1599" w:type="dxa"/>
            <w:tcBorders>
              <w:top w:val="single" w:sz="4" w:space="0" w:color="auto"/>
              <w:left w:val="single" w:sz="4" w:space="0" w:color="auto"/>
            </w:tcBorders>
            <w:shd w:val="clear" w:color="auto" w:fill="BFBFBF" w:themeFill="background1" w:themeFillShade="BF"/>
            <w:vAlign w:val="bottom"/>
          </w:tcPr>
          <w:p w14:paraId="2F54959F" w14:textId="77777777" w:rsidR="00F33072" w:rsidRDefault="00F33072" w:rsidP="00F33072">
            <w:pPr>
              <w:spacing w:after="0" w:line="240" w:lineRule="auto"/>
              <w:jc w:val="center"/>
              <w:rPr>
                <w:rFonts w:eastAsia="Times New Roman" w:cs="Calibri"/>
                <w:b/>
                <w:bCs/>
                <w:color w:val="000000"/>
                <w:sz w:val="22"/>
                <w:lang w:eastAsia="en-GB"/>
              </w:rPr>
            </w:pPr>
            <w:r w:rsidRPr="001A42D7">
              <w:rPr>
                <w:rFonts w:eastAsia="Times New Roman" w:cs="Calibri"/>
                <w:b/>
                <w:bCs/>
                <w:color w:val="000000"/>
                <w:sz w:val="22"/>
                <w:lang w:eastAsia="en-GB"/>
              </w:rPr>
              <w:t>Not on Track</w:t>
            </w:r>
          </w:p>
        </w:tc>
        <w:tc>
          <w:tcPr>
            <w:tcW w:w="1841" w:type="dxa"/>
            <w:shd w:val="clear" w:color="auto" w:fill="BFBFBF" w:themeFill="background1" w:themeFillShade="BF"/>
            <w:vAlign w:val="bottom"/>
          </w:tcPr>
          <w:p w14:paraId="5AFCB86C" w14:textId="6745CB64" w:rsidR="00F33072" w:rsidRDefault="00F33072" w:rsidP="00F33072">
            <w:pPr>
              <w:spacing w:after="0" w:line="240" w:lineRule="auto"/>
              <w:rPr>
                <w:rFonts w:eastAsia="Times New Roman" w:cs="Calibri"/>
                <w:b/>
                <w:bCs/>
                <w:color w:val="000000"/>
                <w:sz w:val="22"/>
                <w:lang w:eastAsia="en-GB"/>
              </w:rPr>
            </w:pPr>
            <w:r>
              <w:rPr>
                <w:rFonts w:eastAsia="Times New Roman" w:cs="Calibri"/>
                <w:b/>
                <w:bCs/>
                <w:color w:val="000000"/>
                <w:sz w:val="22"/>
                <w:lang w:eastAsia="en-GB"/>
              </w:rPr>
              <w:t>O</w:t>
            </w:r>
            <w:r w:rsidRPr="001A42D7">
              <w:rPr>
                <w:rFonts w:eastAsia="Times New Roman" w:cs="Calibri"/>
                <w:b/>
                <w:bCs/>
                <w:color w:val="000000"/>
                <w:sz w:val="22"/>
                <w:lang w:eastAsia="en-GB"/>
              </w:rPr>
              <w:t>n Track</w:t>
            </w:r>
          </w:p>
        </w:tc>
        <w:tc>
          <w:tcPr>
            <w:tcW w:w="1720" w:type="dxa"/>
            <w:shd w:val="clear" w:color="auto" w:fill="BFBFBF" w:themeFill="background1" w:themeFillShade="BF"/>
            <w:noWrap/>
            <w:vAlign w:val="bottom"/>
          </w:tcPr>
          <w:p w14:paraId="2C3BE1E6" w14:textId="6AE501A9" w:rsidR="00F33072" w:rsidRDefault="00F33072" w:rsidP="00F33072">
            <w:pPr>
              <w:spacing w:after="0" w:line="240" w:lineRule="auto"/>
              <w:jc w:val="center"/>
              <w:rPr>
                <w:rFonts w:eastAsia="Times New Roman" w:cs="Calibri"/>
                <w:b/>
                <w:bCs/>
                <w:color w:val="000000"/>
                <w:sz w:val="22"/>
                <w:lang w:eastAsia="en-GB"/>
              </w:rPr>
            </w:pPr>
            <w:r>
              <w:rPr>
                <w:rFonts w:eastAsia="Times New Roman" w:cs="Calibri"/>
                <w:b/>
                <w:bCs/>
                <w:color w:val="000000"/>
                <w:sz w:val="22"/>
                <w:lang w:eastAsia="en-GB"/>
              </w:rPr>
              <w:t>Not o</w:t>
            </w:r>
            <w:r w:rsidRPr="001A42D7">
              <w:rPr>
                <w:rFonts w:eastAsia="Times New Roman" w:cs="Calibri"/>
                <w:b/>
                <w:bCs/>
                <w:color w:val="000000"/>
                <w:sz w:val="22"/>
                <w:lang w:eastAsia="en-GB"/>
              </w:rPr>
              <w:t>n Track</w:t>
            </w:r>
          </w:p>
        </w:tc>
        <w:tc>
          <w:tcPr>
            <w:tcW w:w="1858" w:type="dxa"/>
            <w:shd w:val="clear" w:color="auto" w:fill="BFBFBF" w:themeFill="background1" w:themeFillShade="BF"/>
            <w:noWrap/>
            <w:vAlign w:val="bottom"/>
          </w:tcPr>
          <w:p w14:paraId="10560628" w14:textId="77777777" w:rsidR="00F33072" w:rsidRDefault="00F33072" w:rsidP="00F33072">
            <w:pPr>
              <w:spacing w:after="0" w:line="240" w:lineRule="auto"/>
              <w:jc w:val="center"/>
              <w:rPr>
                <w:rFonts w:eastAsia="Times New Roman" w:cs="Calibri"/>
                <w:b/>
                <w:bCs/>
                <w:color w:val="000000"/>
                <w:sz w:val="22"/>
                <w:lang w:eastAsia="en-GB"/>
              </w:rPr>
            </w:pPr>
            <w:r>
              <w:rPr>
                <w:rFonts w:eastAsia="Times New Roman" w:cs="Calibri"/>
                <w:b/>
                <w:bCs/>
                <w:color w:val="000000"/>
                <w:sz w:val="22"/>
                <w:lang w:eastAsia="en-GB"/>
              </w:rPr>
              <w:t>On Track</w:t>
            </w:r>
          </w:p>
        </w:tc>
      </w:tr>
      <w:tr w:rsidR="00F33072" w14:paraId="5E343926" w14:textId="77777777" w:rsidTr="00105889">
        <w:trPr>
          <w:trHeight w:val="300"/>
        </w:trPr>
        <w:tc>
          <w:tcPr>
            <w:tcW w:w="1520" w:type="dxa"/>
            <w:tcBorders>
              <w:top w:val="single" w:sz="4" w:space="0" w:color="auto"/>
            </w:tcBorders>
            <w:shd w:val="clear" w:color="auto" w:fill="auto"/>
            <w:noWrap/>
            <w:vAlign w:val="bottom"/>
            <w:hideMark/>
          </w:tcPr>
          <w:p w14:paraId="061FEB35" w14:textId="77777777" w:rsidR="00F33072" w:rsidRDefault="00F33072" w:rsidP="00F33072">
            <w:pPr>
              <w:spacing w:after="0" w:line="240" w:lineRule="auto"/>
              <w:rPr>
                <w:rFonts w:eastAsia="Times New Roman" w:cs="Calibri"/>
                <w:color w:val="000000"/>
                <w:sz w:val="22"/>
                <w:lang w:eastAsia="en-GB"/>
              </w:rPr>
            </w:pPr>
            <w:r>
              <w:rPr>
                <w:rFonts w:eastAsia="Times New Roman" w:cs="Calibri"/>
                <w:color w:val="000000"/>
                <w:sz w:val="22"/>
                <w:lang w:eastAsia="en-GB"/>
              </w:rPr>
              <w:t>Formal</w:t>
            </w:r>
          </w:p>
        </w:tc>
        <w:tc>
          <w:tcPr>
            <w:tcW w:w="1599" w:type="dxa"/>
            <w:vAlign w:val="bottom"/>
          </w:tcPr>
          <w:p w14:paraId="118EF546" w14:textId="33F9FCAC" w:rsidR="00F33072" w:rsidRDefault="00F33072" w:rsidP="00F33072">
            <w:pPr>
              <w:spacing w:after="0" w:line="240" w:lineRule="auto"/>
              <w:jc w:val="right"/>
              <w:rPr>
                <w:rFonts w:eastAsia="Times New Roman" w:cs="Calibri"/>
                <w:color w:val="000000"/>
                <w:sz w:val="22"/>
                <w:lang w:eastAsia="en-GB"/>
              </w:rPr>
            </w:pPr>
            <w:r>
              <w:rPr>
                <w:rFonts w:eastAsia="Times New Roman" w:cs="Calibri"/>
                <w:color w:val="000000"/>
                <w:sz w:val="22"/>
                <w:lang w:eastAsia="en-GB"/>
              </w:rPr>
              <w:t>12 (2.9%)</w:t>
            </w:r>
          </w:p>
        </w:tc>
        <w:tc>
          <w:tcPr>
            <w:tcW w:w="1841" w:type="dxa"/>
            <w:vAlign w:val="bottom"/>
          </w:tcPr>
          <w:p w14:paraId="34642791" w14:textId="5D4D3531" w:rsidR="00F33072" w:rsidRDefault="00F33072" w:rsidP="00F33072">
            <w:pPr>
              <w:spacing w:after="0" w:line="240" w:lineRule="auto"/>
              <w:jc w:val="right"/>
              <w:rPr>
                <w:rFonts w:eastAsia="Times New Roman" w:cs="Calibri"/>
                <w:color w:val="000000"/>
                <w:sz w:val="22"/>
                <w:lang w:eastAsia="en-GB"/>
              </w:rPr>
            </w:pPr>
            <w:r>
              <w:rPr>
                <w:rFonts w:eastAsia="Times New Roman" w:cs="Calibri"/>
                <w:color w:val="000000"/>
                <w:sz w:val="22"/>
                <w:lang w:eastAsia="en-GB"/>
              </w:rPr>
              <w:t>397 (97.1%)</w:t>
            </w:r>
          </w:p>
        </w:tc>
        <w:tc>
          <w:tcPr>
            <w:tcW w:w="1720" w:type="dxa"/>
            <w:shd w:val="clear" w:color="auto" w:fill="auto"/>
            <w:noWrap/>
            <w:vAlign w:val="bottom"/>
          </w:tcPr>
          <w:p w14:paraId="014EB4CE" w14:textId="799E52D3" w:rsidR="00F33072" w:rsidRDefault="00F33072" w:rsidP="00F33072">
            <w:pPr>
              <w:spacing w:after="0" w:line="240" w:lineRule="auto"/>
              <w:jc w:val="right"/>
              <w:rPr>
                <w:rFonts w:eastAsia="Times New Roman" w:cs="Calibri"/>
                <w:color w:val="000000"/>
                <w:sz w:val="22"/>
                <w:lang w:eastAsia="en-GB"/>
              </w:rPr>
            </w:pPr>
            <w:r>
              <w:rPr>
                <w:rFonts w:eastAsia="Times New Roman" w:cs="Calibri"/>
                <w:color w:val="000000"/>
                <w:sz w:val="22"/>
                <w:lang w:eastAsia="en-GB"/>
              </w:rPr>
              <w:t>4.1%</w:t>
            </w:r>
          </w:p>
        </w:tc>
        <w:tc>
          <w:tcPr>
            <w:tcW w:w="1858" w:type="dxa"/>
            <w:shd w:val="clear" w:color="auto" w:fill="auto"/>
            <w:noWrap/>
            <w:vAlign w:val="bottom"/>
          </w:tcPr>
          <w:p w14:paraId="437AEF1E" w14:textId="7E7B03F8" w:rsidR="00F33072" w:rsidRDefault="00F33072" w:rsidP="00F33072">
            <w:pPr>
              <w:spacing w:after="0" w:line="240" w:lineRule="auto"/>
              <w:jc w:val="right"/>
              <w:rPr>
                <w:rFonts w:eastAsia="Times New Roman" w:cs="Calibri"/>
                <w:color w:val="000000"/>
                <w:sz w:val="22"/>
                <w:lang w:eastAsia="en-GB"/>
              </w:rPr>
            </w:pPr>
            <w:r>
              <w:rPr>
                <w:rFonts w:eastAsia="Times New Roman" w:cs="Calibri"/>
                <w:color w:val="000000"/>
                <w:sz w:val="22"/>
                <w:lang w:eastAsia="en-GB"/>
              </w:rPr>
              <w:t>95.9%</w:t>
            </w:r>
          </w:p>
        </w:tc>
      </w:tr>
      <w:tr w:rsidR="00F33072" w14:paraId="6C463609" w14:textId="77777777" w:rsidTr="00105889">
        <w:trPr>
          <w:trHeight w:val="300"/>
        </w:trPr>
        <w:tc>
          <w:tcPr>
            <w:tcW w:w="1520" w:type="dxa"/>
            <w:shd w:val="clear" w:color="auto" w:fill="auto"/>
            <w:noWrap/>
            <w:vAlign w:val="bottom"/>
            <w:hideMark/>
          </w:tcPr>
          <w:p w14:paraId="148157A6" w14:textId="77777777" w:rsidR="00F33072" w:rsidRDefault="00F33072" w:rsidP="00F33072">
            <w:pPr>
              <w:spacing w:after="0" w:line="240" w:lineRule="auto"/>
              <w:rPr>
                <w:rFonts w:eastAsia="Times New Roman" w:cs="Calibri"/>
                <w:color w:val="000000"/>
                <w:sz w:val="22"/>
                <w:lang w:eastAsia="en-GB"/>
              </w:rPr>
            </w:pPr>
            <w:r>
              <w:rPr>
                <w:rFonts w:eastAsia="Times New Roman" w:cs="Calibri"/>
                <w:color w:val="000000"/>
                <w:sz w:val="22"/>
                <w:lang w:eastAsia="en-GB"/>
              </w:rPr>
              <w:t>Semi Formal</w:t>
            </w:r>
          </w:p>
        </w:tc>
        <w:tc>
          <w:tcPr>
            <w:tcW w:w="1599" w:type="dxa"/>
            <w:vAlign w:val="bottom"/>
          </w:tcPr>
          <w:p w14:paraId="410C43E9" w14:textId="7CB91911" w:rsidR="00F33072" w:rsidRDefault="00F33072" w:rsidP="00F33072">
            <w:pPr>
              <w:spacing w:after="0" w:line="240" w:lineRule="auto"/>
              <w:jc w:val="right"/>
              <w:rPr>
                <w:rFonts w:eastAsia="Times New Roman" w:cs="Calibri"/>
                <w:color w:val="000000"/>
                <w:sz w:val="22"/>
                <w:lang w:eastAsia="en-GB"/>
              </w:rPr>
            </w:pPr>
            <w:r>
              <w:rPr>
                <w:rFonts w:eastAsia="Times New Roman" w:cs="Calibri"/>
                <w:color w:val="000000"/>
                <w:sz w:val="22"/>
                <w:lang w:eastAsia="en-GB"/>
              </w:rPr>
              <w:t>52 (5.1%)</w:t>
            </w:r>
          </w:p>
        </w:tc>
        <w:tc>
          <w:tcPr>
            <w:tcW w:w="1841" w:type="dxa"/>
            <w:vAlign w:val="bottom"/>
          </w:tcPr>
          <w:p w14:paraId="0E961BDD" w14:textId="061F2FF8" w:rsidR="00F33072" w:rsidRDefault="00F33072" w:rsidP="00F33072">
            <w:pPr>
              <w:spacing w:after="0" w:line="240" w:lineRule="auto"/>
              <w:jc w:val="right"/>
              <w:rPr>
                <w:rFonts w:eastAsia="Times New Roman" w:cs="Calibri"/>
                <w:color w:val="000000"/>
                <w:sz w:val="22"/>
                <w:lang w:eastAsia="en-GB"/>
              </w:rPr>
            </w:pPr>
            <w:r>
              <w:rPr>
                <w:rFonts w:eastAsia="Times New Roman" w:cs="Calibri"/>
                <w:color w:val="000000"/>
                <w:sz w:val="22"/>
                <w:lang w:eastAsia="en-GB"/>
              </w:rPr>
              <w:t>959 (94.9%)</w:t>
            </w:r>
          </w:p>
        </w:tc>
        <w:tc>
          <w:tcPr>
            <w:tcW w:w="1720" w:type="dxa"/>
            <w:noWrap/>
            <w:vAlign w:val="bottom"/>
          </w:tcPr>
          <w:p w14:paraId="2FB79513" w14:textId="270E728D" w:rsidR="00F33072" w:rsidRDefault="00F33072" w:rsidP="00F33072">
            <w:pPr>
              <w:spacing w:after="0" w:line="240" w:lineRule="auto"/>
              <w:jc w:val="right"/>
              <w:rPr>
                <w:rFonts w:eastAsia="Times New Roman" w:cs="Calibri"/>
                <w:color w:val="000000"/>
                <w:sz w:val="22"/>
                <w:lang w:eastAsia="en-GB"/>
              </w:rPr>
            </w:pPr>
            <w:r>
              <w:rPr>
                <w:rFonts w:eastAsia="Times New Roman" w:cs="Calibri"/>
                <w:color w:val="000000"/>
                <w:sz w:val="22"/>
                <w:lang w:eastAsia="en-GB"/>
              </w:rPr>
              <w:t>9.7%</w:t>
            </w:r>
          </w:p>
        </w:tc>
        <w:tc>
          <w:tcPr>
            <w:tcW w:w="1858" w:type="dxa"/>
            <w:noWrap/>
            <w:vAlign w:val="bottom"/>
          </w:tcPr>
          <w:p w14:paraId="30DEBEB0" w14:textId="4C372853" w:rsidR="00F33072" w:rsidRDefault="00F33072" w:rsidP="00F33072">
            <w:pPr>
              <w:spacing w:after="0" w:line="240" w:lineRule="auto"/>
              <w:jc w:val="right"/>
              <w:rPr>
                <w:rFonts w:eastAsia="Times New Roman" w:cs="Calibri"/>
                <w:color w:val="000000"/>
                <w:sz w:val="22"/>
                <w:lang w:eastAsia="en-GB"/>
              </w:rPr>
            </w:pPr>
            <w:r>
              <w:rPr>
                <w:rFonts w:eastAsia="Times New Roman" w:cs="Calibri"/>
                <w:color w:val="000000"/>
                <w:sz w:val="22"/>
                <w:lang w:eastAsia="en-GB"/>
              </w:rPr>
              <w:t>90.3%</w:t>
            </w:r>
          </w:p>
        </w:tc>
      </w:tr>
      <w:tr w:rsidR="00F33072" w14:paraId="085A5E9A" w14:textId="77777777" w:rsidTr="00105889">
        <w:trPr>
          <w:trHeight w:val="300"/>
        </w:trPr>
        <w:tc>
          <w:tcPr>
            <w:tcW w:w="1520" w:type="dxa"/>
            <w:shd w:val="clear" w:color="auto" w:fill="auto"/>
            <w:noWrap/>
            <w:vAlign w:val="bottom"/>
            <w:hideMark/>
          </w:tcPr>
          <w:p w14:paraId="5C93D7C7" w14:textId="77777777" w:rsidR="00F33072" w:rsidRDefault="00F33072" w:rsidP="00F33072">
            <w:pPr>
              <w:spacing w:after="0" w:line="240" w:lineRule="auto"/>
              <w:rPr>
                <w:rFonts w:eastAsia="Times New Roman" w:cs="Calibri"/>
                <w:color w:val="000000"/>
                <w:sz w:val="22"/>
                <w:lang w:eastAsia="en-GB"/>
              </w:rPr>
            </w:pPr>
            <w:r>
              <w:rPr>
                <w:rFonts w:eastAsia="Times New Roman" w:cs="Calibri"/>
                <w:color w:val="000000"/>
                <w:sz w:val="22"/>
                <w:lang w:eastAsia="en-GB"/>
              </w:rPr>
              <w:t>Braided</w:t>
            </w:r>
          </w:p>
        </w:tc>
        <w:tc>
          <w:tcPr>
            <w:tcW w:w="1599" w:type="dxa"/>
            <w:vAlign w:val="bottom"/>
          </w:tcPr>
          <w:p w14:paraId="2EC9C556" w14:textId="063368BA" w:rsidR="00F33072" w:rsidRDefault="00F33072" w:rsidP="00F33072">
            <w:pPr>
              <w:spacing w:after="0" w:line="240" w:lineRule="auto"/>
              <w:jc w:val="right"/>
              <w:rPr>
                <w:rFonts w:eastAsia="Times New Roman" w:cs="Calibri"/>
                <w:color w:val="000000"/>
                <w:sz w:val="22"/>
                <w:lang w:eastAsia="en-GB"/>
              </w:rPr>
            </w:pPr>
            <w:r>
              <w:rPr>
                <w:rFonts w:eastAsia="Times New Roman" w:cs="Calibri"/>
                <w:color w:val="000000"/>
                <w:sz w:val="22"/>
                <w:lang w:eastAsia="en-GB"/>
              </w:rPr>
              <w:t>29 (5.1%)</w:t>
            </w:r>
          </w:p>
        </w:tc>
        <w:tc>
          <w:tcPr>
            <w:tcW w:w="1841" w:type="dxa"/>
            <w:vAlign w:val="bottom"/>
          </w:tcPr>
          <w:p w14:paraId="0DA43821" w14:textId="7A1E404A" w:rsidR="00F33072" w:rsidRDefault="00F33072" w:rsidP="00F33072">
            <w:pPr>
              <w:spacing w:after="0" w:line="240" w:lineRule="auto"/>
              <w:jc w:val="right"/>
              <w:rPr>
                <w:rFonts w:eastAsia="Times New Roman" w:cs="Calibri"/>
                <w:color w:val="000000"/>
                <w:sz w:val="22"/>
                <w:lang w:eastAsia="en-GB"/>
              </w:rPr>
            </w:pPr>
            <w:r>
              <w:rPr>
                <w:rFonts w:eastAsia="Times New Roman" w:cs="Calibri"/>
                <w:color w:val="000000"/>
                <w:sz w:val="22"/>
                <w:lang w:eastAsia="en-GB"/>
              </w:rPr>
              <w:t>536 (94.9%)</w:t>
            </w:r>
          </w:p>
        </w:tc>
        <w:tc>
          <w:tcPr>
            <w:tcW w:w="1720" w:type="dxa"/>
            <w:shd w:val="clear" w:color="auto" w:fill="auto"/>
            <w:noWrap/>
            <w:vAlign w:val="bottom"/>
          </w:tcPr>
          <w:p w14:paraId="700A1331" w14:textId="5F7C3E69" w:rsidR="00F33072" w:rsidRDefault="00F33072" w:rsidP="00F33072">
            <w:pPr>
              <w:spacing w:after="0" w:line="240" w:lineRule="auto"/>
              <w:jc w:val="right"/>
              <w:rPr>
                <w:rFonts w:eastAsia="Times New Roman" w:cs="Calibri"/>
                <w:color w:val="000000"/>
                <w:sz w:val="22"/>
                <w:lang w:eastAsia="en-GB"/>
              </w:rPr>
            </w:pPr>
            <w:r>
              <w:rPr>
                <w:rFonts w:eastAsia="Times New Roman" w:cs="Calibri"/>
                <w:color w:val="000000"/>
                <w:sz w:val="22"/>
                <w:lang w:eastAsia="en-GB"/>
              </w:rPr>
              <w:t>4.8%</w:t>
            </w:r>
          </w:p>
        </w:tc>
        <w:tc>
          <w:tcPr>
            <w:tcW w:w="1858" w:type="dxa"/>
            <w:shd w:val="clear" w:color="auto" w:fill="auto"/>
            <w:noWrap/>
            <w:vAlign w:val="bottom"/>
          </w:tcPr>
          <w:p w14:paraId="4D8F2A66" w14:textId="1A6E01B3" w:rsidR="00F33072" w:rsidRDefault="00F33072" w:rsidP="00F33072">
            <w:pPr>
              <w:spacing w:after="0" w:line="240" w:lineRule="auto"/>
              <w:jc w:val="right"/>
              <w:rPr>
                <w:rFonts w:eastAsia="Times New Roman" w:cs="Calibri"/>
                <w:color w:val="000000"/>
                <w:sz w:val="22"/>
                <w:lang w:eastAsia="en-GB"/>
              </w:rPr>
            </w:pPr>
            <w:r>
              <w:rPr>
                <w:rFonts w:eastAsia="Times New Roman" w:cs="Calibri"/>
                <w:color w:val="000000"/>
                <w:sz w:val="22"/>
                <w:lang w:eastAsia="en-GB"/>
              </w:rPr>
              <w:t>95.2%</w:t>
            </w:r>
          </w:p>
        </w:tc>
      </w:tr>
      <w:tr w:rsidR="00F33072" w14:paraId="72CDC581" w14:textId="77777777" w:rsidTr="00105889">
        <w:trPr>
          <w:trHeight w:val="300"/>
        </w:trPr>
        <w:tc>
          <w:tcPr>
            <w:tcW w:w="1520" w:type="dxa"/>
            <w:shd w:val="clear" w:color="auto" w:fill="auto"/>
            <w:noWrap/>
            <w:vAlign w:val="bottom"/>
          </w:tcPr>
          <w:p w14:paraId="0DEC01BB" w14:textId="77777777" w:rsidR="00F33072" w:rsidRDefault="00F33072" w:rsidP="00F33072">
            <w:pPr>
              <w:spacing w:after="0" w:line="240" w:lineRule="auto"/>
              <w:rPr>
                <w:rFonts w:eastAsia="Times New Roman" w:cs="Calibri"/>
                <w:b/>
                <w:bCs/>
                <w:color w:val="000000"/>
                <w:sz w:val="22"/>
                <w:lang w:eastAsia="en-GB"/>
              </w:rPr>
            </w:pPr>
            <w:proofErr w:type="gramStart"/>
            <w:r>
              <w:rPr>
                <w:rFonts w:eastAsia="Times New Roman" w:cs="Calibri"/>
                <w:color w:val="000000"/>
                <w:sz w:val="22"/>
                <w:lang w:eastAsia="en-GB"/>
              </w:rPr>
              <w:t>Pre Formal</w:t>
            </w:r>
            <w:proofErr w:type="gramEnd"/>
          </w:p>
        </w:tc>
        <w:tc>
          <w:tcPr>
            <w:tcW w:w="1599" w:type="dxa"/>
            <w:vAlign w:val="bottom"/>
          </w:tcPr>
          <w:p w14:paraId="320B16DC" w14:textId="4F328D9C" w:rsidR="00F33072" w:rsidRPr="002055A1" w:rsidRDefault="00F33072" w:rsidP="00F33072">
            <w:pPr>
              <w:spacing w:after="0" w:line="240" w:lineRule="auto"/>
              <w:jc w:val="right"/>
              <w:rPr>
                <w:rFonts w:eastAsia="Times New Roman" w:cs="Calibri"/>
                <w:bCs/>
                <w:color w:val="000000"/>
                <w:sz w:val="22"/>
                <w:lang w:eastAsia="en-GB"/>
              </w:rPr>
            </w:pPr>
            <w:r>
              <w:rPr>
                <w:rFonts w:eastAsia="Times New Roman" w:cs="Calibri"/>
                <w:bCs/>
                <w:color w:val="000000"/>
                <w:sz w:val="22"/>
                <w:lang w:eastAsia="en-GB"/>
              </w:rPr>
              <w:t>23 (17.4%)</w:t>
            </w:r>
          </w:p>
        </w:tc>
        <w:tc>
          <w:tcPr>
            <w:tcW w:w="1841" w:type="dxa"/>
            <w:vAlign w:val="bottom"/>
          </w:tcPr>
          <w:p w14:paraId="6E78CB0A" w14:textId="4394A4CB" w:rsidR="00F33072" w:rsidRPr="002055A1" w:rsidRDefault="00F33072" w:rsidP="00F33072">
            <w:pPr>
              <w:spacing w:after="0" w:line="240" w:lineRule="auto"/>
              <w:jc w:val="right"/>
              <w:rPr>
                <w:rFonts w:eastAsia="Times New Roman" w:cs="Calibri"/>
                <w:bCs/>
                <w:color w:val="000000"/>
                <w:sz w:val="22"/>
                <w:lang w:eastAsia="en-GB"/>
              </w:rPr>
            </w:pPr>
            <w:r>
              <w:rPr>
                <w:rFonts w:eastAsia="Times New Roman" w:cs="Calibri"/>
                <w:bCs/>
                <w:color w:val="000000"/>
                <w:sz w:val="22"/>
                <w:lang w:eastAsia="en-GB"/>
              </w:rPr>
              <w:t>109 (82.6%)</w:t>
            </w:r>
          </w:p>
        </w:tc>
        <w:tc>
          <w:tcPr>
            <w:tcW w:w="1720" w:type="dxa"/>
            <w:noWrap/>
            <w:vAlign w:val="bottom"/>
          </w:tcPr>
          <w:p w14:paraId="2B1225A9" w14:textId="2B88F03B" w:rsidR="00F33072" w:rsidRDefault="00F33072" w:rsidP="00F33072">
            <w:pPr>
              <w:spacing w:after="0" w:line="240" w:lineRule="auto"/>
              <w:jc w:val="right"/>
              <w:rPr>
                <w:rFonts w:eastAsia="Times New Roman" w:cs="Calibri"/>
                <w:b/>
                <w:bCs/>
                <w:color w:val="000000"/>
                <w:sz w:val="22"/>
                <w:lang w:eastAsia="en-GB"/>
              </w:rPr>
            </w:pPr>
            <w:r>
              <w:rPr>
                <w:rFonts w:eastAsia="Times New Roman" w:cs="Calibri"/>
                <w:bCs/>
                <w:color w:val="000000"/>
                <w:sz w:val="22"/>
                <w:lang w:eastAsia="en-GB"/>
              </w:rPr>
              <w:t>8.6%</w:t>
            </w:r>
          </w:p>
        </w:tc>
        <w:tc>
          <w:tcPr>
            <w:tcW w:w="1858" w:type="dxa"/>
            <w:noWrap/>
            <w:vAlign w:val="bottom"/>
          </w:tcPr>
          <w:p w14:paraId="723B94F1" w14:textId="0FBD3809" w:rsidR="00F33072" w:rsidRDefault="00F33072" w:rsidP="00F33072">
            <w:pPr>
              <w:spacing w:after="0" w:line="240" w:lineRule="auto"/>
              <w:jc w:val="right"/>
              <w:rPr>
                <w:rFonts w:eastAsia="Times New Roman" w:cs="Calibri"/>
                <w:b/>
                <w:bCs/>
                <w:color w:val="000000"/>
                <w:sz w:val="22"/>
                <w:lang w:eastAsia="en-GB"/>
              </w:rPr>
            </w:pPr>
            <w:r>
              <w:rPr>
                <w:rFonts w:eastAsia="Times New Roman" w:cs="Calibri"/>
                <w:bCs/>
                <w:color w:val="000000"/>
                <w:sz w:val="22"/>
                <w:lang w:eastAsia="en-GB"/>
              </w:rPr>
              <w:t>91.4%</w:t>
            </w:r>
          </w:p>
        </w:tc>
      </w:tr>
      <w:tr w:rsidR="00F33072" w14:paraId="147E470C" w14:textId="77777777" w:rsidTr="00105889">
        <w:trPr>
          <w:trHeight w:val="300"/>
        </w:trPr>
        <w:tc>
          <w:tcPr>
            <w:tcW w:w="1520" w:type="dxa"/>
            <w:shd w:val="clear" w:color="auto" w:fill="auto"/>
            <w:noWrap/>
            <w:vAlign w:val="bottom"/>
          </w:tcPr>
          <w:p w14:paraId="5B1ECBB1" w14:textId="77777777" w:rsidR="00F33072" w:rsidRDefault="00F33072" w:rsidP="00F33072">
            <w:pPr>
              <w:spacing w:after="0" w:line="240" w:lineRule="auto"/>
              <w:rPr>
                <w:rFonts w:eastAsia="Times New Roman" w:cs="Calibri"/>
                <w:b/>
                <w:bCs/>
                <w:color w:val="000000"/>
                <w:sz w:val="22"/>
                <w:lang w:eastAsia="en-GB"/>
              </w:rPr>
            </w:pPr>
            <w:r>
              <w:rPr>
                <w:rFonts w:eastAsia="Times New Roman" w:cs="Calibri"/>
                <w:b/>
                <w:bCs/>
                <w:color w:val="000000"/>
                <w:sz w:val="22"/>
                <w:lang w:eastAsia="en-GB"/>
              </w:rPr>
              <w:t>Grand Total</w:t>
            </w:r>
          </w:p>
        </w:tc>
        <w:tc>
          <w:tcPr>
            <w:tcW w:w="1599" w:type="dxa"/>
            <w:vAlign w:val="bottom"/>
          </w:tcPr>
          <w:p w14:paraId="47791972" w14:textId="7F7E64E5" w:rsidR="00F33072" w:rsidRDefault="00F33072" w:rsidP="00F33072">
            <w:pPr>
              <w:spacing w:after="0" w:line="240" w:lineRule="auto"/>
              <w:jc w:val="right"/>
              <w:rPr>
                <w:rFonts w:eastAsia="Times New Roman" w:cs="Calibri"/>
                <w:b/>
                <w:bCs/>
                <w:color w:val="000000"/>
                <w:sz w:val="22"/>
                <w:lang w:eastAsia="en-GB"/>
              </w:rPr>
            </w:pPr>
            <w:r>
              <w:rPr>
                <w:rFonts w:eastAsia="Times New Roman" w:cs="Calibri"/>
                <w:b/>
                <w:bCs/>
                <w:color w:val="000000"/>
                <w:sz w:val="22"/>
                <w:lang w:eastAsia="en-GB"/>
              </w:rPr>
              <w:t>5.5%</w:t>
            </w:r>
          </w:p>
        </w:tc>
        <w:tc>
          <w:tcPr>
            <w:tcW w:w="1841" w:type="dxa"/>
            <w:vAlign w:val="bottom"/>
          </w:tcPr>
          <w:p w14:paraId="0BD20395" w14:textId="52E843D1" w:rsidR="00F33072" w:rsidRDefault="00F33072" w:rsidP="00F33072">
            <w:pPr>
              <w:spacing w:after="0" w:line="240" w:lineRule="auto"/>
              <w:jc w:val="right"/>
              <w:rPr>
                <w:rFonts w:eastAsia="Times New Roman" w:cs="Calibri"/>
                <w:b/>
                <w:bCs/>
                <w:color w:val="000000"/>
                <w:sz w:val="22"/>
                <w:lang w:eastAsia="en-GB"/>
              </w:rPr>
            </w:pPr>
            <w:r>
              <w:rPr>
                <w:rFonts w:eastAsia="Times New Roman" w:cs="Calibri"/>
                <w:b/>
                <w:bCs/>
                <w:color w:val="000000"/>
                <w:sz w:val="22"/>
                <w:lang w:eastAsia="en-GB"/>
              </w:rPr>
              <w:t>94.5%</w:t>
            </w:r>
          </w:p>
        </w:tc>
        <w:tc>
          <w:tcPr>
            <w:tcW w:w="1720" w:type="dxa"/>
            <w:shd w:val="clear" w:color="auto" w:fill="auto"/>
            <w:noWrap/>
            <w:vAlign w:val="bottom"/>
          </w:tcPr>
          <w:p w14:paraId="12E02474" w14:textId="00D3990A" w:rsidR="00F33072" w:rsidRDefault="00F33072" w:rsidP="00F33072">
            <w:pPr>
              <w:spacing w:after="0" w:line="240" w:lineRule="auto"/>
              <w:jc w:val="right"/>
              <w:rPr>
                <w:rFonts w:eastAsia="Times New Roman" w:cs="Calibri"/>
                <w:b/>
                <w:bCs/>
                <w:color w:val="000000"/>
                <w:sz w:val="22"/>
                <w:lang w:eastAsia="en-GB"/>
              </w:rPr>
            </w:pPr>
            <w:r>
              <w:rPr>
                <w:rFonts w:eastAsia="Times New Roman" w:cs="Calibri"/>
                <w:b/>
                <w:bCs/>
                <w:color w:val="000000"/>
                <w:sz w:val="22"/>
                <w:lang w:eastAsia="en-GB"/>
              </w:rPr>
              <w:t>7.3%</w:t>
            </w:r>
          </w:p>
        </w:tc>
        <w:tc>
          <w:tcPr>
            <w:tcW w:w="1858" w:type="dxa"/>
            <w:shd w:val="clear" w:color="auto" w:fill="auto"/>
            <w:noWrap/>
            <w:vAlign w:val="bottom"/>
          </w:tcPr>
          <w:p w14:paraId="3BE327E5" w14:textId="5A034FEC" w:rsidR="00F33072" w:rsidRDefault="00F33072" w:rsidP="00F33072">
            <w:pPr>
              <w:spacing w:after="0" w:line="240" w:lineRule="auto"/>
              <w:jc w:val="right"/>
              <w:rPr>
                <w:rFonts w:eastAsia="Times New Roman" w:cs="Calibri"/>
                <w:b/>
                <w:bCs/>
                <w:color w:val="000000"/>
                <w:sz w:val="22"/>
                <w:lang w:eastAsia="en-GB"/>
              </w:rPr>
            </w:pPr>
            <w:r>
              <w:rPr>
                <w:rFonts w:eastAsia="Times New Roman" w:cs="Calibri"/>
                <w:b/>
                <w:bCs/>
                <w:color w:val="000000"/>
                <w:sz w:val="22"/>
                <w:lang w:eastAsia="en-GB"/>
              </w:rPr>
              <w:t>92.7%</w:t>
            </w:r>
          </w:p>
        </w:tc>
      </w:tr>
    </w:tbl>
    <w:p w14:paraId="3C6BA616" w14:textId="3267B4DD" w:rsidR="00EB0983" w:rsidRDefault="00EB0983" w:rsidP="00681067">
      <w:pPr>
        <w:rPr>
          <w:bCs/>
        </w:rPr>
      </w:pPr>
    </w:p>
    <w:p w14:paraId="4F924D96" w14:textId="549811D1" w:rsidR="00F33072" w:rsidRDefault="00F33072" w:rsidP="00681067">
      <w:pPr>
        <w:rPr>
          <w:bCs/>
        </w:rPr>
      </w:pPr>
      <w:r>
        <w:rPr>
          <w:bCs/>
        </w:rPr>
        <w:t xml:space="preserve">The Spring Data report demonstrated that there had been </w:t>
      </w:r>
      <w:r w:rsidR="00F71BD9">
        <w:rPr>
          <w:bCs/>
        </w:rPr>
        <w:t xml:space="preserve">an improvement in the </w:t>
      </w:r>
      <w:proofErr w:type="gramStart"/>
      <w:r w:rsidR="00F71BD9">
        <w:rPr>
          <w:bCs/>
        </w:rPr>
        <w:t>Pre Formal</w:t>
      </w:r>
      <w:proofErr w:type="gramEnd"/>
      <w:r w:rsidR="00F71BD9">
        <w:rPr>
          <w:bCs/>
        </w:rPr>
        <w:t xml:space="preserve"> Pathway attributed to a review and restructure of its curriculum. However, this term the proportion of targets not on track has increased from 8.6% to 17.4% due to the deteriorating medical conditions of four students.</w:t>
      </w:r>
    </w:p>
    <w:p w14:paraId="343703FA" w14:textId="369D15E0" w:rsidR="00AF7BD4" w:rsidRDefault="00F71BD9" w:rsidP="00681067">
      <w:pPr>
        <w:rPr>
          <w:b/>
        </w:rPr>
      </w:pPr>
      <w:r>
        <w:rPr>
          <w:b/>
        </w:rPr>
        <w:lastRenderedPageBreak/>
        <w:t>Next steps</w:t>
      </w:r>
      <w:r w:rsidRPr="00F71BD9">
        <w:rPr>
          <w:b/>
        </w:rPr>
        <w:t xml:space="preserve"> following Ofsted July 2023</w:t>
      </w:r>
      <w:r>
        <w:rPr>
          <w:b/>
        </w:rPr>
        <w:t xml:space="preserve"> Inspection</w:t>
      </w:r>
    </w:p>
    <w:p w14:paraId="13C23991" w14:textId="18F070E5" w:rsidR="00A61970" w:rsidRPr="00A61970" w:rsidRDefault="00A61970" w:rsidP="00A61970">
      <w:pPr>
        <w:rPr>
          <w:bCs/>
        </w:rPr>
      </w:pPr>
      <w:r>
        <w:rPr>
          <w:bCs/>
        </w:rPr>
        <w:t>Following the inspection which took place on 12</w:t>
      </w:r>
      <w:r w:rsidRPr="00A61970">
        <w:rPr>
          <w:bCs/>
          <w:vertAlign w:val="superscript"/>
        </w:rPr>
        <w:t>th</w:t>
      </w:r>
      <w:r>
        <w:rPr>
          <w:bCs/>
        </w:rPr>
        <w:t xml:space="preserve"> and 13</w:t>
      </w:r>
      <w:r w:rsidRPr="00A61970">
        <w:rPr>
          <w:bCs/>
          <w:vertAlign w:val="superscript"/>
        </w:rPr>
        <w:t>th</w:t>
      </w:r>
      <w:r>
        <w:rPr>
          <w:bCs/>
        </w:rPr>
        <w:t xml:space="preserve"> July, the Quality of Education was judged as being ‘Requires Improvement’. This will mean our current assessment processes and means of reporting will be fully reviewed and therefore, governor data reports may look significantly different as we improve our processes, in partnership with other schools and organisations.</w:t>
      </w:r>
    </w:p>
    <w:p w14:paraId="6384FF1A" w14:textId="4A54206F" w:rsidR="00F71BD9" w:rsidRPr="00F71BD9" w:rsidRDefault="00A61970" w:rsidP="00681067">
      <w:pPr>
        <w:rPr>
          <w:bCs/>
        </w:rPr>
      </w:pPr>
      <w:r>
        <w:rPr>
          <w:bCs/>
        </w:rPr>
        <w:t>This data report, along with previous reports, suggests that the quality of education offered within school is effective in enabling 94.5% of targets to be met. However, the feedback from the recent Ofsted inspection demonstrates that the school has significant improvements to be made and therefore, leaders will be addressing the level of challenge and accountability within the school’s target setting process.</w:t>
      </w:r>
    </w:p>
    <w:p w14:paraId="2FBBB0D9" w14:textId="77777777" w:rsidR="007942AC" w:rsidRDefault="007942AC" w:rsidP="007942AC">
      <w:pPr>
        <w:rPr>
          <w:b/>
          <w:u w:val="single"/>
        </w:rPr>
      </w:pPr>
    </w:p>
    <w:p w14:paraId="1113F779" w14:textId="77777777" w:rsidR="007942AC" w:rsidRDefault="007942AC" w:rsidP="007942AC">
      <w:pPr>
        <w:rPr>
          <w:b/>
          <w:u w:val="single"/>
        </w:rPr>
      </w:pPr>
    </w:p>
    <w:p w14:paraId="5C848B17" w14:textId="77777777" w:rsidR="007942AC" w:rsidRDefault="007942AC" w:rsidP="007942AC">
      <w:pPr>
        <w:rPr>
          <w:b/>
          <w:u w:val="single"/>
        </w:rPr>
      </w:pPr>
    </w:p>
    <w:p w14:paraId="3546D9F6" w14:textId="77777777" w:rsidR="007942AC" w:rsidRDefault="007942AC"/>
    <w:sectPr w:rsidR="007942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4FE"/>
    <w:multiLevelType w:val="hybridMultilevel"/>
    <w:tmpl w:val="0916D8F0"/>
    <w:lvl w:ilvl="0" w:tplc="33BC04AE">
      <w:start w:val="10"/>
      <w:numFmt w:val="bullet"/>
      <w:lvlText w:val="-"/>
      <w:lvlJc w:val="left"/>
      <w:pPr>
        <w:ind w:left="1440" w:hanging="360"/>
      </w:pPr>
      <w:rPr>
        <w:rFonts w:ascii="Century Gothic" w:eastAsiaTheme="minorHAnsi" w:hAnsi="Century Gothic"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F157CC2"/>
    <w:multiLevelType w:val="hybridMultilevel"/>
    <w:tmpl w:val="8362DC6A"/>
    <w:lvl w:ilvl="0" w:tplc="08090001">
      <w:start w:val="1"/>
      <w:numFmt w:val="bullet"/>
      <w:lvlText w:val=""/>
      <w:lvlJc w:val="left"/>
      <w:pPr>
        <w:ind w:left="720" w:hanging="360"/>
      </w:pPr>
      <w:rPr>
        <w:rFonts w:ascii="Symbol" w:hAnsi="Symbol" w:hint="default"/>
      </w:rPr>
    </w:lvl>
    <w:lvl w:ilvl="1" w:tplc="33BC04AE">
      <w:start w:val="10"/>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C"/>
    <w:rsid w:val="00203806"/>
    <w:rsid w:val="00422013"/>
    <w:rsid w:val="00534303"/>
    <w:rsid w:val="00553FF2"/>
    <w:rsid w:val="00681067"/>
    <w:rsid w:val="006F2304"/>
    <w:rsid w:val="007942AC"/>
    <w:rsid w:val="00816E27"/>
    <w:rsid w:val="00A147E1"/>
    <w:rsid w:val="00A61970"/>
    <w:rsid w:val="00AD2A9A"/>
    <w:rsid w:val="00AF7BD4"/>
    <w:rsid w:val="00B71709"/>
    <w:rsid w:val="00D65C51"/>
    <w:rsid w:val="00E3203D"/>
    <w:rsid w:val="00EB0983"/>
    <w:rsid w:val="00F33072"/>
    <w:rsid w:val="00F3474E"/>
    <w:rsid w:val="00F71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5EBF"/>
  <w15:chartTrackingRefBased/>
  <w15:docId w15:val="{6EDED6C0-AD2D-4B0C-8FA7-92CEEB57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2AC"/>
    <w:pPr>
      <w:spacing w:after="200" w:line="276" w:lineRule="auto"/>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2AC"/>
    <w:pPr>
      <w:ind w:left="720"/>
      <w:contextualSpacing/>
    </w:pPr>
  </w:style>
  <w:style w:type="table" w:styleId="TableGrid">
    <w:name w:val="Table Grid"/>
    <w:basedOn w:val="TableNormal"/>
    <w:uiPriority w:val="59"/>
    <w:rsid w:val="00AF7BD4"/>
    <w:pPr>
      <w:spacing w:after="0" w:line="240" w:lineRule="auto"/>
    </w:pPr>
    <w:rPr>
      <w:rFonts w:ascii="Century Gothic" w:hAnsi="Century Gothic"/>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mds-svr-ads-001\Office%20Share\Admin\Senior%20Team\SPENCER%20Graham\DATA%20July%202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solidFill>
                  <a:sysClr val="windowText" lastClr="000000"/>
                </a:solidFill>
              </a:rPr>
              <a:t>'Not on</a:t>
            </a:r>
            <a:r>
              <a:rPr lang="en-GB" b="1" baseline="0">
                <a:solidFill>
                  <a:sysClr val="windowText" lastClr="000000"/>
                </a:solidFill>
              </a:rPr>
              <a:t> track' Breakdown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FF00"/>
              </a:solidFill>
              <a:ln w="19050">
                <a:solidFill>
                  <a:schemeClr val="lt1"/>
                </a:solidFill>
              </a:ln>
              <a:effectLst/>
            </c:spPr>
            <c:extLst>
              <c:ext xmlns:c16="http://schemas.microsoft.com/office/drawing/2014/chart" uri="{C3380CC4-5D6E-409C-BE32-E72D297353CC}">
                <c16:uniqueId val="{00000001-86D5-4A02-AB4B-334B49C933B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6D5-4A02-AB4B-334B49C933BD}"/>
              </c:ext>
            </c:extLst>
          </c:dPt>
          <c:dPt>
            <c:idx val="2"/>
            <c:bubble3D val="0"/>
            <c:spPr>
              <a:solidFill>
                <a:srgbClr val="C00000"/>
              </a:solidFill>
              <a:ln w="19050">
                <a:solidFill>
                  <a:schemeClr val="lt1"/>
                </a:solidFill>
              </a:ln>
              <a:effectLst/>
            </c:spPr>
            <c:extLst>
              <c:ext xmlns:c16="http://schemas.microsoft.com/office/drawing/2014/chart" uri="{C3380CC4-5D6E-409C-BE32-E72D297353CC}">
                <c16:uniqueId val="{00000005-86D5-4A02-AB4B-334B49C933BD}"/>
              </c:ext>
            </c:extLst>
          </c:dPt>
          <c:dPt>
            <c:idx val="3"/>
            <c:bubble3D val="0"/>
            <c:spPr>
              <a:solidFill>
                <a:srgbClr val="92D050"/>
              </a:solidFill>
              <a:ln w="19050">
                <a:solidFill>
                  <a:schemeClr val="lt1"/>
                </a:solidFill>
              </a:ln>
              <a:effectLst/>
            </c:spPr>
            <c:extLst>
              <c:ext xmlns:c16="http://schemas.microsoft.com/office/drawing/2014/chart" uri="{C3380CC4-5D6E-409C-BE32-E72D297353CC}">
                <c16:uniqueId val="{00000007-86D5-4A02-AB4B-334B49C933BD}"/>
              </c:ext>
            </c:extLst>
          </c:dPt>
          <c:dPt>
            <c:idx val="4"/>
            <c:bubble3D val="0"/>
            <c:spPr>
              <a:solidFill>
                <a:srgbClr val="7030A0"/>
              </a:solidFill>
              <a:ln w="19050">
                <a:solidFill>
                  <a:schemeClr val="lt1"/>
                </a:solidFill>
              </a:ln>
              <a:effectLst/>
            </c:spPr>
            <c:extLst>
              <c:ext xmlns:c16="http://schemas.microsoft.com/office/drawing/2014/chart" uri="{C3380CC4-5D6E-409C-BE32-E72D297353CC}">
                <c16:uniqueId val="{00000009-86D5-4A02-AB4B-334B49C933BD}"/>
              </c:ext>
            </c:extLst>
          </c:dPt>
          <c:dPt>
            <c:idx val="5"/>
            <c:bubble3D val="0"/>
            <c:spPr>
              <a:solidFill>
                <a:srgbClr val="00B0F0"/>
              </a:solidFill>
              <a:ln w="19050">
                <a:solidFill>
                  <a:schemeClr val="lt1"/>
                </a:solidFill>
              </a:ln>
              <a:effectLst/>
            </c:spPr>
            <c:extLst>
              <c:ext xmlns:c16="http://schemas.microsoft.com/office/drawing/2014/chart" uri="{C3380CC4-5D6E-409C-BE32-E72D297353CC}">
                <c16:uniqueId val="{0000000B-86D5-4A02-AB4B-334B49C933BD}"/>
              </c:ext>
            </c:extLst>
          </c:dPt>
          <c:dPt>
            <c:idx val="6"/>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D-86D5-4A02-AB4B-334B49C933B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86D5-4A02-AB4B-334B49C933B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'Chart 1 Domain'!$A$42:$A$49</c:f>
              <c:strCache>
                <c:ptCount val="7"/>
                <c:pt idx="0">
                  <c:v>1-Attendance </c:v>
                </c:pt>
                <c:pt idx="1">
                  <c:v>2-Medical</c:v>
                </c:pt>
                <c:pt idx="2">
                  <c:v>3-Emotional</c:v>
                </c:pt>
                <c:pt idx="3">
                  <c:v>4-Resources / training</c:v>
                </c:pt>
                <c:pt idx="4">
                  <c:v>5-Inappropriate expectation</c:v>
                </c:pt>
                <c:pt idx="5">
                  <c:v>6-Unable to make provision</c:v>
                </c:pt>
                <c:pt idx="6">
                  <c:v>7-Staffing inconsistencies</c:v>
                </c:pt>
              </c:strCache>
            </c:strRef>
          </c:cat>
          <c:val>
            <c:numRef>
              <c:f>'Chart 1 Domain'!$B$42:$B$49</c:f>
              <c:numCache>
                <c:formatCode>General</c:formatCode>
                <c:ptCount val="8"/>
                <c:pt idx="0">
                  <c:v>51</c:v>
                </c:pt>
                <c:pt idx="1">
                  <c:v>16</c:v>
                </c:pt>
                <c:pt idx="2">
                  <c:v>3</c:v>
                </c:pt>
                <c:pt idx="3">
                  <c:v>2</c:v>
                </c:pt>
                <c:pt idx="4">
                  <c:v>12</c:v>
                </c:pt>
                <c:pt idx="5">
                  <c:v>12</c:v>
                </c:pt>
                <c:pt idx="6">
                  <c:v>20</c:v>
                </c:pt>
              </c:numCache>
            </c:numRef>
          </c:val>
          <c:extLst>
            <c:ext xmlns:c16="http://schemas.microsoft.com/office/drawing/2014/chart" uri="{C3380CC4-5D6E-409C-BE32-E72D297353CC}">
              <c16:uniqueId val="{00000010-86D5-4A02-AB4B-334B49C933BD}"/>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Barham</dc:creator>
  <cp:keywords/>
  <dc:description/>
  <cp:lastModifiedBy>Georgia Barham</cp:lastModifiedBy>
  <cp:revision>2</cp:revision>
  <dcterms:created xsi:type="dcterms:W3CDTF">2023-09-27T13:05:00Z</dcterms:created>
  <dcterms:modified xsi:type="dcterms:W3CDTF">2023-09-27T13:05:00Z</dcterms:modified>
</cp:coreProperties>
</file>