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3.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4.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5.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6.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7.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8.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9.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0.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1.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5934" w:rsidRDefault="00A033CE">
      <w:pPr>
        <w:jc w:val="center"/>
        <w:rPr>
          <w:color w:val="000000" w:themeColor="text1"/>
          <w:sz w:val="44"/>
          <w:szCs w:val="44"/>
          <w:u w:val="single"/>
        </w:rPr>
      </w:pPr>
      <w:bookmarkStart w:id="0" w:name="_GoBack"/>
      <w:bookmarkEnd w:id="0"/>
      <w:r>
        <w:rPr>
          <w:sz w:val="44"/>
          <w:szCs w:val="44"/>
          <w:u w:val="single"/>
        </w:rPr>
        <w:t>2020-20</w:t>
      </w:r>
      <w:r w:rsidR="00CF4FA7">
        <w:rPr>
          <w:sz w:val="44"/>
          <w:szCs w:val="44"/>
          <w:u w:val="single"/>
        </w:rPr>
        <w:t>21</w:t>
      </w:r>
      <w:r>
        <w:rPr>
          <w:sz w:val="44"/>
          <w:szCs w:val="44"/>
          <w:u w:val="single"/>
        </w:rPr>
        <w:t>Summer</w:t>
      </w:r>
      <w:r w:rsidR="00CF4FA7">
        <w:rPr>
          <w:sz w:val="44"/>
          <w:szCs w:val="44"/>
          <w:u w:val="single"/>
        </w:rPr>
        <w:t xml:space="preserve"> </w:t>
      </w:r>
      <w:r w:rsidR="00CF4FA7">
        <w:rPr>
          <w:color w:val="000000" w:themeColor="text1"/>
          <w:sz w:val="44"/>
          <w:szCs w:val="44"/>
          <w:u w:val="single"/>
        </w:rPr>
        <w:t>Term Data Report</w:t>
      </w:r>
    </w:p>
    <w:p w:rsidR="00BD5934" w:rsidRDefault="00CF4FA7">
      <w:pPr>
        <w:pStyle w:val="ListParagraph"/>
        <w:numPr>
          <w:ilvl w:val="0"/>
          <w:numId w:val="1"/>
        </w:numPr>
        <w:rPr>
          <w:i/>
        </w:rPr>
      </w:pPr>
      <w:r>
        <w:t xml:space="preserve">Key OFSTED action: </w:t>
      </w:r>
      <w:r>
        <w:rPr>
          <w:i/>
        </w:rPr>
        <w:t>‘Introduce an assessment system, which allows teachers to record clear evidence of progress against pupils’ personalised small steps of learning in their re-written Education, Health and Care Plans, reflecting the whole breadth of the curriculum in the school.’</w:t>
      </w:r>
    </w:p>
    <w:p w:rsidR="00BD5934" w:rsidRDefault="00CF4FA7">
      <w:pPr>
        <w:pStyle w:val="ListParagraph"/>
        <w:numPr>
          <w:ilvl w:val="0"/>
          <w:numId w:val="1"/>
        </w:numPr>
      </w:pPr>
      <w:r>
        <w:t>The report is based on data returns for</w:t>
      </w:r>
      <w:r w:rsidR="006C5273">
        <w:t xml:space="preserve"> </w:t>
      </w:r>
      <w:r w:rsidR="00472AF6">
        <w:t>172</w:t>
      </w:r>
      <w:r w:rsidR="00A033CE">
        <w:t xml:space="preserve"> of the 185 students on roll</w:t>
      </w:r>
      <w:r>
        <w:t xml:space="preserve"> </w:t>
      </w:r>
    </w:p>
    <w:p w:rsidR="00BD5934" w:rsidRDefault="00CF4FA7">
      <w:pPr>
        <w:pStyle w:val="ListParagraph"/>
        <w:numPr>
          <w:ilvl w:val="0"/>
          <w:numId w:val="1"/>
        </w:numPr>
      </w:pPr>
      <w:r>
        <w:t xml:space="preserve">Teachers required to make two judgements: </w:t>
      </w:r>
    </w:p>
    <w:p w:rsidR="00BD5934" w:rsidRDefault="00CF4FA7">
      <w:pPr>
        <w:pStyle w:val="ListParagraph"/>
        <w:numPr>
          <w:ilvl w:val="1"/>
          <w:numId w:val="1"/>
        </w:numPr>
      </w:pPr>
      <w:r>
        <w:t xml:space="preserve">For each EHCP target, is the student ‘on track’ to reach their ‘Expected Outcome’? </w:t>
      </w:r>
    </w:p>
    <w:p w:rsidR="00BD5934" w:rsidRDefault="00CF4FA7">
      <w:pPr>
        <w:pStyle w:val="ListParagraph"/>
        <w:numPr>
          <w:ilvl w:val="0"/>
          <w:numId w:val="3"/>
        </w:numPr>
      </w:pPr>
      <w:r>
        <w:t xml:space="preserve">If the student is ‘not on track’, why? </w:t>
      </w:r>
    </w:p>
    <w:p w:rsidR="00BD5934" w:rsidRDefault="00CF4FA7">
      <w:pPr>
        <w:pStyle w:val="ListParagraph"/>
        <w:numPr>
          <w:ilvl w:val="0"/>
          <w:numId w:val="1"/>
        </w:numPr>
      </w:pPr>
      <w:r>
        <w:t>Teachers’ deadline for submission of data was</w:t>
      </w:r>
      <w:r w:rsidR="00A033CE">
        <w:t xml:space="preserve"> </w:t>
      </w:r>
      <w:r>
        <w:t xml:space="preserve">2.7.21. </w:t>
      </w:r>
    </w:p>
    <w:p w:rsidR="00BD5934" w:rsidRDefault="00CF4FA7">
      <w:pPr>
        <w:pStyle w:val="ListParagraph"/>
        <w:numPr>
          <w:ilvl w:val="0"/>
          <w:numId w:val="1"/>
        </w:numPr>
      </w:pPr>
      <w:r>
        <w:t>Week commencing 12</w:t>
      </w:r>
      <w:r w:rsidRPr="00CF4FA7">
        <w:rPr>
          <w:vertAlign w:val="superscript"/>
        </w:rPr>
        <w:t>th</w:t>
      </w:r>
      <w:r>
        <w:t xml:space="preserve"> July, AHT’s conducted learning conversation meetings with individual teachers in their pathway to: </w:t>
      </w:r>
    </w:p>
    <w:p w:rsidR="00BD5934" w:rsidRDefault="00CF4FA7">
      <w:pPr>
        <w:pStyle w:val="ListParagraph"/>
        <w:numPr>
          <w:ilvl w:val="1"/>
          <w:numId w:val="1"/>
        </w:numPr>
      </w:pPr>
      <w:r>
        <w:t xml:space="preserve">Verify their returns. </w:t>
      </w:r>
    </w:p>
    <w:p w:rsidR="00BD5934" w:rsidRDefault="00CF4FA7">
      <w:pPr>
        <w:pStyle w:val="ListParagraph"/>
        <w:numPr>
          <w:ilvl w:val="1"/>
          <w:numId w:val="1"/>
        </w:numPr>
      </w:pPr>
      <w:r>
        <w:t xml:space="preserve">Review the evidence-base for their judgements. </w:t>
      </w:r>
    </w:p>
    <w:p w:rsidR="00BD5934" w:rsidRDefault="00CF4FA7">
      <w:pPr>
        <w:pStyle w:val="ListParagraph"/>
        <w:numPr>
          <w:ilvl w:val="1"/>
          <w:numId w:val="1"/>
        </w:numPr>
      </w:pPr>
      <w:r>
        <w:t>Agree strategies to address underachievement.</w:t>
      </w:r>
    </w:p>
    <w:p w:rsidR="00BD5934" w:rsidRDefault="00CF4FA7">
      <w:pPr>
        <w:pStyle w:val="ListParagraph"/>
        <w:numPr>
          <w:ilvl w:val="0"/>
          <w:numId w:val="1"/>
        </w:numPr>
      </w:pPr>
      <w:r>
        <w:t>The data presented in this report is analysed against the three criteria used in previous reports:</w:t>
      </w:r>
    </w:p>
    <w:p w:rsidR="00BD5934" w:rsidRDefault="00CF4FA7">
      <w:pPr>
        <w:pStyle w:val="ListParagraph"/>
        <w:numPr>
          <w:ilvl w:val="1"/>
          <w:numId w:val="1"/>
        </w:numPr>
      </w:pPr>
      <w:r>
        <w:t xml:space="preserve">EHCP domain. </w:t>
      </w:r>
    </w:p>
    <w:p w:rsidR="00BD5934" w:rsidRDefault="00CF4FA7">
      <w:pPr>
        <w:pStyle w:val="ListParagraph"/>
        <w:numPr>
          <w:ilvl w:val="1"/>
          <w:numId w:val="1"/>
        </w:numPr>
      </w:pPr>
      <w:r>
        <w:t xml:space="preserve">Pupil Premium/LAC. </w:t>
      </w:r>
    </w:p>
    <w:p w:rsidR="00BD5934" w:rsidRDefault="00CF4FA7">
      <w:pPr>
        <w:pStyle w:val="ListParagraph"/>
        <w:numPr>
          <w:ilvl w:val="1"/>
          <w:numId w:val="1"/>
        </w:numPr>
      </w:pPr>
      <w:r>
        <w:t>Curriculum Pathway.</w:t>
      </w:r>
    </w:p>
    <w:p w:rsidR="00BD5934" w:rsidRDefault="00CF4FA7">
      <w:pPr>
        <w:pStyle w:val="ListParagraph"/>
        <w:numPr>
          <w:ilvl w:val="0"/>
          <w:numId w:val="9"/>
        </w:numPr>
      </w:pPr>
      <w:r>
        <w:t>Two new criteria are included:</w:t>
      </w:r>
    </w:p>
    <w:p w:rsidR="00472AF6" w:rsidRDefault="00472AF6" w:rsidP="00472AF6">
      <w:pPr>
        <w:pStyle w:val="ListParagraph"/>
        <w:numPr>
          <w:ilvl w:val="1"/>
          <w:numId w:val="9"/>
        </w:numPr>
      </w:pPr>
      <w:r>
        <w:t>Braided curriculum pathway added to the data set</w:t>
      </w:r>
    </w:p>
    <w:p w:rsidR="00BD5934" w:rsidRDefault="00CF4FA7">
      <w:pPr>
        <w:pStyle w:val="ListParagraph"/>
        <w:numPr>
          <w:ilvl w:val="1"/>
          <w:numId w:val="9"/>
        </w:numPr>
      </w:pPr>
      <w:r>
        <w:t xml:space="preserve">Visual impairment. </w:t>
      </w:r>
    </w:p>
    <w:p w:rsidR="00BD5934" w:rsidRDefault="00CF4FA7">
      <w:pPr>
        <w:pStyle w:val="ListParagraph"/>
        <w:numPr>
          <w:ilvl w:val="0"/>
          <w:numId w:val="1"/>
        </w:numPr>
      </w:pPr>
      <w:r>
        <w:t>To aid Governors’ challenge, data from Autumn and Spring 20-21 is included.</w:t>
      </w:r>
    </w:p>
    <w:p w:rsidR="00CF4FA7" w:rsidRPr="0098668B" w:rsidRDefault="00F129B6">
      <w:pPr>
        <w:pStyle w:val="ListParagraph"/>
        <w:numPr>
          <w:ilvl w:val="0"/>
          <w:numId w:val="1"/>
        </w:numPr>
      </w:pPr>
      <w:r>
        <w:t xml:space="preserve">Covid update: During the summer term, the school managed Covid outbreaks by enforcing partial closures of classrooms. </w:t>
      </w:r>
      <w:r w:rsidR="008B4B8C">
        <w:t xml:space="preserve">There were no whole school closures during this term. </w:t>
      </w:r>
    </w:p>
    <w:p w:rsidR="00BD5934" w:rsidRDefault="00BD5934"/>
    <w:p w:rsidR="00BD5934" w:rsidRDefault="00CF4FA7">
      <w:pPr>
        <w:rPr>
          <w:b/>
          <w:u w:val="single"/>
        </w:rPr>
      </w:pPr>
      <w:r>
        <w:br w:type="page"/>
      </w:r>
      <w:r>
        <w:rPr>
          <w:b/>
          <w:u w:val="single"/>
        </w:rPr>
        <w:lastRenderedPageBreak/>
        <w:t>Section 1 – EHCP Domain</w:t>
      </w:r>
    </w:p>
    <w:p w:rsidR="0007683A" w:rsidRDefault="0007683A">
      <w:pPr>
        <w:rPr>
          <w:b/>
          <w:u w:val="single"/>
        </w:rPr>
      </w:pPr>
      <w:r>
        <w:rPr>
          <w:b/>
          <w:u w:val="single"/>
        </w:rPr>
        <w:t xml:space="preserve">Autumn Term </w:t>
      </w:r>
    </w:p>
    <w:p w:rsidR="0007683A" w:rsidRDefault="0007683A">
      <w:pPr>
        <w:rPr>
          <w:b/>
          <w:u w:val="single"/>
        </w:rPr>
      </w:pPr>
    </w:p>
    <w:p w:rsidR="0007683A" w:rsidRDefault="0007683A">
      <w:pPr>
        <w:rPr>
          <w:b/>
          <w:u w:val="single"/>
        </w:rPr>
      </w:pPr>
      <w:r>
        <w:rPr>
          <w:b/>
          <w:u w:val="single"/>
        </w:rPr>
        <w:t xml:space="preserve">Spring Term </w:t>
      </w:r>
    </w:p>
    <w:p w:rsidR="0007683A" w:rsidRDefault="0007683A">
      <w:pPr>
        <w:rPr>
          <w:b/>
          <w:u w:val="single"/>
        </w:rPr>
      </w:pPr>
    </w:p>
    <w:p w:rsidR="0007683A" w:rsidRDefault="0007683A">
      <w:pPr>
        <w:rPr>
          <w:b/>
          <w:u w:val="single"/>
        </w:rPr>
      </w:pPr>
      <w:r>
        <w:rPr>
          <w:b/>
          <w:u w:val="single"/>
        </w:rPr>
        <w:t>Summer Term</w:t>
      </w:r>
    </w:p>
    <w:tbl>
      <w:tblPr>
        <w:tblpPr w:leftFromText="180" w:rightFromText="180" w:vertAnchor="page" w:horzAnchor="margin" w:tblpY="2536"/>
        <w:tblW w:w="9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1701"/>
        <w:gridCol w:w="1701"/>
        <w:gridCol w:w="1572"/>
      </w:tblGrid>
      <w:tr w:rsidR="0007683A" w:rsidTr="0007683A">
        <w:trPr>
          <w:trHeight w:val="283"/>
        </w:trPr>
        <w:tc>
          <w:tcPr>
            <w:tcW w:w="4673" w:type="dxa"/>
            <w:shd w:val="clear" w:color="auto" w:fill="D9D9D9" w:themeFill="background1" w:themeFillShade="D9"/>
            <w:noWrap/>
            <w:vAlign w:val="bottom"/>
            <w:hideMark/>
          </w:tcPr>
          <w:p w:rsidR="0007683A" w:rsidRDefault="0007683A" w:rsidP="0007683A">
            <w:pPr>
              <w:spacing w:after="0" w:line="240" w:lineRule="auto"/>
              <w:rPr>
                <w:rFonts w:eastAsia="Times New Roman" w:cs="Calibri"/>
                <w:b/>
                <w:sz w:val="22"/>
                <w:lang w:eastAsia="en-GB"/>
              </w:rPr>
            </w:pPr>
            <w:r>
              <w:rPr>
                <w:rFonts w:eastAsia="Times New Roman" w:cs="Calibri"/>
                <w:b/>
                <w:sz w:val="22"/>
                <w:lang w:eastAsia="en-GB"/>
              </w:rPr>
              <w:t>EHCP Domains</w:t>
            </w:r>
          </w:p>
        </w:tc>
        <w:tc>
          <w:tcPr>
            <w:tcW w:w="1701" w:type="dxa"/>
            <w:shd w:val="clear" w:color="auto" w:fill="D9D9D9" w:themeFill="background1" w:themeFillShade="D9"/>
            <w:noWrap/>
            <w:vAlign w:val="bottom"/>
            <w:hideMark/>
          </w:tcPr>
          <w:p w:rsidR="0007683A" w:rsidRDefault="0007683A" w:rsidP="0007683A">
            <w:pPr>
              <w:spacing w:after="0" w:line="240" w:lineRule="auto"/>
              <w:jc w:val="center"/>
              <w:rPr>
                <w:rFonts w:eastAsia="Times New Roman" w:cs="Calibri"/>
                <w:b/>
                <w:sz w:val="22"/>
                <w:lang w:eastAsia="en-GB"/>
              </w:rPr>
            </w:pPr>
            <w:r>
              <w:rPr>
                <w:rFonts w:eastAsia="Times New Roman" w:cs="Calibri"/>
                <w:b/>
                <w:sz w:val="22"/>
                <w:lang w:eastAsia="en-GB"/>
              </w:rPr>
              <w:t>Not on T</w:t>
            </w:r>
            <w:r>
              <w:rPr>
                <w:b/>
                <w:sz w:val="22"/>
              </w:rPr>
              <w:t>rack</w:t>
            </w:r>
          </w:p>
        </w:tc>
        <w:tc>
          <w:tcPr>
            <w:tcW w:w="1701" w:type="dxa"/>
            <w:shd w:val="clear" w:color="auto" w:fill="D9D9D9" w:themeFill="background1" w:themeFillShade="D9"/>
            <w:noWrap/>
            <w:vAlign w:val="bottom"/>
            <w:hideMark/>
          </w:tcPr>
          <w:p w:rsidR="0007683A" w:rsidRDefault="0007683A" w:rsidP="0007683A">
            <w:pPr>
              <w:spacing w:after="0" w:line="240" w:lineRule="auto"/>
              <w:jc w:val="center"/>
              <w:rPr>
                <w:rFonts w:eastAsia="Times New Roman" w:cs="Calibri"/>
                <w:b/>
                <w:sz w:val="22"/>
                <w:lang w:eastAsia="en-GB"/>
              </w:rPr>
            </w:pPr>
            <w:r>
              <w:rPr>
                <w:rFonts w:eastAsia="Times New Roman" w:cs="Calibri"/>
                <w:b/>
                <w:sz w:val="22"/>
                <w:lang w:eastAsia="en-GB"/>
              </w:rPr>
              <w:t>On T</w:t>
            </w:r>
            <w:r>
              <w:rPr>
                <w:b/>
                <w:sz w:val="22"/>
              </w:rPr>
              <w:t>rack</w:t>
            </w:r>
          </w:p>
        </w:tc>
        <w:tc>
          <w:tcPr>
            <w:tcW w:w="1572" w:type="dxa"/>
            <w:shd w:val="clear" w:color="auto" w:fill="D9D9D9" w:themeFill="background1" w:themeFillShade="D9"/>
            <w:noWrap/>
            <w:vAlign w:val="bottom"/>
            <w:hideMark/>
          </w:tcPr>
          <w:p w:rsidR="0007683A" w:rsidRDefault="0007683A" w:rsidP="0007683A">
            <w:pPr>
              <w:spacing w:after="0" w:line="240" w:lineRule="auto"/>
              <w:jc w:val="center"/>
              <w:rPr>
                <w:rFonts w:eastAsia="Times New Roman" w:cs="Calibri"/>
                <w:b/>
                <w:sz w:val="22"/>
                <w:lang w:eastAsia="en-GB"/>
              </w:rPr>
            </w:pPr>
            <w:r>
              <w:rPr>
                <w:rFonts w:eastAsia="Times New Roman" w:cs="Calibri"/>
                <w:b/>
                <w:sz w:val="22"/>
                <w:lang w:eastAsia="en-GB"/>
              </w:rPr>
              <w:t>Grand Total</w:t>
            </w:r>
          </w:p>
        </w:tc>
      </w:tr>
      <w:tr w:rsidR="00EA2B76" w:rsidTr="0007683A">
        <w:trPr>
          <w:trHeight w:val="283"/>
        </w:trPr>
        <w:tc>
          <w:tcPr>
            <w:tcW w:w="4673" w:type="dxa"/>
            <w:shd w:val="clear" w:color="auto" w:fill="auto"/>
            <w:noWrap/>
            <w:vAlign w:val="bottom"/>
            <w:hideMark/>
          </w:tcPr>
          <w:p w:rsidR="00EA2B76" w:rsidRDefault="00EA2B76" w:rsidP="00EA2B76">
            <w:pPr>
              <w:spacing w:after="0" w:line="240" w:lineRule="auto"/>
              <w:rPr>
                <w:rFonts w:eastAsia="Times New Roman" w:cs="Calibri"/>
                <w:sz w:val="22"/>
                <w:lang w:eastAsia="en-GB"/>
              </w:rPr>
            </w:pPr>
            <w:r>
              <w:rPr>
                <w:rFonts w:eastAsia="Times New Roman" w:cs="Calibri"/>
                <w:sz w:val="22"/>
                <w:lang w:eastAsia="en-GB"/>
              </w:rPr>
              <w:t>Cognition and Learning</w:t>
            </w:r>
          </w:p>
        </w:tc>
        <w:tc>
          <w:tcPr>
            <w:tcW w:w="1701" w:type="dxa"/>
            <w:shd w:val="clear" w:color="auto" w:fill="auto"/>
            <w:noWrap/>
            <w:vAlign w:val="bottom"/>
            <w:hideMark/>
          </w:tcPr>
          <w:p w:rsidR="00EA2B76" w:rsidRDefault="00EA2B76" w:rsidP="00EA2B76">
            <w:pPr>
              <w:spacing w:after="0" w:line="240" w:lineRule="auto"/>
              <w:jc w:val="center"/>
              <w:rPr>
                <w:rFonts w:eastAsia="Times New Roman" w:cs="Calibri"/>
                <w:sz w:val="22"/>
                <w:lang w:eastAsia="en-GB"/>
              </w:rPr>
            </w:pPr>
            <w:r>
              <w:rPr>
                <w:rFonts w:eastAsia="Times New Roman" w:cs="Calibri"/>
                <w:sz w:val="22"/>
                <w:lang w:eastAsia="en-GB"/>
              </w:rPr>
              <w:t>115</w:t>
            </w:r>
          </w:p>
        </w:tc>
        <w:tc>
          <w:tcPr>
            <w:tcW w:w="1701" w:type="dxa"/>
            <w:shd w:val="clear" w:color="auto" w:fill="auto"/>
            <w:noWrap/>
            <w:vAlign w:val="bottom"/>
            <w:hideMark/>
          </w:tcPr>
          <w:p w:rsidR="00EA2B76" w:rsidRDefault="00EA2B76" w:rsidP="00EA2B76">
            <w:pPr>
              <w:spacing w:after="0" w:line="240" w:lineRule="auto"/>
              <w:jc w:val="center"/>
              <w:rPr>
                <w:rFonts w:eastAsia="Times New Roman" w:cs="Calibri"/>
                <w:sz w:val="22"/>
                <w:lang w:eastAsia="en-GB"/>
              </w:rPr>
            </w:pPr>
            <w:r>
              <w:rPr>
                <w:rFonts w:eastAsia="Times New Roman" w:cs="Calibri"/>
                <w:sz w:val="22"/>
                <w:lang w:eastAsia="en-GB"/>
              </w:rPr>
              <w:t>476</w:t>
            </w:r>
          </w:p>
        </w:tc>
        <w:tc>
          <w:tcPr>
            <w:tcW w:w="1572" w:type="dxa"/>
            <w:shd w:val="clear" w:color="auto" w:fill="auto"/>
            <w:noWrap/>
            <w:vAlign w:val="bottom"/>
            <w:hideMark/>
          </w:tcPr>
          <w:p w:rsidR="00EA2B76" w:rsidRDefault="00EA2B76" w:rsidP="00EA2B76">
            <w:pPr>
              <w:spacing w:after="0" w:line="240" w:lineRule="auto"/>
              <w:jc w:val="center"/>
              <w:rPr>
                <w:rFonts w:eastAsia="Times New Roman" w:cs="Calibri"/>
                <w:sz w:val="22"/>
                <w:lang w:eastAsia="en-GB"/>
              </w:rPr>
            </w:pPr>
            <w:r>
              <w:rPr>
                <w:rFonts w:eastAsia="Times New Roman" w:cs="Calibri"/>
                <w:sz w:val="22"/>
                <w:lang w:eastAsia="en-GB"/>
              </w:rPr>
              <w:t>31.3%</w:t>
            </w:r>
          </w:p>
        </w:tc>
      </w:tr>
      <w:tr w:rsidR="00EA2B76" w:rsidTr="0007683A">
        <w:trPr>
          <w:trHeight w:val="283"/>
        </w:trPr>
        <w:tc>
          <w:tcPr>
            <w:tcW w:w="4673" w:type="dxa"/>
            <w:shd w:val="clear" w:color="auto" w:fill="auto"/>
            <w:noWrap/>
            <w:vAlign w:val="bottom"/>
            <w:hideMark/>
          </w:tcPr>
          <w:p w:rsidR="00EA2B76" w:rsidRDefault="00EA2B76" w:rsidP="00EA2B76">
            <w:pPr>
              <w:spacing w:after="0" w:line="240" w:lineRule="auto"/>
              <w:rPr>
                <w:rFonts w:eastAsia="Times New Roman" w:cs="Calibri"/>
                <w:sz w:val="22"/>
                <w:lang w:eastAsia="en-GB"/>
              </w:rPr>
            </w:pPr>
            <w:r>
              <w:rPr>
                <w:rFonts w:eastAsia="Times New Roman" w:cs="Calibri"/>
                <w:sz w:val="22"/>
                <w:lang w:eastAsia="en-GB"/>
              </w:rPr>
              <w:t>Independence</w:t>
            </w:r>
          </w:p>
        </w:tc>
        <w:tc>
          <w:tcPr>
            <w:tcW w:w="1701" w:type="dxa"/>
            <w:shd w:val="clear" w:color="auto" w:fill="auto"/>
            <w:noWrap/>
            <w:vAlign w:val="bottom"/>
            <w:hideMark/>
          </w:tcPr>
          <w:p w:rsidR="00EA2B76" w:rsidRDefault="00EA2B76" w:rsidP="00EA2B76">
            <w:pPr>
              <w:spacing w:after="0" w:line="240" w:lineRule="auto"/>
              <w:jc w:val="center"/>
              <w:rPr>
                <w:rFonts w:eastAsia="Times New Roman" w:cs="Calibri"/>
                <w:sz w:val="22"/>
                <w:lang w:eastAsia="en-GB"/>
              </w:rPr>
            </w:pPr>
            <w:r>
              <w:rPr>
                <w:rFonts w:eastAsia="Times New Roman" w:cs="Calibri"/>
                <w:sz w:val="22"/>
                <w:lang w:eastAsia="en-GB"/>
              </w:rPr>
              <w:t>100</w:t>
            </w:r>
          </w:p>
        </w:tc>
        <w:tc>
          <w:tcPr>
            <w:tcW w:w="1701" w:type="dxa"/>
            <w:shd w:val="clear" w:color="auto" w:fill="auto"/>
            <w:noWrap/>
            <w:vAlign w:val="bottom"/>
            <w:hideMark/>
          </w:tcPr>
          <w:p w:rsidR="00EA2B76" w:rsidRDefault="00EA2B76" w:rsidP="00EA2B76">
            <w:pPr>
              <w:spacing w:after="0" w:line="240" w:lineRule="auto"/>
              <w:jc w:val="center"/>
              <w:rPr>
                <w:rFonts w:eastAsia="Times New Roman" w:cs="Calibri"/>
                <w:sz w:val="22"/>
                <w:lang w:eastAsia="en-GB"/>
              </w:rPr>
            </w:pPr>
            <w:r>
              <w:rPr>
                <w:rFonts w:eastAsia="Times New Roman" w:cs="Calibri"/>
                <w:sz w:val="22"/>
                <w:lang w:eastAsia="en-GB"/>
              </w:rPr>
              <w:t>271</w:t>
            </w:r>
          </w:p>
        </w:tc>
        <w:tc>
          <w:tcPr>
            <w:tcW w:w="1572" w:type="dxa"/>
            <w:shd w:val="clear" w:color="auto" w:fill="auto"/>
            <w:noWrap/>
            <w:vAlign w:val="bottom"/>
            <w:hideMark/>
          </w:tcPr>
          <w:p w:rsidR="00EA2B76" w:rsidRDefault="00EA2B76" w:rsidP="00EA2B76">
            <w:pPr>
              <w:spacing w:after="0" w:line="240" w:lineRule="auto"/>
              <w:jc w:val="center"/>
              <w:rPr>
                <w:rFonts w:eastAsia="Times New Roman" w:cs="Calibri"/>
                <w:sz w:val="22"/>
                <w:lang w:eastAsia="en-GB"/>
              </w:rPr>
            </w:pPr>
            <w:r>
              <w:rPr>
                <w:rFonts w:eastAsia="Times New Roman" w:cs="Calibri"/>
                <w:sz w:val="22"/>
                <w:lang w:eastAsia="en-GB"/>
              </w:rPr>
              <w:t>19.7%</w:t>
            </w:r>
          </w:p>
        </w:tc>
      </w:tr>
      <w:tr w:rsidR="00EA2B76" w:rsidTr="0007683A">
        <w:trPr>
          <w:trHeight w:val="283"/>
        </w:trPr>
        <w:tc>
          <w:tcPr>
            <w:tcW w:w="4673" w:type="dxa"/>
            <w:shd w:val="clear" w:color="auto" w:fill="auto"/>
            <w:noWrap/>
            <w:vAlign w:val="bottom"/>
            <w:hideMark/>
          </w:tcPr>
          <w:p w:rsidR="00EA2B76" w:rsidRDefault="00EA2B76" w:rsidP="00EA2B76">
            <w:pPr>
              <w:spacing w:after="0" w:line="240" w:lineRule="auto"/>
              <w:rPr>
                <w:rFonts w:eastAsia="Times New Roman" w:cs="Calibri"/>
                <w:sz w:val="22"/>
                <w:lang w:eastAsia="en-GB"/>
              </w:rPr>
            </w:pPr>
            <w:r>
              <w:rPr>
                <w:rFonts w:eastAsia="Times New Roman" w:cs="Calibri"/>
                <w:sz w:val="22"/>
                <w:lang w:eastAsia="en-GB"/>
              </w:rPr>
              <w:t>Physical and Sensory</w:t>
            </w:r>
          </w:p>
        </w:tc>
        <w:tc>
          <w:tcPr>
            <w:tcW w:w="1701" w:type="dxa"/>
            <w:shd w:val="clear" w:color="auto" w:fill="auto"/>
            <w:noWrap/>
            <w:vAlign w:val="bottom"/>
            <w:hideMark/>
          </w:tcPr>
          <w:p w:rsidR="00EA2B76" w:rsidRDefault="00EA2B76" w:rsidP="00EA2B76">
            <w:pPr>
              <w:spacing w:after="0" w:line="240" w:lineRule="auto"/>
              <w:jc w:val="center"/>
              <w:rPr>
                <w:rFonts w:eastAsia="Times New Roman" w:cs="Calibri"/>
                <w:sz w:val="22"/>
                <w:lang w:eastAsia="en-GB"/>
              </w:rPr>
            </w:pPr>
            <w:r>
              <w:rPr>
                <w:rFonts w:eastAsia="Times New Roman" w:cs="Calibri"/>
                <w:sz w:val="22"/>
                <w:lang w:eastAsia="en-GB"/>
              </w:rPr>
              <w:t>41</w:t>
            </w:r>
          </w:p>
        </w:tc>
        <w:tc>
          <w:tcPr>
            <w:tcW w:w="1701" w:type="dxa"/>
            <w:shd w:val="clear" w:color="auto" w:fill="auto"/>
            <w:noWrap/>
            <w:vAlign w:val="bottom"/>
            <w:hideMark/>
          </w:tcPr>
          <w:p w:rsidR="00EA2B76" w:rsidRDefault="00EA2B76" w:rsidP="00EA2B76">
            <w:pPr>
              <w:spacing w:after="0" w:line="240" w:lineRule="auto"/>
              <w:jc w:val="center"/>
              <w:rPr>
                <w:rFonts w:eastAsia="Times New Roman" w:cs="Calibri"/>
                <w:sz w:val="22"/>
                <w:lang w:eastAsia="en-GB"/>
              </w:rPr>
            </w:pPr>
            <w:r>
              <w:rPr>
                <w:rFonts w:eastAsia="Times New Roman" w:cs="Calibri"/>
                <w:sz w:val="22"/>
                <w:lang w:eastAsia="en-GB"/>
              </w:rPr>
              <w:t>119</w:t>
            </w:r>
          </w:p>
        </w:tc>
        <w:tc>
          <w:tcPr>
            <w:tcW w:w="1572" w:type="dxa"/>
            <w:shd w:val="clear" w:color="auto" w:fill="auto"/>
            <w:noWrap/>
            <w:vAlign w:val="bottom"/>
            <w:hideMark/>
          </w:tcPr>
          <w:p w:rsidR="00EA2B76" w:rsidRDefault="00EA2B76" w:rsidP="00EA2B76">
            <w:pPr>
              <w:spacing w:after="0" w:line="240" w:lineRule="auto"/>
              <w:jc w:val="center"/>
              <w:rPr>
                <w:rFonts w:eastAsia="Times New Roman" w:cs="Calibri"/>
                <w:sz w:val="22"/>
                <w:lang w:eastAsia="en-GB"/>
              </w:rPr>
            </w:pPr>
            <w:r>
              <w:rPr>
                <w:rFonts w:eastAsia="Times New Roman" w:cs="Calibri"/>
                <w:sz w:val="22"/>
                <w:lang w:eastAsia="en-GB"/>
              </w:rPr>
              <w:t>8.5%</w:t>
            </w:r>
          </w:p>
        </w:tc>
      </w:tr>
      <w:tr w:rsidR="00EA2B76" w:rsidTr="0007683A">
        <w:trPr>
          <w:trHeight w:val="283"/>
        </w:trPr>
        <w:tc>
          <w:tcPr>
            <w:tcW w:w="4673" w:type="dxa"/>
            <w:shd w:val="clear" w:color="auto" w:fill="auto"/>
            <w:noWrap/>
            <w:vAlign w:val="bottom"/>
            <w:hideMark/>
          </w:tcPr>
          <w:p w:rsidR="00EA2B76" w:rsidRDefault="00EA2B76" w:rsidP="00EA2B76">
            <w:pPr>
              <w:spacing w:after="0" w:line="240" w:lineRule="auto"/>
              <w:rPr>
                <w:rFonts w:eastAsia="Times New Roman" w:cs="Calibri"/>
                <w:sz w:val="22"/>
                <w:lang w:eastAsia="en-GB"/>
              </w:rPr>
            </w:pPr>
            <w:r>
              <w:rPr>
                <w:rFonts w:eastAsia="Times New Roman" w:cs="Calibri"/>
                <w:sz w:val="22"/>
                <w:lang w:eastAsia="en-GB"/>
              </w:rPr>
              <w:t>Social, Emotional Wellbeing</w:t>
            </w:r>
          </w:p>
        </w:tc>
        <w:tc>
          <w:tcPr>
            <w:tcW w:w="1701" w:type="dxa"/>
            <w:shd w:val="clear" w:color="auto" w:fill="auto"/>
            <w:noWrap/>
            <w:vAlign w:val="bottom"/>
            <w:hideMark/>
          </w:tcPr>
          <w:p w:rsidR="00EA2B76" w:rsidRDefault="00EA2B76" w:rsidP="00EA2B76">
            <w:pPr>
              <w:spacing w:after="0" w:line="240" w:lineRule="auto"/>
              <w:jc w:val="center"/>
              <w:rPr>
                <w:rFonts w:eastAsia="Times New Roman" w:cs="Calibri"/>
                <w:sz w:val="22"/>
                <w:lang w:eastAsia="en-GB"/>
              </w:rPr>
            </w:pPr>
            <w:r>
              <w:rPr>
                <w:rFonts w:eastAsia="Times New Roman" w:cs="Calibri"/>
                <w:sz w:val="22"/>
                <w:lang w:eastAsia="en-GB"/>
              </w:rPr>
              <w:t>77</w:t>
            </w:r>
          </w:p>
        </w:tc>
        <w:tc>
          <w:tcPr>
            <w:tcW w:w="1701" w:type="dxa"/>
            <w:shd w:val="clear" w:color="auto" w:fill="auto"/>
            <w:noWrap/>
            <w:vAlign w:val="bottom"/>
            <w:hideMark/>
          </w:tcPr>
          <w:p w:rsidR="00EA2B76" w:rsidRDefault="00EA2B76" w:rsidP="00EA2B76">
            <w:pPr>
              <w:spacing w:after="0" w:line="240" w:lineRule="auto"/>
              <w:jc w:val="center"/>
              <w:rPr>
                <w:rFonts w:eastAsia="Times New Roman" w:cs="Calibri"/>
                <w:sz w:val="22"/>
                <w:lang w:eastAsia="en-GB"/>
              </w:rPr>
            </w:pPr>
            <w:r>
              <w:rPr>
                <w:rFonts w:eastAsia="Times New Roman" w:cs="Calibri"/>
                <w:sz w:val="22"/>
                <w:lang w:eastAsia="en-GB"/>
              </w:rPr>
              <w:t>269</w:t>
            </w:r>
          </w:p>
        </w:tc>
        <w:tc>
          <w:tcPr>
            <w:tcW w:w="1572" w:type="dxa"/>
            <w:shd w:val="clear" w:color="auto" w:fill="auto"/>
            <w:noWrap/>
            <w:vAlign w:val="bottom"/>
            <w:hideMark/>
          </w:tcPr>
          <w:p w:rsidR="00EA2B76" w:rsidRDefault="00EA2B76" w:rsidP="00EA2B76">
            <w:pPr>
              <w:spacing w:after="0" w:line="240" w:lineRule="auto"/>
              <w:jc w:val="center"/>
              <w:rPr>
                <w:rFonts w:eastAsia="Times New Roman" w:cs="Calibri"/>
                <w:sz w:val="22"/>
                <w:lang w:eastAsia="en-GB"/>
              </w:rPr>
            </w:pPr>
            <w:r>
              <w:rPr>
                <w:rFonts w:eastAsia="Times New Roman" w:cs="Calibri"/>
                <w:sz w:val="22"/>
                <w:lang w:eastAsia="en-GB"/>
              </w:rPr>
              <w:t>18.3%</w:t>
            </w:r>
          </w:p>
        </w:tc>
      </w:tr>
      <w:tr w:rsidR="00EA2B76" w:rsidTr="0007683A">
        <w:trPr>
          <w:trHeight w:val="283"/>
        </w:trPr>
        <w:tc>
          <w:tcPr>
            <w:tcW w:w="4673" w:type="dxa"/>
            <w:shd w:val="clear" w:color="auto" w:fill="auto"/>
            <w:noWrap/>
            <w:vAlign w:val="bottom"/>
            <w:hideMark/>
          </w:tcPr>
          <w:p w:rsidR="00EA2B76" w:rsidRDefault="00EA2B76" w:rsidP="00EA2B76">
            <w:pPr>
              <w:spacing w:after="0" w:line="240" w:lineRule="auto"/>
              <w:rPr>
                <w:rFonts w:eastAsia="Times New Roman" w:cs="Calibri"/>
                <w:sz w:val="22"/>
                <w:lang w:eastAsia="en-GB"/>
              </w:rPr>
            </w:pPr>
            <w:r>
              <w:rPr>
                <w:rFonts w:eastAsia="Times New Roman" w:cs="Calibri"/>
                <w:sz w:val="22"/>
                <w:lang w:eastAsia="en-GB"/>
              </w:rPr>
              <w:t>Speech, Language and Communication</w:t>
            </w:r>
          </w:p>
        </w:tc>
        <w:tc>
          <w:tcPr>
            <w:tcW w:w="1701" w:type="dxa"/>
            <w:shd w:val="clear" w:color="auto" w:fill="auto"/>
            <w:noWrap/>
            <w:vAlign w:val="bottom"/>
            <w:hideMark/>
          </w:tcPr>
          <w:p w:rsidR="00EA2B76" w:rsidRDefault="00EA2B76" w:rsidP="00EA2B76">
            <w:pPr>
              <w:spacing w:after="0" w:line="240" w:lineRule="auto"/>
              <w:jc w:val="center"/>
              <w:rPr>
                <w:rFonts w:eastAsia="Times New Roman" w:cs="Calibri"/>
                <w:sz w:val="22"/>
                <w:lang w:eastAsia="en-GB"/>
              </w:rPr>
            </w:pPr>
            <w:r>
              <w:rPr>
                <w:rFonts w:eastAsia="Times New Roman" w:cs="Calibri"/>
                <w:sz w:val="22"/>
                <w:lang w:eastAsia="en-GB"/>
              </w:rPr>
              <w:t>89</w:t>
            </w:r>
          </w:p>
        </w:tc>
        <w:tc>
          <w:tcPr>
            <w:tcW w:w="1701" w:type="dxa"/>
            <w:shd w:val="clear" w:color="auto" w:fill="auto"/>
            <w:noWrap/>
            <w:vAlign w:val="bottom"/>
            <w:hideMark/>
          </w:tcPr>
          <w:p w:rsidR="00EA2B76" w:rsidRDefault="00EA2B76" w:rsidP="00EA2B76">
            <w:pPr>
              <w:spacing w:after="0" w:line="240" w:lineRule="auto"/>
              <w:jc w:val="center"/>
              <w:rPr>
                <w:rFonts w:eastAsia="Times New Roman" w:cs="Calibri"/>
                <w:sz w:val="22"/>
                <w:lang w:eastAsia="en-GB"/>
              </w:rPr>
            </w:pPr>
            <w:r>
              <w:rPr>
                <w:rFonts w:eastAsia="Times New Roman" w:cs="Calibri"/>
                <w:sz w:val="22"/>
                <w:lang w:eastAsia="en-GB"/>
              </w:rPr>
              <w:t>330</w:t>
            </w:r>
          </w:p>
        </w:tc>
        <w:tc>
          <w:tcPr>
            <w:tcW w:w="1572" w:type="dxa"/>
            <w:shd w:val="clear" w:color="auto" w:fill="auto"/>
            <w:noWrap/>
            <w:vAlign w:val="bottom"/>
            <w:hideMark/>
          </w:tcPr>
          <w:p w:rsidR="00EA2B76" w:rsidRDefault="00EA2B76" w:rsidP="00EA2B76">
            <w:pPr>
              <w:spacing w:after="0" w:line="240" w:lineRule="auto"/>
              <w:jc w:val="center"/>
              <w:rPr>
                <w:rFonts w:eastAsia="Times New Roman" w:cs="Calibri"/>
                <w:sz w:val="22"/>
                <w:lang w:eastAsia="en-GB"/>
              </w:rPr>
            </w:pPr>
            <w:r>
              <w:rPr>
                <w:rFonts w:eastAsia="Times New Roman" w:cs="Calibri"/>
                <w:sz w:val="22"/>
                <w:lang w:eastAsia="en-GB"/>
              </w:rPr>
              <w:t>22.2%</w:t>
            </w:r>
          </w:p>
        </w:tc>
      </w:tr>
      <w:tr w:rsidR="00EA2B76" w:rsidTr="0007683A">
        <w:trPr>
          <w:trHeight w:val="283"/>
        </w:trPr>
        <w:tc>
          <w:tcPr>
            <w:tcW w:w="4673" w:type="dxa"/>
            <w:shd w:val="clear" w:color="auto" w:fill="auto"/>
            <w:noWrap/>
            <w:vAlign w:val="bottom"/>
            <w:hideMark/>
          </w:tcPr>
          <w:p w:rsidR="00EA2B76" w:rsidRDefault="00EA2B76" w:rsidP="00EA2B76">
            <w:pPr>
              <w:spacing w:after="0" w:line="240" w:lineRule="auto"/>
              <w:rPr>
                <w:rFonts w:eastAsia="Times New Roman" w:cs="Calibri"/>
                <w:b/>
                <w:bCs/>
                <w:sz w:val="22"/>
                <w:lang w:eastAsia="en-GB"/>
              </w:rPr>
            </w:pPr>
            <w:r>
              <w:rPr>
                <w:rFonts w:eastAsia="Times New Roman" w:cs="Calibri"/>
                <w:b/>
                <w:bCs/>
                <w:sz w:val="22"/>
                <w:lang w:eastAsia="en-GB"/>
              </w:rPr>
              <w:t>Grand Total</w:t>
            </w:r>
          </w:p>
        </w:tc>
        <w:tc>
          <w:tcPr>
            <w:tcW w:w="1701" w:type="dxa"/>
            <w:shd w:val="clear" w:color="auto" w:fill="auto"/>
            <w:noWrap/>
            <w:vAlign w:val="bottom"/>
            <w:hideMark/>
          </w:tcPr>
          <w:p w:rsidR="00EA2B76" w:rsidRDefault="00EA2B76" w:rsidP="00EA2B76">
            <w:pPr>
              <w:spacing w:after="0" w:line="240" w:lineRule="auto"/>
              <w:jc w:val="center"/>
              <w:rPr>
                <w:rFonts w:eastAsia="Times New Roman" w:cs="Calibri"/>
                <w:b/>
                <w:bCs/>
                <w:sz w:val="22"/>
                <w:lang w:eastAsia="en-GB"/>
              </w:rPr>
            </w:pPr>
            <w:r>
              <w:rPr>
                <w:rFonts w:eastAsia="Times New Roman" w:cs="Calibri"/>
                <w:b/>
                <w:bCs/>
                <w:sz w:val="22"/>
                <w:lang w:eastAsia="en-GB"/>
              </w:rPr>
              <w:t>422</w:t>
            </w:r>
          </w:p>
        </w:tc>
        <w:tc>
          <w:tcPr>
            <w:tcW w:w="1701" w:type="dxa"/>
            <w:shd w:val="clear" w:color="auto" w:fill="auto"/>
            <w:noWrap/>
            <w:vAlign w:val="bottom"/>
            <w:hideMark/>
          </w:tcPr>
          <w:p w:rsidR="00EA2B76" w:rsidRDefault="00EA2B76" w:rsidP="00EA2B76">
            <w:pPr>
              <w:spacing w:after="0" w:line="240" w:lineRule="auto"/>
              <w:jc w:val="center"/>
              <w:rPr>
                <w:rFonts w:eastAsia="Times New Roman" w:cs="Calibri"/>
                <w:b/>
                <w:bCs/>
                <w:sz w:val="22"/>
                <w:lang w:eastAsia="en-GB"/>
              </w:rPr>
            </w:pPr>
            <w:r>
              <w:rPr>
                <w:rFonts w:eastAsia="Times New Roman" w:cs="Calibri"/>
                <w:b/>
                <w:bCs/>
                <w:sz w:val="22"/>
                <w:lang w:eastAsia="en-GB"/>
              </w:rPr>
              <w:t>1465</w:t>
            </w:r>
          </w:p>
        </w:tc>
        <w:tc>
          <w:tcPr>
            <w:tcW w:w="1572" w:type="dxa"/>
            <w:shd w:val="clear" w:color="auto" w:fill="auto"/>
            <w:noWrap/>
            <w:vAlign w:val="bottom"/>
            <w:hideMark/>
          </w:tcPr>
          <w:p w:rsidR="00EA2B76" w:rsidRDefault="00EA2B76" w:rsidP="00EA2B76">
            <w:pPr>
              <w:spacing w:after="0" w:line="240" w:lineRule="auto"/>
              <w:jc w:val="center"/>
              <w:rPr>
                <w:rFonts w:eastAsia="Times New Roman" w:cs="Calibri"/>
                <w:b/>
                <w:bCs/>
                <w:sz w:val="22"/>
                <w:lang w:eastAsia="en-GB"/>
              </w:rPr>
            </w:pPr>
            <w:r>
              <w:rPr>
                <w:rFonts w:eastAsia="Times New Roman" w:cs="Calibri"/>
                <w:b/>
                <w:bCs/>
                <w:sz w:val="22"/>
                <w:lang w:eastAsia="en-GB"/>
              </w:rPr>
              <w:t>1887</w:t>
            </w:r>
          </w:p>
        </w:tc>
      </w:tr>
    </w:tbl>
    <w:p w:rsidR="0007683A" w:rsidRDefault="0007683A">
      <w:pPr>
        <w:rPr>
          <w:b/>
          <w:u w:val="single"/>
        </w:rPr>
      </w:pPr>
    </w:p>
    <w:p w:rsidR="0007683A" w:rsidRDefault="0007683A">
      <w:pPr>
        <w:rPr>
          <w:b/>
          <w:u w:val="single"/>
        </w:rPr>
      </w:pPr>
    </w:p>
    <w:p w:rsidR="00BD5934" w:rsidRDefault="00BD5934">
      <w:pPr>
        <w:rPr>
          <w:u w:val="single"/>
        </w:rPr>
      </w:pPr>
    </w:p>
    <w:tbl>
      <w:tblPr>
        <w:tblpPr w:leftFromText="180" w:rightFromText="180" w:vertAnchor="page" w:horzAnchor="margin" w:tblpY="5656"/>
        <w:tblW w:w="9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1701"/>
        <w:gridCol w:w="1701"/>
        <w:gridCol w:w="1572"/>
      </w:tblGrid>
      <w:tr w:rsidR="0007683A" w:rsidTr="0007683A">
        <w:trPr>
          <w:trHeight w:val="283"/>
        </w:trPr>
        <w:tc>
          <w:tcPr>
            <w:tcW w:w="4673" w:type="dxa"/>
            <w:shd w:val="clear" w:color="auto" w:fill="D9D9D9" w:themeFill="background1" w:themeFillShade="D9"/>
            <w:noWrap/>
            <w:vAlign w:val="bottom"/>
            <w:hideMark/>
          </w:tcPr>
          <w:p w:rsidR="0007683A" w:rsidRDefault="0007683A" w:rsidP="0007683A">
            <w:pPr>
              <w:spacing w:after="0" w:line="240" w:lineRule="auto"/>
              <w:rPr>
                <w:rFonts w:eastAsia="Times New Roman" w:cs="Calibri"/>
                <w:b/>
                <w:sz w:val="22"/>
                <w:lang w:eastAsia="en-GB"/>
              </w:rPr>
            </w:pPr>
            <w:r>
              <w:rPr>
                <w:rFonts w:eastAsia="Times New Roman" w:cs="Calibri"/>
                <w:b/>
                <w:sz w:val="22"/>
                <w:lang w:eastAsia="en-GB"/>
              </w:rPr>
              <w:t>EHCP Domains</w:t>
            </w:r>
          </w:p>
        </w:tc>
        <w:tc>
          <w:tcPr>
            <w:tcW w:w="1701" w:type="dxa"/>
            <w:shd w:val="clear" w:color="auto" w:fill="D9D9D9" w:themeFill="background1" w:themeFillShade="D9"/>
            <w:noWrap/>
            <w:vAlign w:val="bottom"/>
            <w:hideMark/>
          </w:tcPr>
          <w:p w:rsidR="0007683A" w:rsidRDefault="0007683A" w:rsidP="0007683A">
            <w:pPr>
              <w:spacing w:after="0" w:line="240" w:lineRule="auto"/>
              <w:jc w:val="center"/>
              <w:rPr>
                <w:rFonts w:eastAsia="Times New Roman" w:cs="Calibri"/>
                <w:b/>
                <w:sz w:val="22"/>
                <w:lang w:eastAsia="en-GB"/>
              </w:rPr>
            </w:pPr>
            <w:r>
              <w:rPr>
                <w:rFonts w:eastAsia="Times New Roman" w:cs="Calibri"/>
                <w:b/>
                <w:sz w:val="22"/>
                <w:lang w:eastAsia="en-GB"/>
              </w:rPr>
              <w:t>Not on T</w:t>
            </w:r>
            <w:r>
              <w:rPr>
                <w:b/>
                <w:sz w:val="22"/>
              </w:rPr>
              <w:t>rack</w:t>
            </w:r>
          </w:p>
        </w:tc>
        <w:tc>
          <w:tcPr>
            <w:tcW w:w="1701" w:type="dxa"/>
            <w:shd w:val="clear" w:color="auto" w:fill="D9D9D9" w:themeFill="background1" w:themeFillShade="D9"/>
            <w:noWrap/>
            <w:vAlign w:val="bottom"/>
            <w:hideMark/>
          </w:tcPr>
          <w:p w:rsidR="0007683A" w:rsidRDefault="0007683A" w:rsidP="0007683A">
            <w:pPr>
              <w:spacing w:after="0" w:line="240" w:lineRule="auto"/>
              <w:jc w:val="center"/>
              <w:rPr>
                <w:rFonts w:eastAsia="Times New Roman" w:cs="Calibri"/>
                <w:b/>
                <w:sz w:val="22"/>
                <w:lang w:eastAsia="en-GB"/>
              </w:rPr>
            </w:pPr>
            <w:r>
              <w:rPr>
                <w:rFonts w:eastAsia="Times New Roman" w:cs="Calibri"/>
                <w:b/>
                <w:sz w:val="22"/>
                <w:lang w:eastAsia="en-GB"/>
              </w:rPr>
              <w:t>On T</w:t>
            </w:r>
            <w:r>
              <w:rPr>
                <w:b/>
                <w:sz w:val="22"/>
              </w:rPr>
              <w:t>rack</w:t>
            </w:r>
          </w:p>
        </w:tc>
        <w:tc>
          <w:tcPr>
            <w:tcW w:w="1572" w:type="dxa"/>
            <w:shd w:val="clear" w:color="auto" w:fill="D9D9D9" w:themeFill="background1" w:themeFillShade="D9"/>
            <w:noWrap/>
            <w:vAlign w:val="bottom"/>
            <w:hideMark/>
          </w:tcPr>
          <w:p w:rsidR="0007683A" w:rsidRDefault="0007683A" w:rsidP="0007683A">
            <w:pPr>
              <w:spacing w:after="0" w:line="240" w:lineRule="auto"/>
              <w:jc w:val="center"/>
              <w:rPr>
                <w:rFonts w:eastAsia="Times New Roman" w:cs="Calibri"/>
                <w:b/>
                <w:sz w:val="22"/>
                <w:lang w:eastAsia="en-GB"/>
              </w:rPr>
            </w:pPr>
            <w:r>
              <w:rPr>
                <w:rFonts w:eastAsia="Times New Roman" w:cs="Calibri"/>
                <w:b/>
                <w:sz w:val="22"/>
                <w:lang w:eastAsia="en-GB"/>
              </w:rPr>
              <w:t>Grand Total</w:t>
            </w:r>
          </w:p>
        </w:tc>
      </w:tr>
      <w:tr w:rsidR="0007683A" w:rsidTr="0007683A">
        <w:trPr>
          <w:trHeight w:val="283"/>
        </w:trPr>
        <w:tc>
          <w:tcPr>
            <w:tcW w:w="4673" w:type="dxa"/>
            <w:shd w:val="clear" w:color="auto" w:fill="auto"/>
            <w:noWrap/>
            <w:vAlign w:val="bottom"/>
            <w:hideMark/>
          </w:tcPr>
          <w:p w:rsidR="0007683A" w:rsidRDefault="0007683A" w:rsidP="0007683A">
            <w:pPr>
              <w:spacing w:after="0" w:line="240" w:lineRule="auto"/>
              <w:rPr>
                <w:rFonts w:eastAsia="Times New Roman" w:cs="Calibri"/>
                <w:sz w:val="22"/>
                <w:lang w:eastAsia="en-GB"/>
              </w:rPr>
            </w:pPr>
            <w:r>
              <w:rPr>
                <w:rFonts w:eastAsia="Times New Roman" w:cs="Calibri"/>
                <w:sz w:val="22"/>
                <w:lang w:eastAsia="en-GB"/>
              </w:rPr>
              <w:t>Cognition and Learning</w:t>
            </w:r>
          </w:p>
        </w:tc>
        <w:tc>
          <w:tcPr>
            <w:tcW w:w="1701" w:type="dxa"/>
            <w:shd w:val="clear" w:color="auto" w:fill="auto"/>
            <w:noWrap/>
            <w:vAlign w:val="bottom"/>
            <w:hideMark/>
          </w:tcPr>
          <w:p w:rsidR="0007683A" w:rsidRDefault="0007683A" w:rsidP="0007683A">
            <w:pPr>
              <w:spacing w:after="0" w:line="240" w:lineRule="auto"/>
              <w:jc w:val="center"/>
              <w:rPr>
                <w:rFonts w:eastAsia="Times New Roman" w:cs="Calibri"/>
                <w:sz w:val="22"/>
                <w:lang w:eastAsia="en-GB"/>
              </w:rPr>
            </w:pPr>
            <w:r>
              <w:rPr>
                <w:rFonts w:eastAsia="Times New Roman" w:cs="Calibri"/>
                <w:sz w:val="22"/>
                <w:lang w:eastAsia="en-GB"/>
              </w:rPr>
              <w:t>193</w:t>
            </w:r>
          </w:p>
        </w:tc>
        <w:tc>
          <w:tcPr>
            <w:tcW w:w="1701" w:type="dxa"/>
            <w:shd w:val="clear" w:color="auto" w:fill="auto"/>
            <w:noWrap/>
            <w:vAlign w:val="bottom"/>
            <w:hideMark/>
          </w:tcPr>
          <w:p w:rsidR="0007683A" w:rsidRDefault="0007683A" w:rsidP="0007683A">
            <w:pPr>
              <w:spacing w:after="0" w:line="240" w:lineRule="auto"/>
              <w:jc w:val="center"/>
              <w:rPr>
                <w:rFonts w:eastAsia="Times New Roman" w:cs="Calibri"/>
                <w:sz w:val="22"/>
                <w:lang w:eastAsia="en-GB"/>
              </w:rPr>
            </w:pPr>
            <w:r>
              <w:rPr>
                <w:rFonts w:eastAsia="Times New Roman" w:cs="Calibri"/>
                <w:sz w:val="22"/>
                <w:lang w:eastAsia="en-GB"/>
              </w:rPr>
              <w:t>412</w:t>
            </w:r>
          </w:p>
        </w:tc>
        <w:tc>
          <w:tcPr>
            <w:tcW w:w="1572" w:type="dxa"/>
            <w:shd w:val="clear" w:color="auto" w:fill="auto"/>
            <w:noWrap/>
            <w:vAlign w:val="bottom"/>
            <w:hideMark/>
          </w:tcPr>
          <w:p w:rsidR="0007683A" w:rsidRDefault="0007683A" w:rsidP="0007683A">
            <w:pPr>
              <w:spacing w:after="0" w:line="240" w:lineRule="auto"/>
              <w:jc w:val="center"/>
              <w:rPr>
                <w:rFonts w:eastAsia="Times New Roman" w:cs="Calibri"/>
                <w:sz w:val="22"/>
                <w:lang w:eastAsia="en-GB"/>
              </w:rPr>
            </w:pPr>
            <w:r>
              <w:rPr>
                <w:rFonts w:eastAsia="Times New Roman" w:cs="Calibri"/>
                <w:sz w:val="22"/>
                <w:lang w:eastAsia="en-GB"/>
              </w:rPr>
              <w:t>31.8%</w:t>
            </w:r>
          </w:p>
        </w:tc>
      </w:tr>
      <w:tr w:rsidR="0007683A" w:rsidTr="0007683A">
        <w:trPr>
          <w:trHeight w:val="283"/>
        </w:trPr>
        <w:tc>
          <w:tcPr>
            <w:tcW w:w="4673" w:type="dxa"/>
            <w:shd w:val="clear" w:color="auto" w:fill="auto"/>
            <w:noWrap/>
            <w:vAlign w:val="bottom"/>
            <w:hideMark/>
          </w:tcPr>
          <w:p w:rsidR="0007683A" w:rsidRDefault="0007683A" w:rsidP="0007683A">
            <w:pPr>
              <w:spacing w:after="0" w:line="240" w:lineRule="auto"/>
              <w:rPr>
                <w:rFonts w:eastAsia="Times New Roman" w:cs="Calibri"/>
                <w:sz w:val="22"/>
                <w:lang w:eastAsia="en-GB"/>
              </w:rPr>
            </w:pPr>
            <w:r>
              <w:rPr>
                <w:rFonts w:eastAsia="Times New Roman" w:cs="Calibri"/>
                <w:sz w:val="22"/>
                <w:lang w:eastAsia="en-GB"/>
              </w:rPr>
              <w:t>Independence</w:t>
            </w:r>
          </w:p>
        </w:tc>
        <w:tc>
          <w:tcPr>
            <w:tcW w:w="1701" w:type="dxa"/>
            <w:shd w:val="clear" w:color="auto" w:fill="auto"/>
            <w:noWrap/>
            <w:vAlign w:val="bottom"/>
            <w:hideMark/>
          </w:tcPr>
          <w:p w:rsidR="0007683A" w:rsidRDefault="0007683A" w:rsidP="0007683A">
            <w:pPr>
              <w:spacing w:after="0" w:line="240" w:lineRule="auto"/>
              <w:jc w:val="center"/>
              <w:rPr>
                <w:rFonts w:eastAsia="Times New Roman" w:cs="Calibri"/>
                <w:sz w:val="22"/>
                <w:lang w:eastAsia="en-GB"/>
              </w:rPr>
            </w:pPr>
            <w:r>
              <w:rPr>
                <w:rFonts w:eastAsia="Times New Roman" w:cs="Calibri"/>
                <w:sz w:val="22"/>
                <w:lang w:eastAsia="en-GB"/>
              </w:rPr>
              <w:t>130</w:t>
            </w:r>
          </w:p>
        </w:tc>
        <w:tc>
          <w:tcPr>
            <w:tcW w:w="1701" w:type="dxa"/>
            <w:shd w:val="clear" w:color="auto" w:fill="auto"/>
            <w:noWrap/>
            <w:vAlign w:val="bottom"/>
            <w:hideMark/>
          </w:tcPr>
          <w:p w:rsidR="0007683A" w:rsidRDefault="0007683A" w:rsidP="0007683A">
            <w:pPr>
              <w:spacing w:after="0" w:line="240" w:lineRule="auto"/>
              <w:jc w:val="center"/>
              <w:rPr>
                <w:rFonts w:eastAsia="Times New Roman" w:cs="Calibri"/>
                <w:sz w:val="22"/>
                <w:lang w:eastAsia="en-GB"/>
              </w:rPr>
            </w:pPr>
            <w:r>
              <w:rPr>
                <w:rFonts w:eastAsia="Times New Roman" w:cs="Calibri"/>
                <w:sz w:val="22"/>
                <w:lang w:eastAsia="en-GB"/>
              </w:rPr>
              <w:t>248</w:t>
            </w:r>
          </w:p>
        </w:tc>
        <w:tc>
          <w:tcPr>
            <w:tcW w:w="1572" w:type="dxa"/>
            <w:shd w:val="clear" w:color="auto" w:fill="auto"/>
            <w:noWrap/>
            <w:vAlign w:val="bottom"/>
            <w:hideMark/>
          </w:tcPr>
          <w:p w:rsidR="0007683A" w:rsidRDefault="0007683A" w:rsidP="0007683A">
            <w:pPr>
              <w:spacing w:after="0" w:line="240" w:lineRule="auto"/>
              <w:jc w:val="center"/>
              <w:rPr>
                <w:rFonts w:eastAsia="Times New Roman" w:cs="Calibri"/>
                <w:sz w:val="22"/>
                <w:lang w:eastAsia="en-GB"/>
              </w:rPr>
            </w:pPr>
            <w:r>
              <w:rPr>
                <w:rFonts w:eastAsia="Times New Roman" w:cs="Calibri"/>
                <w:sz w:val="22"/>
                <w:lang w:eastAsia="en-GB"/>
              </w:rPr>
              <w:t>19.9%</w:t>
            </w:r>
          </w:p>
        </w:tc>
      </w:tr>
      <w:tr w:rsidR="0007683A" w:rsidTr="0007683A">
        <w:trPr>
          <w:trHeight w:val="283"/>
        </w:trPr>
        <w:tc>
          <w:tcPr>
            <w:tcW w:w="4673" w:type="dxa"/>
            <w:shd w:val="clear" w:color="auto" w:fill="auto"/>
            <w:noWrap/>
            <w:vAlign w:val="bottom"/>
            <w:hideMark/>
          </w:tcPr>
          <w:p w:rsidR="0007683A" w:rsidRDefault="0007683A" w:rsidP="0007683A">
            <w:pPr>
              <w:spacing w:after="0" w:line="240" w:lineRule="auto"/>
              <w:rPr>
                <w:rFonts w:eastAsia="Times New Roman" w:cs="Calibri"/>
                <w:sz w:val="22"/>
                <w:lang w:eastAsia="en-GB"/>
              </w:rPr>
            </w:pPr>
            <w:r>
              <w:rPr>
                <w:rFonts w:eastAsia="Times New Roman" w:cs="Calibri"/>
                <w:sz w:val="22"/>
                <w:lang w:eastAsia="en-GB"/>
              </w:rPr>
              <w:t>Physical and Sensory</w:t>
            </w:r>
          </w:p>
        </w:tc>
        <w:tc>
          <w:tcPr>
            <w:tcW w:w="1701" w:type="dxa"/>
            <w:shd w:val="clear" w:color="auto" w:fill="auto"/>
            <w:noWrap/>
            <w:vAlign w:val="bottom"/>
            <w:hideMark/>
          </w:tcPr>
          <w:p w:rsidR="0007683A" w:rsidRDefault="0007683A" w:rsidP="0007683A">
            <w:pPr>
              <w:spacing w:after="0" w:line="240" w:lineRule="auto"/>
              <w:jc w:val="center"/>
              <w:rPr>
                <w:rFonts w:eastAsia="Times New Roman" w:cs="Calibri"/>
                <w:sz w:val="22"/>
                <w:lang w:eastAsia="en-GB"/>
              </w:rPr>
            </w:pPr>
            <w:r>
              <w:rPr>
                <w:rFonts w:eastAsia="Times New Roman" w:cs="Calibri"/>
                <w:sz w:val="22"/>
                <w:lang w:eastAsia="en-GB"/>
              </w:rPr>
              <w:t>59</w:t>
            </w:r>
          </w:p>
        </w:tc>
        <w:tc>
          <w:tcPr>
            <w:tcW w:w="1701" w:type="dxa"/>
            <w:shd w:val="clear" w:color="auto" w:fill="auto"/>
            <w:noWrap/>
            <w:vAlign w:val="bottom"/>
            <w:hideMark/>
          </w:tcPr>
          <w:p w:rsidR="0007683A" w:rsidRDefault="0007683A" w:rsidP="0007683A">
            <w:pPr>
              <w:spacing w:after="0" w:line="240" w:lineRule="auto"/>
              <w:jc w:val="center"/>
              <w:rPr>
                <w:rFonts w:eastAsia="Times New Roman" w:cs="Calibri"/>
                <w:sz w:val="22"/>
                <w:lang w:eastAsia="en-GB"/>
              </w:rPr>
            </w:pPr>
            <w:r>
              <w:rPr>
                <w:rFonts w:eastAsia="Times New Roman" w:cs="Calibri"/>
                <w:sz w:val="22"/>
                <w:lang w:eastAsia="en-GB"/>
              </w:rPr>
              <w:t>100</w:t>
            </w:r>
          </w:p>
        </w:tc>
        <w:tc>
          <w:tcPr>
            <w:tcW w:w="1572" w:type="dxa"/>
            <w:shd w:val="clear" w:color="auto" w:fill="auto"/>
            <w:noWrap/>
            <w:vAlign w:val="bottom"/>
            <w:hideMark/>
          </w:tcPr>
          <w:p w:rsidR="0007683A" w:rsidRDefault="0007683A" w:rsidP="0007683A">
            <w:pPr>
              <w:spacing w:after="0" w:line="240" w:lineRule="auto"/>
              <w:jc w:val="center"/>
              <w:rPr>
                <w:rFonts w:eastAsia="Times New Roman" w:cs="Calibri"/>
                <w:sz w:val="22"/>
                <w:lang w:eastAsia="en-GB"/>
              </w:rPr>
            </w:pPr>
            <w:r>
              <w:rPr>
                <w:rFonts w:eastAsia="Times New Roman" w:cs="Calibri"/>
                <w:sz w:val="22"/>
                <w:lang w:eastAsia="en-GB"/>
              </w:rPr>
              <w:t>8.4%</w:t>
            </w:r>
          </w:p>
        </w:tc>
      </w:tr>
      <w:tr w:rsidR="0007683A" w:rsidTr="0007683A">
        <w:trPr>
          <w:trHeight w:val="283"/>
        </w:trPr>
        <w:tc>
          <w:tcPr>
            <w:tcW w:w="4673" w:type="dxa"/>
            <w:shd w:val="clear" w:color="auto" w:fill="auto"/>
            <w:noWrap/>
            <w:vAlign w:val="bottom"/>
            <w:hideMark/>
          </w:tcPr>
          <w:p w:rsidR="0007683A" w:rsidRDefault="0007683A" w:rsidP="0007683A">
            <w:pPr>
              <w:spacing w:after="0" w:line="240" w:lineRule="auto"/>
              <w:rPr>
                <w:rFonts w:eastAsia="Times New Roman" w:cs="Calibri"/>
                <w:sz w:val="22"/>
                <w:lang w:eastAsia="en-GB"/>
              </w:rPr>
            </w:pPr>
            <w:r>
              <w:rPr>
                <w:rFonts w:eastAsia="Times New Roman" w:cs="Calibri"/>
                <w:sz w:val="22"/>
                <w:lang w:eastAsia="en-GB"/>
              </w:rPr>
              <w:t>Social, Emotional Wellbeing</w:t>
            </w:r>
          </w:p>
        </w:tc>
        <w:tc>
          <w:tcPr>
            <w:tcW w:w="1701" w:type="dxa"/>
            <w:shd w:val="clear" w:color="auto" w:fill="auto"/>
            <w:noWrap/>
            <w:vAlign w:val="bottom"/>
            <w:hideMark/>
          </w:tcPr>
          <w:p w:rsidR="0007683A" w:rsidRDefault="0007683A" w:rsidP="0007683A">
            <w:pPr>
              <w:spacing w:after="0" w:line="240" w:lineRule="auto"/>
              <w:jc w:val="center"/>
              <w:rPr>
                <w:rFonts w:eastAsia="Times New Roman" w:cs="Calibri"/>
                <w:sz w:val="22"/>
                <w:lang w:eastAsia="en-GB"/>
              </w:rPr>
            </w:pPr>
            <w:r>
              <w:rPr>
                <w:rFonts w:eastAsia="Times New Roman" w:cs="Calibri"/>
                <w:sz w:val="22"/>
                <w:lang w:eastAsia="en-GB"/>
              </w:rPr>
              <w:t>102</w:t>
            </w:r>
          </w:p>
        </w:tc>
        <w:tc>
          <w:tcPr>
            <w:tcW w:w="1701" w:type="dxa"/>
            <w:shd w:val="clear" w:color="auto" w:fill="auto"/>
            <w:noWrap/>
            <w:vAlign w:val="bottom"/>
            <w:hideMark/>
          </w:tcPr>
          <w:p w:rsidR="0007683A" w:rsidRDefault="0007683A" w:rsidP="0007683A">
            <w:pPr>
              <w:spacing w:after="0" w:line="240" w:lineRule="auto"/>
              <w:jc w:val="center"/>
              <w:rPr>
                <w:rFonts w:eastAsia="Times New Roman" w:cs="Calibri"/>
                <w:sz w:val="22"/>
                <w:lang w:eastAsia="en-GB"/>
              </w:rPr>
            </w:pPr>
            <w:r>
              <w:rPr>
                <w:rFonts w:eastAsia="Times New Roman" w:cs="Calibri"/>
                <w:sz w:val="22"/>
                <w:lang w:eastAsia="en-GB"/>
              </w:rPr>
              <w:t>237</w:t>
            </w:r>
          </w:p>
        </w:tc>
        <w:tc>
          <w:tcPr>
            <w:tcW w:w="1572" w:type="dxa"/>
            <w:shd w:val="clear" w:color="auto" w:fill="auto"/>
            <w:noWrap/>
            <w:vAlign w:val="bottom"/>
            <w:hideMark/>
          </w:tcPr>
          <w:p w:rsidR="0007683A" w:rsidRDefault="0007683A" w:rsidP="0007683A">
            <w:pPr>
              <w:spacing w:after="0" w:line="240" w:lineRule="auto"/>
              <w:jc w:val="center"/>
              <w:rPr>
                <w:rFonts w:eastAsia="Times New Roman" w:cs="Calibri"/>
                <w:sz w:val="22"/>
                <w:lang w:eastAsia="en-GB"/>
              </w:rPr>
            </w:pPr>
            <w:r>
              <w:rPr>
                <w:rFonts w:eastAsia="Times New Roman" w:cs="Calibri"/>
                <w:sz w:val="22"/>
                <w:lang w:eastAsia="en-GB"/>
              </w:rPr>
              <w:t>17.8%</w:t>
            </w:r>
          </w:p>
        </w:tc>
      </w:tr>
      <w:tr w:rsidR="0007683A" w:rsidTr="0007683A">
        <w:trPr>
          <w:trHeight w:val="283"/>
        </w:trPr>
        <w:tc>
          <w:tcPr>
            <w:tcW w:w="4673" w:type="dxa"/>
            <w:shd w:val="clear" w:color="auto" w:fill="auto"/>
            <w:noWrap/>
            <w:vAlign w:val="bottom"/>
            <w:hideMark/>
          </w:tcPr>
          <w:p w:rsidR="0007683A" w:rsidRDefault="0007683A" w:rsidP="0007683A">
            <w:pPr>
              <w:spacing w:after="0" w:line="240" w:lineRule="auto"/>
              <w:rPr>
                <w:rFonts w:eastAsia="Times New Roman" w:cs="Calibri"/>
                <w:sz w:val="22"/>
                <w:lang w:eastAsia="en-GB"/>
              </w:rPr>
            </w:pPr>
            <w:r>
              <w:rPr>
                <w:rFonts w:eastAsia="Times New Roman" w:cs="Calibri"/>
                <w:sz w:val="22"/>
                <w:lang w:eastAsia="en-GB"/>
              </w:rPr>
              <w:t>Speech, Language and Communication</w:t>
            </w:r>
          </w:p>
        </w:tc>
        <w:tc>
          <w:tcPr>
            <w:tcW w:w="1701" w:type="dxa"/>
            <w:shd w:val="clear" w:color="auto" w:fill="auto"/>
            <w:noWrap/>
            <w:vAlign w:val="bottom"/>
            <w:hideMark/>
          </w:tcPr>
          <w:p w:rsidR="0007683A" w:rsidRDefault="0007683A" w:rsidP="0007683A">
            <w:pPr>
              <w:spacing w:after="0" w:line="240" w:lineRule="auto"/>
              <w:jc w:val="center"/>
              <w:rPr>
                <w:rFonts w:eastAsia="Times New Roman" w:cs="Calibri"/>
                <w:sz w:val="22"/>
                <w:lang w:eastAsia="en-GB"/>
              </w:rPr>
            </w:pPr>
            <w:r>
              <w:rPr>
                <w:rFonts w:eastAsia="Times New Roman" w:cs="Calibri"/>
                <w:sz w:val="22"/>
                <w:lang w:eastAsia="en-GB"/>
              </w:rPr>
              <w:t>125</w:t>
            </w:r>
          </w:p>
        </w:tc>
        <w:tc>
          <w:tcPr>
            <w:tcW w:w="1701" w:type="dxa"/>
            <w:shd w:val="clear" w:color="auto" w:fill="auto"/>
            <w:noWrap/>
            <w:vAlign w:val="bottom"/>
            <w:hideMark/>
          </w:tcPr>
          <w:p w:rsidR="0007683A" w:rsidRDefault="0007683A" w:rsidP="0007683A">
            <w:pPr>
              <w:spacing w:after="0" w:line="240" w:lineRule="auto"/>
              <w:jc w:val="center"/>
              <w:rPr>
                <w:rFonts w:eastAsia="Times New Roman" w:cs="Calibri"/>
                <w:sz w:val="22"/>
                <w:lang w:eastAsia="en-GB"/>
              </w:rPr>
            </w:pPr>
            <w:r>
              <w:rPr>
                <w:rFonts w:eastAsia="Times New Roman" w:cs="Calibri"/>
                <w:sz w:val="22"/>
                <w:lang w:eastAsia="en-GB"/>
              </w:rPr>
              <w:t>296</w:t>
            </w:r>
          </w:p>
        </w:tc>
        <w:tc>
          <w:tcPr>
            <w:tcW w:w="1572" w:type="dxa"/>
            <w:shd w:val="clear" w:color="auto" w:fill="auto"/>
            <w:noWrap/>
            <w:vAlign w:val="bottom"/>
            <w:hideMark/>
          </w:tcPr>
          <w:p w:rsidR="0007683A" w:rsidRDefault="0007683A" w:rsidP="0007683A">
            <w:pPr>
              <w:spacing w:after="0" w:line="240" w:lineRule="auto"/>
              <w:jc w:val="center"/>
              <w:rPr>
                <w:rFonts w:eastAsia="Times New Roman" w:cs="Calibri"/>
                <w:sz w:val="22"/>
                <w:lang w:eastAsia="en-GB"/>
              </w:rPr>
            </w:pPr>
            <w:r>
              <w:rPr>
                <w:rFonts w:eastAsia="Times New Roman" w:cs="Calibri"/>
                <w:sz w:val="22"/>
                <w:lang w:eastAsia="en-GB"/>
              </w:rPr>
              <w:t>22.1%</w:t>
            </w:r>
          </w:p>
        </w:tc>
      </w:tr>
      <w:tr w:rsidR="0007683A" w:rsidTr="0007683A">
        <w:trPr>
          <w:trHeight w:val="283"/>
        </w:trPr>
        <w:tc>
          <w:tcPr>
            <w:tcW w:w="4673" w:type="dxa"/>
            <w:shd w:val="clear" w:color="auto" w:fill="auto"/>
            <w:noWrap/>
            <w:vAlign w:val="bottom"/>
            <w:hideMark/>
          </w:tcPr>
          <w:p w:rsidR="0007683A" w:rsidRDefault="0007683A" w:rsidP="0007683A">
            <w:pPr>
              <w:spacing w:after="0" w:line="240" w:lineRule="auto"/>
              <w:rPr>
                <w:rFonts w:eastAsia="Times New Roman" w:cs="Calibri"/>
                <w:b/>
                <w:bCs/>
                <w:sz w:val="22"/>
                <w:lang w:eastAsia="en-GB"/>
              </w:rPr>
            </w:pPr>
            <w:r>
              <w:rPr>
                <w:rFonts w:eastAsia="Times New Roman" w:cs="Calibri"/>
                <w:b/>
                <w:bCs/>
                <w:sz w:val="22"/>
                <w:lang w:eastAsia="en-GB"/>
              </w:rPr>
              <w:t>Grand Total</w:t>
            </w:r>
          </w:p>
        </w:tc>
        <w:tc>
          <w:tcPr>
            <w:tcW w:w="1701" w:type="dxa"/>
            <w:shd w:val="clear" w:color="auto" w:fill="auto"/>
            <w:noWrap/>
            <w:vAlign w:val="bottom"/>
            <w:hideMark/>
          </w:tcPr>
          <w:p w:rsidR="0007683A" w:rsidRDefault="0007683A" w:rsidP="0007683A">
            <w:pPr>
              <w:spacing w:after="0" w:line="240" w:lineRule="auto"/>
              <w:jc w:val="center"/>
              <w:rPr>
                <w:rFonts w:eastAsia="Times New Roman" w:cs="Calibri"/>
                <w:b/>
                <w:bCs/>
                <w:sz w:val="22"/>
                <w:lang w:eastAsia="en-GB"/>
              </w:rPr>
            </w:pPr>
            <w:r>
              <w:rPr>
                <w:rFonts w:eastAsia="Times New Roman" w:cs="Calibri"/>
                <w:b/>
                <w:bCs/>
                <w:sz w:val="22"/>
                <w:lang w:eastAsia="en-GB"/>
              </w:rPr>
              <w:t>609</w:t>
            </w:r>
          </w:p>
        </w:tc>
        <w:tc>
          <w:tcPr>
            <w:tcW w:w="1701" w:type="dxa"/>
            <w:shd w:val="clear" w:color="auto" w:fill="auto"/>
            <w:noWrap/>
            <w:vAlign w:val="bottom"/>
            <w:hideMark/>
          </w:tcPr>
          <w:p w:rsidR="0007683A" w:rsidRDefault="0007683A" w:rsidP="0007683A">
            <w:pPr>
              <w:spacing w:after="0" w:line="240" w:lineRule="auto"/>
              <w:jc w:val="center"/>
              <w:rPr>
                <w:rFonts w:eastAsia="Times New Roman" w:cs="Calibri"/>
                <w:b/>
                <w:bCs/>
                <w:sz w:val="22"/>
                <w:lang w:eastAsia="en-GB"/>
              </w:rPr>
            </w:pPr>
            <w:r>
              <w:rPr>
                <w:rFonts w:eastAsia="Times New Roman" w:cs="Calibri"/>
                <w:b/>
                <w:bCs/>
                <w:sz w:val="22"/>
                <w:lang w:eastAsia="en-GB"/>
              </w:rPr>
              <w:t>1293</w:t>
            </w:r>
          </w:p>
        </w:tc>
        <w:tc>
          <w:tcPr>
            <w:tcW w:w="1572" w:type="dxa"/>
            <w:shd w:val="clear" w:color="auto" w:fill="auto"/>
            <w:noWrap/>
            <w:vAlign w:val="bottom"/>
            <w:hideMark/>
          </w:tcPr>
          <w:p w:rsidR="0007683A" w:rsidRDefault="0007683A" w:rsidP="0007683A">
            <w:pPr>
              <w:spacing w:after="0" w:line="240" w:lineRule="auto"/>
              <w:jc w:val="center"/>
              <w:rPr>
                <w:rFonts w:eastAsia="Times New Roman" w:cs="Calibri"/>
                <w:b/>
                <w:bCs/>
                <w:sz w:val="22"/>
                <w:lang w:eastAsia="en-GB"/>
              </w:rPr>
            </w:pPr>
            <w:r>
              <w:rPr>
                <w:rFonts w:eastAsia="Times New Roman" w:cs="Calibri"/>
                <w:b/>
                <w:bCs/>
                <w:sz w:val="22"/>
                <w:lang w:eastAsia="en-GB"/>
              </w:rPr>
              <w:t>1902</w:t>
            </w:r>
          </w:p>
        </w:tc>
      </w:tr>
    </w:tbl>
    <w:tbl>
      <w:tblPr>
        <w:tblpPr w:leftFromText="180" w:rightFromText="180" w:vertAnchor="page" w:horzAnchor="margin" w:tblpY="8776"/>
        <w:tblW w:w="9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1701"/>
        <w:gridCol w:w="1701"/>
        <w:gridCol w:w="1572"/>
      </w:tblGrid>
      <w:tr w:rsidR="0007683A" w:rsidTr="0007683A">
        <w:trPr>
          <w:trHeight w:val="283"/>
        </w:trPr>
        <w:tc>
          <w:tcPr>
            <w:tcW w:w="4673" w:type="dxa"/>
            <w:shd w:val="clear" w:color="auto" w:fill="D9D9D9" w:themeFill="background1" w:themeFillShade="D9"/>
            <w:noWrap/>
            <w:vAlign w:val="bottom"/>
            <w:hideMark/>
          </w:tcPr>
          <w:p w:rsidR="0007683A" w:rsidRDefault="0007683A" w:rsidP="0007683A">
            <w:pPr>
              <w:spacing w:after="0" w:line="240" w:lineRule="auto"/>
              <w:rPr>
                <w:rFonts w:eastAsia="Times New Roman" w:cs="Calibri"/>
                <w:b/>
                <w:sz w:val="22"/>
                <w:lang w:eastAsia="en-GB"/>
              </w:rPr>
            </w:pPr>
            <w:r>
              <w:rPr>
                <w:rFonts w:eastAsia="Times New Roman" w:cs="Calibri"/>
                <w:b/>
                <w:sz w:val="22"/>
                <w:lang w:eastAsia="en-GB"/>
              </w:rPr>
              <w:t>EHCP Domains</w:t>
            </w:r>
          </w:p>
        </w:tc>
        <w:tc>
          <w:tcPr>
            <w:tcW w:w="1701" w:type="dxa"/>
            <w:shd w:val="clear" w:color="auto" w:fill="D9D9D9" w:themeFill="background1" w:themeFillShade="D9"/>
            <w:noWrap/>
            <w:vAlign w:val="bottom"/>
            <w:hideMark/>
          </w:tcPr>
          <w:p w:rsidR="0007683A" w:rsidRDefault="0007683A" w:rsidP="0007683A">
            <w:pPr>
              <w:spacing w:after="0" w:line="240" w:lineRule="auto"/>
              <w:jc w:val="center"/>
              <w:rPr>
                <w:rFonts w:eastAsia="Times New Roman" w:cs="Calibri"/>
                <w:b/>
                <w:sz w:val="22"/>
                <w:lang w:eastAsia="en-GB"/>
              </w:rPr>
            </w:pPr>
            <w:r>
              <w:rPr>
                <w:rFonts w:eastAsia="Times New Roman" w:cs="Calibri"/>
                <w:b/>
                <w:sz w:val="22"/>
                <w:lang w:eastAsia="en-GB"/>
              </w:rPr>
              <w:t>Not on T</w:t>
            </w:r>
            <w:r>
              <w:rPr>
                <w:b/>
                <w:sz w:val="22"/>
              </w:rPr>
              <w:t>rack</w:t>
            </w:r>
          </w:p>
        </w:tc>
        <w:tc>
          <w:tcPr>
            <w:tcW w:w="1701" w:type="dxa"/>
            <w:shd w:val="clear" w:color="auto" w:fill="D9D9D9" w:themeFill="background1" w:themeFillShade="D9"/>
            <w:noWrap/>
            <w:vAlign w:val="bottom"/>
            <w:hideMark/>
          </w:tcPr>
          <w:p w:rsidR="0007683A" w:rsidRDefault="0007683A" w:rsidP="0007683A">
            <w:pPr>
              <w:spacing w:after="0" w:line="240" w:lineRule="auto"/>
              <w:jc w:val="center"/>
              <w:rPr>
                <w:rFonts w:eastAsia="Times New Roman" w:cs="Calibri"/>
                <w:b/>
                <w:sz w:val="22"/>
                <w:lang w:eastAsia="en-GB"/>
              </w:rPr>
            </w:pPr>
            <w:r>
              <w:rPr>
                <w:rFonts w:eastAsia="Times New Roman" w:cs="Calibri"/>
                <w:b/>
                <w:sz w:val="22"/>
                <w:lang w:eastAsia="en-GB"/>
              </w:rPr>
              <w:t>On T</w:t>
            </w:r>
            <w:r>
              <w:rPr>
                <w:b/>
                <w:sz w:val="22"/>
              </w:rPr>
              <w:t>rack</w:t>
            </w:r>
          </w:p>
        </w:tc>
        <w:tc>
          <w:tcPr>
            <w:tcW w:w="1572" w:type="dxa"/>
            <w:shd w:val="clear" w:color="auto" w:fill="D9D9D9" w:themeFill="background1" w:themeFillShade="D9"/>
            <w:noWrap/>
            <w:vAlign w:val="bottom"/>
            <w:hideMark/>
          </w:tcPr>
          <w:p w:rsidR="0007683A" w:rsidRDefault="0007683A" w:rsidP="0007683A">
            <w:pPr>
              <w:spacing w:after="0" w:line="240" w:lineRule="auto"/>
              <w:jc w:val="center"/>
              <w:rPr>
                <w:rFonts w:eastAsia="Times New Roman" w:cs="Calibri"/>
                <w:b/>
                <w:sz w:val="22"/>
                <w:lang w:eastAsia="en-GB"/>
              </w:rPr>
            </w:pPr>
            <w:r>
              <w:rPr>
                <w:rFonts w:eastAsia="Times New Roman" w:cs="Calibri"/>
                <w:b/>
                <w:sz w:val="22"/>
                <w:lang w:eastAsia="en-GB"/>
              </w:rPr>
              <w:t>Grand Total</w:t>
            </w:r>
          </w:p>
        </w:tc>
      </w:tr>
      <w:tr w:rsidR="0007683A" w:rsidTr="0007683A">
        <w:trPr>
          <w:trHeight w:val="283"/>
        </w:trPr>
        <w:tc>
          <w:tcPr>
            <w:tcW w:w="4673" w:type="dxa"/>
            <w:shd w:val="clear" w:color="auto" w:fill="auto"/>
            <w:noWrap/>
            <w:vAlign w:val="bottom"/>
            <w:hideMark/>
          </w:tcPr>
          <w:p w:rsidR="0007683A" w:rsidRDefault="0007683A" w:rsidP="0007683A">
            <w:pPr>
              <w:spacing w:after="0" w:line="240" w:lineRule="auto"/>
              <w:rPr>
                <w:rFonts w:eastAsia="Times New Roman" w:cs="Calibri"/>
                <w:sz w:val="22"/>
                <w:lang w:eastAsia="en-GB"/>
              </w:rPr>
            </w:pPr>
            <w:r>
              <w:rPr>
                <w:rFonts w:eastAsia="Times New Roman" w:cs="Calibri"/>
                <w:sz w:val="22"/>
                <w:lang w:eastAsia="en-GB"/>
              </w:rPr>
              <w:t>Cognition and Learning</w:t>
            </w:r>
          </w:p>
        </w:tc>
        <w:tc>
          <w:tcPr>
            <w:tcW w:w="1701" w:type="dxa"/>
            <w:shd w:val="clear" w:color="auto" w:fill="auto"/>
            <w:noWrap/>
            <w:vAlign w:val="bottom"/>
            <w:hideMark/>
          </w:tcPr>
          <w:p w:rsidR="0007683A" w:rsidRDefault="00EA2B76" w:rsidP="0007683A">
            <w:pPr>
              <w:spacing w:after="0" w:line="240" w:lineRule="auto"/>
              <w:jc w:val="center"/>
              <w:rPr>
                <w:rFonts w:eastAsia="Times New Roman" w:cs="Calibri"/>
                <w:sz w:val="22"/>
                <w:lang w:eastAsia="en-GB"/>
              </w:rPr>
            </w:pPr>
            <w:r>
              <w:rPr>
                <w:rFonts w:eastAsia="Times New Roman" w:cs="Calibri"/>
                <w:sz w:val="22"/>
                <w:lang w:eastAsia="en-GB"/>
              </w:rPr>
              <w:t>67</w:t>
            </w:r>
          </w:p>
        </w:tc>
        <w:tc>
          <w:tcPr>
            <w:tcW w:w="1701" w:type="dxa"/>
            <w:shd w:val="clear" w:color="auto" w:fill="auto"/>
            <w:noWrap/>
            <w:vAlign w:val="bottom"/>
            <w:hideMark/>
          </w:tcPr>
          <w:p w:rsidR="0007683A" w:rsidRDefault="00EA2B76" w:rsidP="0007683A">
            <w:pPr>
              <w:spacing w:after="0" w:line="240" w:lineRule="auto"/>
              <w:jc w:val="center"/>
              <w:rPr>
                <w:rFonts w:eastAsia="Times New Roman" w:cs="Calibri"/>
                <w:sz w:val="22"/>
                <w:lang w:eastAsia="en-GB"/>
              </w:rPr>
            </w:pPr>
            <w:r>
              <w:rPr>
                <w:rFonts w:eastAsia="Times New Roman" w:cs="Calibri"/>
                <w:sz w:val="22"/>
                <w:lang w:eastAsia="en-GB"/>
              </w:rPr>
              <w:t>516</w:t>
            </w:r>
          </w:p>
        </w:tc>
        <w:tc>
          <w:tcPr>
            <w:tcW w:w="1572" w:type="dxa"/>
            <w:shd w:val="clear" w:color="auto" w:fill="auto"/>
            <w:noWrap/>
            <w:vAlign w:val="bottom"/>
            <w:hideMark/>
          </w:tcPr>
          <w:p w:rsidR="0007683A" w:rsidRDefault="00EA2B76" w:rsidP="0007683A">
            <w:pPr>
              <w:spacing w:after="0" w:line="240" w:lineRule="auto"/>
              <w:jc w:val="center"/>
              <w:rPr>
                <w:rFonts w:eastAsia="Times New Roman" w:cs="Calibri"/>
                <w:sz w:val="22"/>
                <w:lang w:eastAsia="en-GB"/>
              </w:rPr>
            </w:pPr>
            <w:r>
              <w:rPr>
                <w:rFonts w:eastAsia="Times New Roman" w:cs="Calibri"/>
                <w:sz w:val="22"/>
                <w:lang w:eastAsia="en-GB"/>
              </w:rPr>
              <w:t>583</w:t>
            </w:r>
          </w:p>
        </w:tc>
      </w:tr>
      <w:tr w:rsidR="0007683A" w:rsidTr="0007683A">
        <w:trPr>
          <w:trHeight w:val="283"/>
        </w:trPr>
        <w:tc>
          <w:tcPr>
            <w:tcW w:w="4673" w:type="dxa"/>
            <w:shd w:val="clear" w:color="auto" w:fill="auto"/>
            <w:noWrap/>
            <w:vAlign w:val="bottom"/>
            <w:hideMark/>
          </w:tcPr>
          <w:p w:rsidR="0007683A" w:rsidRDefault="0007683A" w:rsidP="0007683A">
            <w:pPr>
              <w:spacing w:after="0" w:line="240" w:lineRule="auto"/>
              <w:rPr>
                <w:rFonts w:eastAsia="Times New Roman" w:cs="Calibri"/>
                <w:sz w:val="22"/>
                <w:lang w:eastAsia="en-GB"/>
              </w:rPr>
            </w:pPr>
            <w:r>
              <w:rPr>
                <w:rFonts w:eastAsia="Times New Roman" w:cs="Calibri"/>
                <w:sz w:val="22"/>
                <w:lang w:eastAsia="en-GB"/>
              </w:rPr>
              <w:t>Independence</w:t>
            </w:r>
          </w:p>
        </w:tc>
        <w:tc>
          <w:tcPr>
            <w:tcW w:w="1701" w:type="dxa"/>
            <w:shd w:val="clear" w:color="auto" w:fill="auto"/>
            <w:noWrap/>
            <w:vAlign w:val="bottom"/>
            <w:hideMark/>
          </w:tcPr>
          <w:p w:rsidR="0007683A" w:rsidRDefault="00EA2B76" w:rsidP="0007683A">
            <w:pPr>
              <w:spacing w:after="0" w:line="240" w:lineRule="auto"/>
              <w:jc w:val="center"/>
              <w:rPr>
                <w:rFonts w:eastAsia="Times New Roman" w:cs="Calibri"/>
                <w:sz w:val="22"/>
                <w:lang w:eastAsia="en-GB"/>
              </w:rPr>
            </w:pPr>
            <w:r>
              <w:rPr>
                <w:rFonts w:eastAsia="Times New Roman" w:cs="Calibri"/>
                <w:sz w:val="22"/>
                <w:lang w:eastAsia="en-GB"/>
              </w:rPr>
              <w:t>68</w:t>
            </w:r>
          </w:p>
        </w:tc>
        <w:tc>
          <w:tcPr>
            <w:tcW w:w="1701" w:type="dxa"/>
            <w:shd w:val="clear" w:color="auto" w:fill="auto"/>
            <w:noWrap/>
            <w:vAlign w:val="bottom"/>
            <w:hideMark/>
          </w:tcPr>
          <w:p w:rsidR="0007683A" w:rsidRDefault="00EA2B76" w:rsidP="0007683A">
            <w:pPr>
              <w:spacing w:after="0" w:line="240" w:lineRule="auto"/>
              <w:jc w:val="center"/>
              <w:rPr>
                <w:rFonts w:eastAsia="Times New Roman" w:cs="Calibri"/>
                <w:sz w:val="22"/>
                <w:lang w:eastAsia="en-GB"/>
              </w:rPr>
            </w:pPr>
            <w:r>
              <w:rPr>
                <w:rFonts w:eastAsia="Times New Roman" w:cs="Calibri"/>
                <w:sz w:val="22"/>
                <w:lang w:eastAsia="en-GB"/>
              </w:rPr>
              <w:t>300</w:t>
            </w:r>
          </w:p>
        </w:tc>
        <w:tc>
          <w:tcPr>
            <w:tcW w:w="1572" w:type="dxa"/>
            <w:shd w:val="clear" w:color="auto" w:fill="auto"/>
            <w:noWrap/>
            <w:vAlign w:val="bottom"/>
            <w:hideMark/>
          </w:tcPr>
          <w:p w:rsidR="0007683A" w:rsidRDefault="00EA2B76" w:rsidP="0007683A">
            <w:pPr>
              <w:spacing w:after="0" w:line="240" w:lineRule="auto"/>
              <w:jc w:val="center"/>
              <w:rPr>
                <w:rFonts w:eastAsia="Times New Roman" w:cs="Calibri"/>
                <w:sz w:val="22"/>
                <w:lang w:eastAsia="en-GB"/>
              </w:rPr>
            </w:pPr>
            <w:r>
              <w:rPr>
                <w:rFonts w:eastAsia="Times New Roman" w:cs="Calibri"/>
                <w:sz w:val="22"/>
                <w:lang w:eastAsia="en-GB"/>
              </w:rPr>
              <w:t>368</w:t>
            </w:r>
          </w:p>
        </w:tc>
      </w:tr>
      <w:tr w:rsidR="0007683A" w:rsidTr="0007683A">
        <w:trPr>
          <w:trHeight w:val="283"/>
        </w:trPr>
        <w:tc>
          <w:tcPr>
            <w:tcW w:w="4673" w:type="dxa"/>
            <w:shd w:val="clear" w:color="auto" w:fill="auto"/>
            <w:noWrap/>
            <w:vAlign w:val="bottom"/>
            <w:hideMark/>
          </w:tcPr>
          <w:p w:rsidR="0007683A" w:rsidRDefault="0007683A" w:rsidP="0007683A">
            <w:pPr>
              <w:spacing w:after="0" w:line="240" w:lineRule="auto"/>
              <w:rPr>
                <w:rFonts w:eastAsia="Times New Roman" w:cs="Calibri"/>
                <w:sz w:val="22"/>
                <w:lang w:eastAsia="en-GB"/>
              </w:rPr>
            </w:pPr>
            <w:r>
              <w:rPr>
                <w:rFonts w:eastAsia="Times New Roman" w:cs="Calibri"/>
                <w:sz w:val="22"/>
                <w:lang w:eastAsia="en-GB"/>
              </w:rPr>
              <w:t>Physical and Sensory</w:t>
            </w:r>
          </w:p>
        </w:tc>
        <w:tc>
          <w:tcPr>
            <w:tcW w:w="1701" w:type="dxa"/>
            <w:shd w:val="clear" w:color="auto" w:fill="auto"/>
            <w:noWrap/>
            <w:vAlign w:val="bottom"/>
            <w:hideMark/>
          </w:tcPr>
          <w:p w:rsidR="0007683A" w:rsidRDefault="00EA2B76" w:rsidP="0007683A">
            <w:pPr>
              <w:spacing w:after="0" w:line="240" w:lineRule="auto"/>
              <w:jc w:val="center"/>
              <w:rPr>
                <w:rFonts w:eastAsia="Times New Roman" w:cs="Calibri"/>
                <w:sz w:val="22"/>
                <w:lang w:eastAsia="en-GB"/>
              </w:rPr>
            </w:pPr>
            <w:r>
              <w:rPr>
                <w:rFonts w:eastAsia="Times New Roman" w:cs="Calibri"/>
                <w:sz w:val="22"/>
                <w:lang w:eastAsia="en-GB"/>
              </w:rPr>
              <w:t>27</w:t>
            </w:r>
          </w:p>
        </w:tc>
        <w:tc>
          <w:tcPr>
            <w:tcW w:w="1701" w:type="dxa"/>
            <w:shd w:val="clear" w:color="auto" w:fill="auto"/>
            <w:noWrap/>
            <w:vAlign w:val="bottom"/>
            <w:hideMark/>
          </w:tcPr>
          <w:p w:rsidR="0007683A" w:rsidRDefault="00EA2B76" w:rsidP="0007683A">
            <w:pPr>
              <w:spacing w:after="0" w:line="240" w:lineRule="auto"/>
              <w:jc w:val="center"/>
              <w:rPr>
                <w:rFonts w:eastAsia="Times New Roman" w:cs="Calibri"/>
                <w:sz w:val="22"/>
                <w:lang w:eastAsia="en-GB"/>
              </w:rPr>
            </w:pPr>
            <w:r>
              <w:rPr>
                <w:rFonts w:eastAsia="Times New Roman" w:cs="Calibri"/>
                <w:sz w:val="22"/>
                <w:lang w:eastAsia="en-GB"/>
              </w:rPr>
              <w:t>124</w:t>
            </w:r>
          </w:p>
        </w:tc>
        <w:tc>
          <w:tcPr>
            <w:tcW w:w="1572" w:type="dxa"/>
            <w:shd w:val="clear" w:color="auto" w:fill="auto"/>
            <w:noWrap/>
            <w:vAlign w:val="bottom"/>
            <w:hideMark/>
          </w:tcPr>
          <w:p w:rsidR="0007683A" w:rsidRDefault="00EA2B76" w:rsidP="0007683A">
            <w:pPr>
              <w:spacing w:after="0" w:line="240" w:lineRule="auto"/>
              <w:jc w:val="center"/>
              <w:rPr>
                <w:rFonts w:eastAsia="Times New Roman" w:cs="Calibri"/>
                <w:sz w:val="22"/>
                <w:lang w:eastAsia="en-GB"/>
              </w:rPr>
            </w:pPr>
            <w:r>
              <w:rPr>
                <w:rFonts w:eastAsia="Times New Roman" w:cs="Calibri"/>
                <w:sz w:val="22"/>
                <w:lang w:eastAsia="en-GB"/>
              </w:rPr>
              <w:t>151</w:t>
            </w:r>
          </w:p>
        </w:tc>
      </w:tr>
      <w:tr w:rsidR="0007683A" w:rsidTr="0007683A">
        <w:trPr>
          <w:trHeight w:val="283"/>
        </w:trPr>
        <w:tc>
          <w:tcPr>
            <w:tcW w:w="4673" w:type="dxa"/>
            <w:shd w:val="clear" w:color="auto" w:fill="auto"/>
            <w:noWrap/>
            <w:vAlign w:val="bottom"/>
            <w:hideMark/>
          </w:tcPr>
          <w:p w:rsidR="0007683A" w:rsidRDefault="0007683A" w:rsidP="0007683A">
            <w:pPr>
              <w:spacing w:after="0" w:line="240" w:lineRule="auto"/>
              <w:rPr>
                <w:rFonts w:eastAsia="Times New Roman" w:cs="Calibri"/>
                <w:sz w:val="22"/>
                <w:lang w:eastAsia="en-GB"/>
              </w:rPr>
            </w:pPr>
            <w:r>
              <w:rPr>
                <w:rFonts w:eastAsia="Times New Roman" w:cs="Calibri"/>
                <w:sz w:val="22"/>
                <w:lang w:eastAsia="en-GB"/>
              </w:rPr>
              <w:t>Social, Emotional Wellbeing</w:t>
            </w:r>
          </w:p>
        </w:tc>
        <w:tc>
          <w:tcPr>
            <w:tcW w:w="1701" w:type="dxa"/>
            <w:shd w:val="clear" w:color="auto" w:fill="auto"/>
            <w:noWrap/>
            <w:vAlign w:val="bottom"/>
            <w:hideMark/>
          </w:tcPr>
          <w:p w:rsidR="0007683A" w:rsidRDefault="00EA2B76" w:rsidP="0007683A">
            <w:pPr>
              <w:spacing w:after="0" w:line="240" w:lineRule="auto"/>
              <w:jc w:val="center"/>
              <w:rPr>
                <w:rFonts w:eastAsia="Times New Roman" w:cs="Calibri"/>
                <w:sz w:val="22"/>
                <w:lang w:eastAsia="en-GB"/>
              </w:rPr>
            </w:pPr>
            <w:r>
              <w:rPr>
                <w:rFonts w:eastAsia="Times New Roman" w:cs="Calibri"/>
                <w:sz w:val="22"/>
                <w:lang w:eastAsia="en-GB"/>
              </w:rPr>
              <w:t>44</w:t>
            </w:r>
          </w:p>
        </w:tc>
        <w:tc>
          <w:tcPr>
            <w:tcW w:w="1701" w:type="dxa"/>
            <w:shd w:val="clear" w:color="auto" w:fill="auto"/>
            <w:noWrap/>
            <w:vAlign w:val="bottom"/>
            <w:hideMark/>
          </w:tcPr>
          <w:p w:rsidR="0007683A" w:rsidRDefault="00EA2B76" w:rsidP="0007683A">
            <w:pPr>
              <w:spacing w:after="0" w:line="240" w:lineRule="auto"/>
              <w:jc w:val="center"/>
              <w:rPr>
                <w:rFonts w:eastAsia="Times New Roman" w:cs="Calibri"/>
                <w:sz w:val="22"/>
                <w:lang w:eastAsia="en-GB"/>
              </w:rPr>
            </w:pPr>
            <w:r>
              <w:rPr>
                <w:rFonts w:eastAsia="Times New Roman" w:cs="Calibri"/>
                <w:sz w:val="22"/>
                <w:lang w:eastAsia="en-GB"/>
              </w:rPr>
              <w:t>298</w:t>
            </w:r>
          </w:p>
        </w:tc>
        <w:tc>
          <w:tcPr>
            <w:tcW w:w="1572" w:type="dxa"/>
            <w:shd w:val="clear" w:color="auto" w:fill="auto"/>
            <w:noWrap/>
            <w:vAlign w:val="bottom"/>
            <w:hideMark/>
          </w:tcPr>
          <w:p w:rsidR="0007683A" w:rsidRDefault="00EA2B76" w:rsidP="0007683A">
            <w:pPr>
              <w:spacing w:after="0" w:line="240" w:lineRule="auto"/>
              <w:jc w:val="center"/>
              <w:rPr>
                <w:rFonts w:eastAsia="Times New Roman" w:cs="Calibri"/>
                <w:sz w:val="22"/>
                <w:lang w:eastAsia="en-GB"/>
              </w:rPr>
            </w:pPr>
            <w:r>
              <w:rPr>
                <w:rFonts w:eastAsia="Times New Roman" w:cs="Calibri"/>
                <w:sz w:val="22"/>
                <w:lang w:eastAsia="en-GB"/>
              </w:rPr>
              <w:t>342</w:t>
            </w:r>
          </w:p>
        </w:tc>
      </w:tr>
      <w:tr w:rsidR="0007683A" w:rsidTr="0007683A">
        <w:trPr>
          <w:trHeight w:val="283"/>
        </w:trPr>
        <w:tc>
          <w:tcPr>
            <w:tcW w:w="4673" w:type="dxa"/>
            <w:shd w:val="clear" w:color="auto" w:fill="auto"/>
            <w:noWrap/>
            <w:vAlign w:val="bottom"/>
            <w:hideMark/>
          </w:tcPr>
          <w:p w:rsidR="0007683A" w:rsidRDefault="0007683A" w:rsidP="0007683A">
            <w:pPr>
              <w:spacing w:after="0" w:line="240" w:lineRule="auto"/>
              <w:rPr>
                <w:rFonts w:eastAsia="Times New Roman" w:cs="Calibri"/>
                <w:sz w:val="22"/>
                <w:lang w:eastAsia="en-GB"/>
              </w:rPr>
            </w:pPr>
            <w:r>
              <w:rPr>
                <w:rFonts w:eastAsia="Times New Roman" w:cs="Calibri"/>
                <w:sz w:val="22"/>
                <w:lang w:eastAsia="en-GB"/>
              </w:rPr>
              <w:t>Speech, Language and Communication</w:t>
            </w:r>
          </w:p>
        </w:tc>
        <w:tc>
          <w:tcPr>
            <w:tcW w:w="1701" w:type="dxa"/>
            <w:shd w:val="clear" w:color="auto" w:fill="auto"/>
            <w:noWrap/>
            <w:vAlign w:val="bottom"/>
            <w:hideMark/>
          </w:tcPr>
          <w:p w:rsidR="0007683A" w:rsidRDefault="00EA2B76" w:rsidP="0007683A">
            <w:pPr>
              <w:spacing w:after="0" w:line="240" w:lineRule="auto"/>
              <w:jc w:val="center"/>
              <w:rPr>
                <w:rFonts w:eastAsia="Times New Roman" w:cs="Calibri"/>
                <w:sz w:val="22"/>
                <w:lang w:eastAsia="en-GB"/>
              </w:rPr>
            </w:pPr>
            <w:r>
              <w:rPr>
                <w:rFonts w:eastAsia="Times New Roman" w:cs="Calibri"/>
                <w:sz w:val="22"/>
                <w:lang w:eastAsia="en-GB"/>
              </w:rPr>
              <w:t>59</w:t>
            </w:r>
          </w:p>
        </w:tc>
        <w:tc>
          <w:tcPr>
            <w:tcW w:w="1701" w:type="dxa"/>
            <w:shd w:val="clear" w:color="auto" w:fill="auto"/>
            <w:noWrap/>
            <w:vAlign w:val="bottom"/>
            <w:hideMark/>
          </w:tcPr>
          <w:p w:rsidR="0007683A" w:rsidRDefault="00EA2B76" w:rsidP="0007683A">
            <w:pPr>
              <w:spacing w:after="0" w:line="240" w:lineRule="auto"/>
              <w:jc w:val="center"/>
              <w:rPr>
                <w:rFonts w:eastAsia="Times New Roman" w:cs="Calibri"/>
                <w:sz w:val="22"/>
                <w:lang w:eastAsia="en-GB"/>
              </w:rPr>
            </w:pPr>
            <w:r>
              <w:rPr>
                <w:rFonts w:eastAsia="Times New Roman" w:cs="Calibri"/>
                <w:sz w:val="22"/>
                <w:lang w:eastAsia="en-GB"/>
              </w:rPr>
              <w:t>352</w:t>
            </w:r>
          </w:p>
        </w:tc>
        <w:tc>
          <w:tcPr>
            <w:tcW w:w="1572" w:type="dxa"/>
            <w:shd w:val="clear" w:color="auto" w:fill="auto"/>
            <w:noWrap/>
            <w:vAlign w:val="bottom"/>
            <w:hideMark/>
          </w:tcPr>
          <w:p w:rsidR="0007683A" w:rsidRDefault="00EA2B76" w:rsidP="0007683A">
            <w:pPr>
              <w:spacing w:after="0" w:line="240" w:lineRule="auto"/>
              <w:jc w:val="center"/>
              <w:rPr>
                <w:rFonts w:eastAsia="Times New Roman" w:cs="Calibri"/>
                <w:sz w:val="22"/>
                <w:lang w:eastAsia="en-GB"/>
              </w:rPr>
            </w:pPr>
            <w:r>
              <w:rPr>
                <w:rFonts w:eastAsia="Times New Roman" w:cs="Calibri"/>
                <w:sz w:val="22"/>
                <w:lang w:eastAsia="en-GB"/>
              </w:rPr>
              <w:t>411</w:t>
            </w:r>
          </w:p>
        </w:tc>
      </w:tr>
      <w:tr w:rsidR="0007683A" w:rsidTr="0007683A">
        <w:trPr>
          <w:trHeight w:val="283"/>
        </w:trPr>
        <w:tc>
          <w:tcPr>
            <w:tcW w:w="4673" w:type="dxa"/>
            <w:shd w:val="clear" w:color="auto" w:fill="auto"/>
            <w:noWrap/>
            <w:vAlign w:val="bottom"/>
            <w:hideMark/>
          </w:tcPr>
          <w:p w:rsidR="0007683A" w:rsidRDefault="0007683A" w:rsidP="0007683A">
            <w:pPr>
              <w:spacing w:after="0" w:line="240" w:lineRule="auto"/>
              <w:rPr>
                <w:rFonts w:eastAsia="Times New Roman" w:cs="Calibri"/>
                <w:b/>
                <w:bCs/>
                <w:sz w:val="22"/>
                <w:lang w:eastAsia="en-GB"/>
              </w:rPr>
            </w:pPr>
            <w:r>
              <w:rPr>
                <w:rFonts w:eastAsia="Times New Roman" w:cs="Calibri"/>
                <w:b/>
                <w:bCs/>
                <w:sz w:val="22"/>
                <w:lang w:eastAsia="en-GB"/>
              </w:rPr>
              <w:t>Grand Total</w:t>
            </w:r>
          </w:p>
        </w:tc>
        <w:tc>
          <w:tcPr>
            <w:tcW w:w="1701" w:type="dxa"/>
            <w:shd w:val="clear" w:color="auto" w:fill="auto"/>
            <w:noWrap/>
            <w:vAlign w:val="bottom"/>
            <w:hideMark/>
          </w:tcPr>
          <w:p w:rsidR="0007683A" w:rsidRDefault="00EA2B76" w:rsidP="0007683A">
            <w:pPr>
              <w:spacing w:after="0" w:line="240" w:lineRule="auto"/>
              <w:jc w:val="center"/>
              <w:rPr>
                <w:rFonts w:eastAsia="Times New Roman" w:cs="Calibri"/>
                <w:b/>
                <w:bCs/>
                <w:sz w:val="22"/>
                <w:lang w:eastAsia="en-GB"/>
              </w:rPr>
            </w:pPr>
            <w:r>
              <w:rPr>
                <w:rFonts w:eastAsia="Times New Roman" w:cs="Calibri"/>
                <w:b/>
                <w:bCs/>
                <w:sz w:val="22"/>
                <w:lang w:eastAsia="en-GB"/>
              </w:rPr>
              <w:t>265</w:t>
            </w:r>
          </w:p>
        </w:tc>
        <w:tc>
          <w:tcPr>
            <w:tcW w:w="1701" w:type="dxa"/>
            <w:shd w:val="clear" w:color="auto" w:fill="auto"/>
            <w:noWrap/>
            <w:vAlign w:val="bottom"/>
            <w:hideMark/>
          </w:tcPr>
          <w:p w:rsidR="0007683A" w:rsidRDefault="00EA2B76" w:rsidP="0007683A">
            <w:pPr>
              <w:spacing w:after="0" w:line="240" w:lineRule="auto"/>
              <w:jc w:val="center"/>
              <w:rPr>
                <w:rFonts w:eastAsia="Times New Roman" w:cs="Calibri"/>
                <w:b/>
                <w:bCs/>
                <w:sz w:val="22"/>
                <w:lang w:eastAsia="en-GB"/>
              </w:rPr>
            </w:pPr>
            <w:r>
              <w:rPr>
                <w:rFonts w:eastAsia="Times New Roman" w:cs="Calibri"/>
                <w:b/>
                <w:bCs/>
                <w:sz w:val="22"/>
                <w:lang w:eastAsia="en-GB"/>
              </w:rPr>
              <w:t>1590</w:t>
            </w:r>
          </w:p>
        </w:tc>
        <w:tc>
          <w:tcPr>
            <w:tcW w:w="1572" w:type="dxa"/>
            <w:shd w:val="clear" w:color="auto" w:fill="auto"/>
            <w:noWrap/>
            <w:vAlign w:val="bottom"/>
            <w:hideMark/>
          </w:tcPr>
          <w:p w:rsidR="0007683A" w:rsidRDefault="00EA2B76" w:rsidP="0007683A">
            <w:pPr>
              <w:spacing w:after="0" w:line="240" w:lineRule="auto"/>
              <w:jc w:val="center"/>
              <w:rPr>
                <w:rFonts w:eastAsia="Times New Roman" w:cs="Calibri"/>
                <w:b/>
                <w:bCs/>
                <w:sz w:val="22"/>
                <w:lang w:eastAsia="en-GB"/>
              </w:rPr>
            </w:pPr>
            <w:r>
              <w:rPr>
                <w:rFonts w:eastAsia="Times New Roman" w:cs="Calibri"/>
                <w:b/>
                <w:bCs/>
                <w:sz w:val="22"/>
                <w:lang w:eastAsia="en-GB"/>
              </w:rPr>
              <w:t>1855</w:t>
            </w:r>
          </w:p>
        </w:tc>
      </w:tr>
    </w:tbl>
    <w:p w:rsidR="0007683A" w:rsidRDefault="0007683A">
      <w:pPr>
        <w:rPr>
          <w:u w:val="single"/>
        </w:rPr>
      </w:pPr>
    </w:p>
    <w:p w:rsidR="0007683A" w:rsidRDefault="0007683A">
      <w:pPr>
        <w:rPr>
          <w:u w:val="single"/>
        </w:rPr>
      </w:pPr>
    </w:p>
    <w:p w:rsidR="0007683A" w:rsidRDefault="0007683A">
      <w:pPr>
        <w:rPr>
          <w:u w:val="single"/>
        </w:rPr>
      </w:pPr>
    </w:p>
    <w:p w:rsidR="0007683A" w:rsidRDefault="0007683A">
      <w:pPr>
        <w:rPr>
          <w:u w:val="single"/>
        </w:rPr>
      </w:pPr>
    </w:p>
    <w:p w:rsidR="0007683A" w:rsidRDefault="0007683A">
      <w:pPr>
        <w:rPr>
          <w:u w:val="single"/>
        </w:rPr>
      </w:pPr>
    </w:p>
    <w:p w:rsidR="00BD5934" w:rsidRDefault="00CF4FA7">
      <w:pPr>
        <w:rPr>
          <w:noProof/>
          <w:lang w:eastAsia="en-GB"/>
        </w:rPr>
      </w:pPr>
      <w:r>
        <w:rPr>
          <w:noProof/>
          <w:lang w:eastAsia="en-GB"/>
        </w:rPr>
        <w:lastRenderedPageBreak/>
        <w:t xml:space="preserve">    </w:t>
      </w:r>
      <w:r>
        <w:rPr>
          <w:noProof/>
          <w:lang w:eastAsia="en-GB"/>
        </w:rPr>
        <w:drawing>
          <wp:inline distT="0" distB="0" distL="0" distR="0">
            <wp:extent cx="2628900" cy="192405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r>
        <w:rPr>
          <w:noProof/>
          <w:lang w:eastAsia="en-GB"/>
        </w:rPr>
        <w:t xml:space="preserve">   </w:t>
      </w:r>
      <w:r>
        <w:rPr>
          <w:noProof/>
          <w:lang w:eastAsia="en-GB"/>
        </w:rPr>
        <w:drawing>
          <wp:inline distT="0" distB="0" distL="0" distR="0">
            <wp:extent cx="2590800" cy="194310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EA2B76" w:rsidRDefault="00E922D2">
      <w:pPr>
        <w:rPr>
          <w:noProof/>
          <w:lang w:eastAsia="en-GB"/>
        </w:rPr>
      </w:pPr>
      <w:r>
        <w:rPr>
          <w:noProof/>
          <w:lang w:eastAsia="en-GB"/>
        </w:rPr>
        <w:t xml:space="preserve">    </w:t>
      </w:r>
      <w:r w:rsidR="00EA2B76">
        <w:rPr>
          <w:noProof/>
          <w:lang w:eastAsia="en-GB"/>
        </w:rPr>
        <w:drawing>
          <wp:inline distT="0" distB="0" distL="0" distR="0" wp14:anchorId="3D24DE56" wp14:editId="4A7266AD">
            <wp:extent cx="2638425" cy="1914525"/>
            <wp:effectExtent l="0" t="0" r="9525" b="952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BD5934" w:rsidRDefault="00CF4FA7">
      <w:pPr>
        <w:rPr>
          <w:noProof/>
          <w:lang w:eastAsia="en-GB"/>
        </w:rPr>
      </w:pPr>
      <w:r>
        <w:rPr>
          <w:noProof/>
          <w:lang w:eastAsia="en-GB"/>
        </w:rPr>
        <w:t xml:space="preserve">    </w:t>
      </w:r>
      <w:r>
        <w:rPr>
          <w:noProof/>
          <w:lang w:eastAsia="en-GB"/>
        </w:rPr>
        <w:drawing>
          <wp:inline distT="0" distB="0" distL="0" distR="0">
            <wp:extent cx="2619375" cy="2076450"/>
            <wp:effectExtent l="0" t="0" r="9525"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Pr>
          <w:noProof/>
          <w:lang w:eastAsia="en-GB"/>
        </w:rPr>
        <w:t xml:space="preserve">   </w:t>
      </w:r>
      <w:r>
        <w:rPr>
          <w:noProof/>
          <w:lang w:eastAsia="en-GB"/>
        </w:rPr>
        <w:drawing>
          <wp:inline distT="0" distB="0" distL="0" distR="0">
            <wp:extent cx="2590800" cy="2066925"/>
            <wp:effectExtent l="0" t="0" r="0" b="952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BD5934" w:rsidRDefault="00E922D2">
      <w:r>
        <w:t xml:space="preserve">    </w:t>
      </w:r>
      <w:r>
        <w:rPr>
          <w:noProof/>
          <w:lang w:eastAsia="en-GB"/>
        </w:rPr>
        <w:drawing>
          <wp:inline distT="0" distB="0" distL="0" distR="0" wp14:anchorId="63316E12" wp14:editId="7A5896AE">
            <wp:extent cx="2600325" cy="2124075"/>
            <wp:effectExtent l="0" t="0" r="9525" b="952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BD5934" w:rsidRDefault="00E45408">
      <w:pPr>
        <w:rPr>
          <w:b/>
        </w:rPr>
      </w:pPr>
      <w:r>
        <w:rPr>
          <w:b/>
        </w:rPr>
        <w:t>Comparison by D</w:t>
      </w:r>
      <w:r w:rsidR="00CF4FA7">
        <w:rPr>
          <w:b/>
        </w:rPr>
        <w:t>omain</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422"/>
        <w:gridCol w:w="1418"/>
        <w:gridCol w:w="1559"/>
        <w:gridCol w:w="1413"/>
      </w:tblGrid>
      <w:tr w:rsidR="00BD5934" w:rsidRPr="00E45408">
        <w:trPr>
          <w:trHeight w:val="300"/>
        </w:trPr>
        <w:tc>
          <w:tcPr>
            <w:tcW w:w="3119" w:type="dxa"/>
            <w:tcBorders>
              <w:top w:val="nil"/>
              <w:left w:val="nil"/>
              <w:bottom w:val="single" w:sz="4" w:space="0" w:color="auto"/>
              <w:right w:val="single" w:sz="4" w:space="0" w:color="auto"/>
            </w:tcBorders>
            <w:shd w:val="clear" w:color="auto" w:fill="auto"/>
            <w:noWrap/>
            <w:vAlign w:val="bottom"/>
          </w:tcPr>
          <w:p w:rsidR="00BD5934" w:rsidRPr="00E45408" w:rsidRDefault="00BD5934">
            <w:pPr>
              <w:spacing w:after="0" w:line="240" w:lineRule="auto"/>
              <w:rPr>
                <w:rFonts w:eastAsia="Times New Roman" w:cs="Calibri"/>
                <w:b/>
                <w:sz w:val="22"/>
                <w:lang w:eastAsia="en-GB"/>
              </w:rPr>
            </w:pPr>
          </w:p>
        </w:tc>
        <w:tc>
          <w:tcPr>
            <w:tcW w:w="2840" w:type="dxa"/>
            <w:gridSpan w:val="2"/>
            <w:tcBorders>
              <w:left w:val="single" w:sz="4" w:space="0" w:color="auto"/>
              <w:bottom w:val="single" w:sz="4" w:space="0" w:color="auto"/>
            </w:tcBorders>
            <w:shd w:val="clear" w:color="auto" w:fill="D9D9D9" w:themeFill="background1" w:themeFillShade="D9"/>
            <w:vAlign w:val="bottom"/>
          </w:tcPr>
          <w:p w:rsidR="00BD5934" w:rsidRPr="00E45408" w:rsidRDefault="00CF4FA7">
            <w:pPr>
              <w:spacing w:after="0" w:line="240" w:lineRule="auto"/>
              <w:jc w:val="center"/>
              <w:rPr>
                <w:rFonts w:eastAsia="Times New Roman" w:cs="Calibri"/>
                <w:b/>
                <w:sz w:val="22"/>
                <w:lang w:eastAsia="en-GB"/>
              </w:rPr>
            </w:pPr>
            <w:r w:rsidRPr="00E45408">
              <w:rPr>
                <w:rFonts w:eastAsia="Times New Roman" w:cs="Calibri"/>
                <w:b/>
                <w:sz w:val="22"/>
                <w:lang w:eastAsia="en-GB"/>
              </w:rPr>
              <w:t>Autumn 2020-2021</w:t>
            </w:r>
          </w:p>
        </w:tc>
        <w:tc>
          <w:tcPr>
            <w:tcW w:w="2972" w:type="dxa"/>
            <w:gridSpan w:val="2"/>
            <w:shd w:val="clear" w:color="auto" w:fill="D9D9D9" w:themeFill="background1" w:themeFillShade="D9"/>
            <w:noWrap/>
            <w:vAlign w:val="bottom"/>
          </w:tcPr>
          <w:p w:rsidR="00BD5934" w:rsidRPr="00E45408" w:rsidRDefault="00CF4FA7">
            <w:pPr>
              <w:spacing w:after="0" w:line="240" w:lineRule="auto"/>
              <w:jc w:val="center"/>
              <w:rPr>
                <w:rFonts w:eastAsia="Times New Roman" w:cs="Calibri"/>
                <w:b/>
                <w:sz w:val="22"/>
                <w:lang w:eastAsia="en-GB"/>
              </w:rPr>
            </w:pPr>
            <w:r w:rsidRPr="00E45408">
              <w:rPr>
                <w:rFonts w:eastAsia="Times New Roman" w:cs="Calibri"/>
                <w:b/>
                <w:sz w:val="22"/>
                <w:lang w:eastAsia="en-GB"/>
              </w:rPr>
              <w:t>Spring 2020-2021</w:t>
            </w:r>
          </w:p>
        </w:tc>
      </w:tr>
      <w:tr w:rsidR="00BD5934" w:rsidRPr="00E45408">
        <w:trPr>
          <w:trHeight w:val="300"/>
        </w:trPr>
        <w:tc>
          <w:tcPr>
            <w:tcW w:w="3119" w:type="dxa"/>
            <w:tcBorders>
              <w:top w:val="single" w:sz="4" w:space="0" w:color="auto"/>
            </w:tcBorders>
            <w:shd w:val="clear" w:color="auto" w:fill="D9D9D9" w:themeFill="background1" w:themeFillShade="D9"/>
            <w:noWrap/>
            <w:vAlign w:val="bottom"/>
            <w:hideMark/>
          </w:tcPr>
          <w:p w:rsidR="00BD5934" w:rsidRPr="00E45408" w:rsidRDefault="00CF4FA7">
            <w:pPr>
              <w:spacing w:after="0" w:line="240" w:lineRule="auto"/>
              <w:rPr>
                <w:rFonts w:eastAsia="Times New Roman" w:cs="Calibri"/>
                <w:b/>
                <w:sz w:val="22"/>
                <w:lang w:eastAsia="en-GB"/>
              </w:rPr>
            </w:pPr>
            <w:r w:rsidRPr="00E45408">
              <w:rPr>
                <w:rFonts w:eastAsia="Times New Roman" w:cs="Calibri"/>
                <w:b/>
                <w:sz w:val="22"/>
                <w:lang w:eastAsia="en-GB"/>
              </w:rPr>
              <w:t>EHCP Domains</w:t>
            </w:r>
          </w:p>
        </w:tc>
        <w:tc>
          <w:tcPr>
            <w:tcW w:w="1422" w:type="dxa"/>
            <w:tcBorders>
              <w:top w:val="single" w:sz="4" w:space="0" w:color="auto"/>
            </w:tcBorders>
            <w:shd w:val="clear" w:color="auto" w:fill="D9D9D9" w:themeFill="background1" w:themeFillShade="D9"/>
            <w:vAlign w:val="bottom"/>
          </w:tcPr>
          <w:p w:rsidR="00BD5934" w:rsidRPr="00E45408" w:rsidRDefault="00CF4FA7">
            <w:pPr>
              <w:spacing w:after="0" w:line="240" w:lineRule="auto"/>
              <w:jc w:val="center"/>
              <w:rPr>
                <w:rFonts w:eastAsia="Times New Roman" w:cs="Calibri"/>
                <w:b/>
                <w:sz w:val="22"/>
                <w:lang w:eastAsia="en-GB"/>
              </w:rPr>
            </w:pPr>
            <w:r w:rsidRPr="00E45408">
              <w:rPr>
                <w:rFonts w:eastAsia="Times New Roman" w:cs="Calibri"/>
                <w:b/>
                <w:sz w:val="22"/>
                <w:lang w:eastAsia="en-GB"/>
              </w:rPr>
              <w:t>Not On Track</w:t>
            </w:r>
          </w:p>
        </w:tc>
        <w:tc>
          <w:tcPr>
            <w:tcW w:w="1418" w:type="dxa"/>
            <w:tcBorders>
              <w:top w:val="single" w:sz="4" w:space="0" w:color="auto"/>
            </w:tcBorders>
            <w:shd w:val="clear" w:color="auto" w:fill="D9D9D9" w:themeFill="background1" w:themeFillShade="D9"/>
            <w:vAlign w:val="bottom"/>
          </w:tcPr>
          <w:p w:rsidR="00BD5934" w:rsidRPr="00E45408" w:rsidRDefault="00CF4FA7">
            <w:pPr>
              <w:spacing w:after="0" w:line="240" w:lineRule="auto"/>
              <w:jc w:val="center"/>
              <w:rPr>
                <w:rFonts w:eastAsia="Times New Roman" w:cs="Calibri"/>
                <w:b/>
                <w:sz w:val="22"/>
                <w:lang w:eastAsia="en-GB"/>
              </w:rPr>
            </w:pPr>
            <w:r w:rsidRPr="00E45408">
              <w:rPr>
                <w:rFonts w:eastAsia="Times New Roman" w:cs="Calibri"/>
                <w:b/>
                <w:sz w:val="22"/>
                <w:lang w:eastAsia="en-GB"/>
              </w:rPr>
              <w:t>On Track</w:t>
            </w:r>
          </w:p>
        </w:tc>
        <w:tc>
          <w:tcPr>
            <w:tcW w:w="1559" w:type="dxa"/>
            <w:shd w:val="clear" w:color="auto" w:fill="D9D9D9" w:themeFill="background1" w:themeFillShade="D9"/>
            <w:noWrap/>
            <w:vAlign w:val="bottom"/>
            <w:hideMark/>
          </w:tcPr>
          <w:p w:rsidR="00BD5934" w:rsidRPr="00E45408" w:rsidRDefault="00CF4FA7">
            <w:pPr>
              <w:spacing w:after="0" w:line="240" w:lineRule="auto"/>
              <w:jc w:val="center"/>
              <w:rPr>
                <w:rFonts w:eastAsia="Times New Roman" w:cs="Calibri"/>
                <w:b/>
                <w:sz w:val="22"/>
                <w:lang w:eastAsia="en-GB"/>
              </w:rPr>
            </w:pPr>
            <w:r w:rsidRPr="00E45408">
              <w:rPr>
                <w:rFonts w:eastAsia="Times New Roman" w:cs="Calibri"/>
                <w:b/>
                <w:sz w:val="22"/>
                <w:lang w:eastAsia="en-GB"/>
              </w:rPr>
              <w:t>Not On Track</w:t>
            </w:r>
          </w:p>
        </w:tc>
        <w:tc>
          <w:tcPr>
            <w:tcW w:w="1413" w:type="dxa"/>
            <w:shd w:val="clear" w:color="auto" w:fill="D9D9D9" w:themeFill="background1" w:themeFillShade="D9"/>
            <w:noWrap/>
            <w:vAlign w:val="bottom"/>
            <w:hideMark/>
          </w:tcPr>
          <w:p w:rsidR="00BD5934" w:rsidRPr="00E45408" w:rsidRDefault="00CF4FA7">
            <w:pPr>
              <w:spacing w:after="0" w:line="240" w:lineRule="auto"/>
              <w:jc w:val="center"/>
              <w:rPr>
                <w:rFonts w:eastAsia="Times New Roman" w:cs="Calibri"/>
                <w:b/>
                <w:sz w:val="22"/>
                <w:lang w:eastAsia="en-GB"/>
              </w:rPr>
            </w:pPr>
            <w:r w:rsidRPr="00E45408">
              <w:rPr>
                <w:rFonts w:eastAsia="Times New Roman" w:cs="Calibri"/>
                <w:b/>
                <w:sz w:val="22"/>
                <w:lang w:eastAsia="en-GB"/>
              </w:rPr>
              <w:t>On Track</w:t>
            </w:r>
          </w:p>
        </w:tc>
      </w:tr>
      <w:tr w:rsidR="00BD5934" w:rsidRPr="00E45408">
        <w:trPr>
          <w:trHeight w:val="300"/>
        </w:trPr>
        <w:tc>
          <w:tcPr>
            <w:tcW w:w="3119" w:type="dxa"/>
            <w:shd w:val="clear" w:color="auto" w:fill="auto"/>
            <w:noWrap/>
            <w:vAlign w:val="bottom"/>
            <w:hideMark/>
          </w:tcPr>
          <w:p w:rsidR="00BD5934" w:rsidRPr="00E45408" w:rsidRDefault="00CF4FA7">
            <w:pPr>
              <w:spacing w:after="0" w:line="240" w:lineRule="auto"/>
              <w:rPr>
                <w:rFonts w:eastAsia="Times New Roman" w:cs="Calibri"/>
                <w:sz w:val="22"/>
                <w:lang w:eastAsia="en-GB"/>
              </w:rPr>
            </w:pPr>
            <w:r w:rsidRPr="00E45408">
              <w:rPr>
                <w:rFonts w:eastAsia="Times New Roman" w:cs="Calibri"/>
                <w:sz w:val="22"/>
                <w:lang w:eastAsia="en-GB"/>
              </w:rPr>
              <w:t xml:space="preserve">Cognition and Learning </w:t>
            </w:r>
          </w:p>
        </w:tc>
        <w:tc>
          <w:tcPr>
            <w:tcW w:w="1422" w:type="dxa"/>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19.5%</w:t>
            </w:r>
          </w:p>
        </w:tc>
        <w:tc>
          <w:tcPr>
            <w:tcW w:w="1418" w:type="dxa"/>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80.5%</w:t>
            </w:r>
          </w:p>
        </w:tc>
        <w:tc>
          <w:tcPr>
            <w:tcW w:w="1559" w:type="dxa"/>
            <w:shd w:val="clear" w:color="auto" w:fill="auto"/>
            <w:noWrap/>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31.9%</w:t>
            </w:r>
          </w:p>
        </w:tc>
        <w:tc>
          <w:tcPr>
            <w:tcW w:w="1413" w:type="dxa"/>
            <w:shd w:val="clear" w:color="auto" w:fill="auto"/>
            <w:noWrap/>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68.1%</w:t>
            </w:r>
          </w:p>
        </w:tc>
      </w:tr>
      <w:tr w:rsidR="00BD5934" w:rsidRPr="00E45408">
        <w:trPr>
          <w:trHeight w:val="300"/>
        </w:trPr>
        <w:tc>
          <w:tcPr>
            <w:tcW w:w="3119" w:type="dxa"/>
            <w:shd w:val="clear" w:color="auto" w:fill="auto"/>
            <w:noWrap/>
            <w:vAlign w:val="bottom"/>
            <w:hideMark/>
          </w:tcPr>
          <w:p w:rsidR="00BD5934" w:rsidRPr="00E45408" w:rsidRDefault="00CF4FA7">
            <w:pPr>
              <w:spacing w:after="0" w:line="240" w:lineRule="auto"/>
              <w:rPr>
                <w:rFonts w:eastAsia="Times New Roman" w:cs="Calibri"/>
                <w:sz w:val="22"/>
                <w:lang w:eastAsia="en-GB"/>
              </w:rPr>
            </w:pPr>
            <w:r w:rsidRPr="00E45408">
              <w:rPr>
                <w:rFonts w:eastAsia="Times New Roman" w:cs="Calibri"/>
                <w:sz w:val="22"/>
                <w:lang w:eastAsia="en-GB"/>
              </w:rPr>
              <w:t>Independence</w:t>
            </w:r>
          </w:p>
        </w:tc>
        <w:tc>
          <w:tcPr>
            <w:tcW w:w="1422" w:type="dxa"/>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27.0%</w:t>
            </w:r>
          </w:p>
        </w:tc>
        <w:tc>
          <w:tcPr>
            <w:tcW w:w="1418" w:type="dxa"/>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73.1%</w:t>
            </w:r>
          </w:p>
        </w:tc>
        <w:tc>
          <w:tcPr>
            <w:tcW w:w="1559" w:type="dxa"/>
            <w:shd w:val="clear" w:color="auto" w:fill="auto"/>
            <w:noWrap/>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34.4%</w:t>
            </w:r>
          </w:p>
        </w:tc>
        <w:tc>
          <w:tcPr>
            <w:tcW w:w="1413" w:type="dxa"/>
            <w:shd w:val="clear" w:color="auto" w:fill="auto"/>
            <w:noWrap/>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65.6%</w:t>
            </w:r>
          </w:p>
        </w:tc>
      </w:tr>
      <w:tr w:rsidR="00BD5934" w:rsidRPr="00E45408">
        <w:trPr>
          <w:trHeight w:val="300"/>
        </w:trPr>
        <w:tc>
          <w:tcPr>
            <w:tcW w:w="3119" w:type="dxa"/>
            <w:shd w:val="clear" w:color="auto" w:fill="auto"/>
            <w:noWrap/>
            <w:vAlign w:val="bottom"/>
            <w:hideMark/>
          </w:tcPr>
          <w:p w:rsidR="00BD5934" w:rsidRPr="00E45408" w:rsidRDefault="00CF4FA7">
            <w:pPr>
              <w:spacing w:after="0" w:line="240" w:lineRule="auto"/>
              <w:rPr>
                <w:rFonts w:eastAsia="Times New Roman" w:cs="Calibri"/>
                <w:sz w:val="22"/>
                <w:lang w:eastAsia="en-GB"/>
              </w:rPr>
            </w:pPr>
            <w:r w:rsidRPr="00E45408">
              <w:rPr>
                <w:rFonts w:eastAsia="Times New Roman" w:cs="Calibri"/>
                <w:sz w:val="22"/>
                <w:lang w:eastAsia="en-GB"/>
              </w:rPr>
              <w:t>Physical and Sensory</w:t>
            </w:r>
          </w:p>
        </w:tc>
        <w:tc>
          <w:tcPr>
            <w:tcW w:w="1422" w:type="dxa"/>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25.6%</w:t>
            </w:r>
          </w:p>
        </w:tc>
        <w:tc>
          <w:tcPr>
            <w:tcW w:w="1418" w:type="dxa"/>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74.4%</w:t>
            </w:r>
          </w:p>
        </w:tc>
        <w:tc>
          <w:tcPr>
            <w:tcW w:w="1559" w:type="dxa"/>
            <w:shd w:val="clear" w:color="auto" w:fill="auto"/>
            <w:noWrap/>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37.1%</w:t>
            </w:r>
          </w:p>
        </w:tc>
        <w:tc>
          <w:tcPr>
            <w:tcW w:w="1413" w:type="dxa"/>
            <w:shd w:val="clear" w:color="auto" w:fill="auto"/>
            <w:noWrap/>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62.9%</w:t>
            </w:r>
          </w:p>
        </w:tc>
      </w:tr>
      <w:tr w:rsidR="00BD5934" w:rsidRPr="00E45408">
        <w:trPr>
          <w:trHeight w:val="300"/>
        </w:trPr>
        <w:tc>
          <w:tcPr>
            <w:tcW w:w="3119" w:type="dxa"/>
            <w:shd w:val="clear" w:color="auto" w:fill="auto"/>
            <w:noWrap/>
            <w:vAlign w:val="bottom"/>
            <w:hideMark/>
          </w:tcPr>
          <w:p w:rsidR="00BD5934" w:rsidRPr="00E45408" w:rsidRDefault="00CF4FA7">
            <w:pPr>
              <w:spacing w:after="0" w:line="240" w:lineRule="auto"/>
              <w:rPr>
                <w:rFonts w:eastAsia="Times New Roman" w:cs="Calibri"/>
                <w:sz w:val="22"/>
                <w:lang w:eastAsia="en-GB"/>
              </w:rPr>
            </w:pPr>
            <w:r w:rsidRPr="00E45408">
              <w:rPr>
                <w:rFonts w:eastAsia="Times New Roman" w:cs="Calibri"/>
                <w:sz w:val="22"/>
                <w:lang w:eastAsia="en-GB"/>
              </w:rPr>
              <w:t xml:space="preserve">Social Emotional Wellbeing </w:t>
            </w:r>
          </w:p>
        </w:tc>
        <w:tc>
          <w:tcPr>
            <w:tcW w:w="1422" w:type="dxa"/>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22.3%</w:t>
            </w:r>
          </w:p>
        </w:tc>
        <w:tc>
          <w:tcPr>
            <w:tcW w:w="1418" w:type="dxa"/>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77.8%</w:t>
            </w:r>
          </w:p>
        </w:tc>
        <w:tc>
          <w:tcPr>
            <w:tcW w:w="1559" w:type="dxa"/>
            <w:shd w:val="clear" w:color="auto" w:fill="auto"/>
            <w:noWrap/>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30.1%</w:t>
            </w:r>
          </w:p>
        </w:tc>
        <w:tc>
          <w:tcPr>
            <w:tcW w:w="1413" w:type="dxa"/>
            <w:shd w:val="clear" w:color="auto" w:fill="auto"/>
            <w:noWrap/>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69.9%</w:t>
            </w:r>
          </w:p>
        </w:tc>
      </w:tr>
      <w:tr w:rsidR="00BD5934" w:rsidRPr="00E45408">
        <w:trPr>
          <w:trHeight w:val="300"/>
        </w:trPr>
        <w:tc>
          <w:tcPr>
            <w:tcW w:w="3119" w:type="dxa"/>
            <w:shd w:val="clear" w:color="auto" w:fill="auto"/>
            <w:noWrap/>
            <w:vAlign w:val="bottom"/>
            <w:hideMark/>
          </w:tcPr>
          <w:p w:rsidR="00BD5934" w:rsidRPr="00E45408" w:rsidRDefault="00CF4FA7">
            <w:pPr>
              <w:spacing w:after="0" w:line="240" w:lineRule="auto"/>
              <w:rPr>
                <w:rFonts w:eastAsia="Times New Roman" w:cs="Calibri"/>
                <w:sz w:val="22"/>
                <w:lang w:eastAsia="en-GB"/>
              </w:rPr>
            </w:pPr>
            <w:r w:rsidRPr="00E45408">
              <w:rPr>
                <w:rFonts w:eastAsia="Times New Roman" w:cs="Calibri"/>
                <w:sz w:val="22"/>
                <w:lang w:eastAsia="en-GB"/>
              </w:rPr>
              <w:t>Speech, Language and Communication</w:t>
            </w:r>
          </w:p>
        </w:tc>
        <w:tc>
          <w:tcPr>
            <w:tcW w:w="1422" w:type="dxa"/>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21.2%</w:t>
            </w:r>
          </w:p>
        </w:tc>
        <w:tc>
          <w:tcPr>
            <w:tcW w:w="1418" w:type="dxa"/>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78.8%</w:t>
            </w:r>
          </w:p>
        </w:tc>
        <w:tc>
          <w:tcPr>
            <w:tcW w:w="1559" w:type="dxa"/>
            <w:shd w:val="clear" w:color="auto" w:fill="auto"/>
            <w:noWrap/>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29.7%</w:t>
            </w:r>
          </w:p>
        </w:tc>
        <w:tc>
          <w:tcPr>
            <w:tcW w:w="1413" w:type="dxa"/>
            <w:shd w:val="clear" w:color="auto" w:fill="auto"/>
            <w:noWrap/>
            <w:vAlign w:val="bottom"/>
          </w:tcPr>
          <w:p w:rsidR="00BD5934" w:rsidRPr="00E45408" w:rsidRDefault="00CF4FA7">
            <w:pPr>
              <w:spacing w:after="0" w:line="240" w:lineRule="auto"/>
              <w:jc w:val="center"/>
              <w:rPr>
                <w:rFonts w:eastAsia="Times New Roman" w:cs="Calibri"/>
                <w:sz w:val="22"/>
                <w:lang w:eastAsia="en-GB"/>
              </w:rPr>
            </w:pPr>
            <w:r w:rsidRPr="00E45408">
              <w:rPr>
                <w:rFonts w:eastAsia="Times New Roman" w:cs="Calibri"/>
                <w:sz w:val="22"/>
                <w:lang w:eastAsia="en-GB"/>
              </w:rPr>
              <w:t>70.3%</w:t>
            </w:r>
          </w:p>
        </w:tc>
      </w:tr>
      <w:tr w:rsidR="00BD5934" w:rsidRPr="00E45408">
        <w:trPr>
          <w:trHeight w:val="300"/>
        </w:trPr>
        <w:tc>
          <w:tcPr>
            <w:tcW w:w="3119" w:type="dxa"/>
            <w:shd w:val="clear" w:color="auto" w:fill="auto"/>
            <w:noWrap/>
            <w:vAlign w:val="bottom"/>
            <w:hideMark/>
          </w:tcPr>
          <w:p w:rsidR="00BD5934" w:rsidRPr="00E45408" w:rsidRDefault="00CF4FA7">
            <w:pPr>
              <w:spacing w:after="0" w:line="240" w:lineRule="auto"/>
              <w:rPr>
                <w:rFonts w:eastAsia="Times New Roman" w:cs="Calibri"/>
                <w:b/>
                <w:bCs/>
                <w:sz w:val="22"/>
                <w:lang w:eastAsia="en-GB"/>
              </w:rPr>
            </w:pPr>
            <w:r w:rsidRPr="00E45408">
              <w:rPr>
                <w:rFonts w:eastAsia="Times New Roman" w:cs="Calibri"/>
                <w:b/>
                <w:bCs/>
                <w:sz w:val="22"/>
                <w:lang w:eastAsia="en-GB"/>
              </w:rPr>
              <w:t>Grand Total</w:t>
            </w:r>
          </w:p>
        </w:tc>
        <w:tc>
          <w:tcPr>
            <w:tcW w:w="1422" w:type="dxa"/>
            <w:vAlign w:val="bottom"/>
          </w:tcPr>
          <w:p w:rsidR="00BD5934" w:rsidRPr="00E45408" w:rsidRDefault="00CF4FA7">
            <w:pPr>
              <w:spacing w:after="0" w:line="240" w:lineRule="auto"/>
              <w:jc w:val="center"/>
              <w:rPr>
                <w:rFonts w:eastAsia="Times New Roman" w:cs="Calibri"/>
                <w:b/>
                <w:bCs/>
                <w:sz w:val="22"/>
                <w:lang w:eastAsia="en-GB"/>
              </w:rPr>
            </w:pPr>
            <w:r w:rsidRPr="00E45408">
              <w:rPr>
                <w:rFonts w:eastAsia="Times New Roman" w:cs="Calibri"/>
                <w:b/>
                <w:bCs/>
                <w:sz w:val="22"/>
                <w:lang w:eastAsia="en-GB"/>
              </w:rPr>
              <w:t>22.5%</w:t>
            </w:r>
          </w:p>
        </w:tc>
        <w:tc>
          <w:tcPr>
            <w:tcW w:w="1418" w:type="dxa"/>
            <w:vAlign w:val="bottom"/>
          </w:tcPr>
          <w:p w:rsidR="00BD5934" w:rsidRPr="00E45408" w:rsidRDefault="00CF4FA7">
            <w:pPr>
              <w:spacing w:after="0" w:line="240" w:lineRule="auto"/>
              <w:jc w:val="center"/>
              <w:rPr>
                <w:rFonts w:eastAsia="Times New Roman" w:cs="Calibri"/>
                <w:b/>
                <w:bCs/>
                <w:sz w:val="22"/>
                <w:lang w:eastAsia="en-GB"/>
              </w:rPr>
            </w:pPr>
            <w:r w:rsidRPr="00E45408">
              <w:rPr>
                <w:rFonts w:eastAsia="Times New Roman" w:cs="Calibri"/>
                <w:b/>
                <w:bCs/>
                <w:sz w:val="22"/>
                <w:lang w:eastAsia="en-GB"/>
              </w:rPr>
              <w:t>77.5%</w:t>
            </w:r>
          </w:p>
        </w:tc>
        <w:tc>
          <w:tcPr>
            <w:tcW w:w="1559" w:type="dxa"/>
            <w:shd w:val="clear" w:color="auto" w:fill="auto"/>
            <w:noWrap/>
            <w:vAlign w:val="bottom"/>
          </w:tcPr>
          <w:p w:rsidR="00BD5934" w:rsidRPr="00E45408" w:rsidRDefault="00CF4FA7">
            <w:pPr>
              <w:spacing w:after="0" w:line="240" w:lineRule="auto"/>
              <w:jc w:val="center"/>
              <w:rPr>
                <w:rFonts w:eastAsia="Times New Roman" w:cs="Calibri"/>
                <w:b/>
                <w:bCs/>
                <w:sz w:val="22"/>
                <w:lang w:eastAsia="en-GB"/>
              </w:rPr>
            </w:pPr>
            <w:r w:rsidRPr="00E45408">
              <w:rPr>
                <w:rFonts w:eastAsia="Times New Roman" w:cs="Calibri"/>
                <w:b/>
                <w:bCs/>
                <w:sz w:val="22"/>
                <w:lang w:eastAsia="en-GB"/>
              </w:rPr>
              <w:t>32.0%</w:t>
            </w:r>
          </w:p>
        </w:tc>
        <w:tc>
          <w:tcPr>
            <w:tcW w:w="1413" w:type="dxa"/>
            <w:shd w:val="clear" w:color="auto" w:fill="auto"/>
            <w:noWrap/>
            <w:vAlign w:val="bottom"/>
          </w:tcPr>
          <w:p w:rsidR="00BD5934" w:rsidRPr="00E45408" w:rsidRDefault="00CF4FA7">
            <w:pPr>
              <w:spacing w:after="0" w:line="240" w:lineRule="auto"/>
              <w:jc w:val="center"/>
              <w:rPr>
                <w:rFonts w:eastAsia="Times New Roman" w:cs="Calibri"/>
                <w:b/>
                <w:bCs/>
                <w:sz w:val="22"/>
                <w:lang w:eastAsia="en-GB"/>
              </w:rPr>
            </w:pPr>
            <w:r w:rsidRPr="00E45408">
              <w:rPr>
                <w:rFonts w:eastAsia="Times New Roman" w:cs="Calibri"/>
                <w:b/>
                <w:bCs/>
                <w:sz w:val="22"/>
                <w:lang w:eastAsia="en-GB"/>
              </w:rPr>
              <w:t>68.0%</w:t>
            </w:r>
          </w:p>
        </w:tc>
      </w:tr>
    </w:tbl>
    <w:p w:rsidR="00BD5934" w:rsidRDefault="00BD5934"/>
    <w:tbl>
      <w:tblPr>
        <w:tblW w:w="59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417"/>
        <w:gridCol w:w="1418"/>
      </w:tblGrid>
      <w:tr w:rsidR="00E45408" w:rsidTr="00E45408">
        <w:trPr>
          <w:trHeight w:val="261"/>
        </w:trPr>
        <w:tc>
          <w:tcPr>
            <w:tcW w:w="3119" w:type="dxa"/>
            <w:shd w:val="clear" w:color="auto" w:fill="D9D9D9" w:themeFill="background1" w:themeFillShade="D9"/>
          </w:tcPr>
          <w:p w:rsidR="00E45408" w:rsidRDefault="00E45408" w:rsidP="00B00B81">
            <w:pPr>
              <w:spacing w:after="0" w:line="240" w:lineRule="auto"/>
              <w:jc w:val="center"/>
              <w:rPr>
                <w:rFonts w:eastAsia="Times New Roman" w:cs="Calibri"/>
                <w:b/>
                <w:sz w:val="22"/>
                <w:lang w:eastAsia="en-GB"/>
              </w:rPr>
            </w:pPr>
          </w:p>
        </w:tc>
        <w:tc>
          <w:tcPr>
            <w:tcW w:w="2835" w:type="dxa"/>
            <w:gridSpan w:val="2"/>
            <w:shd w:val="clear" w:color="auto" w:fill="D9D9D9" w:themeFill="background1" w:themeFillShade="D9"/>
            <w:noWrap/>
            <w:vAlign w:val="bottom"/>
          </w:tcPr>
          <w:p w:rsidR="00E45408" w:rsidRDefault="00E45408" w:rsidP="00E45408">
            <w:pPr>
              <w:spacing w:after="0" w:line="240" w:lineRule="auto"/>
              <w:jc w:val="center"/>
              <w:rPr>
                <w:rFonts w:eastAsia="Times New Roman" w:cs="Calibri"/>
                <w:b/>
                <w:sz w:val="22"/>
                <w:lang w:eastAsia="en-GB"/>
              </w:rPr>
            </w:pPr>
            <w:r>
              <w:rPr>
                <w:rFonts w:eastAsia="Times New Roman" w:cs="Calibri"/>
                <w:b/>
                <w:sz w:val="22"/>
                <w:lang w:eastAsia="en-GB"/>
              </w:rPr>
              <w:t>Summer 2020-2021</w:t>
            </w:r>
          </w:p>
        </w:tc>
      </w:tr>
      <w:tr w:rsidR="00E45408" w:rsidTr="00E45408">
        <w:trPr>
          <w:trHeight w:val="261"/>
        </w:trPr>
        <w:tc>
          <w:tcPr>
            <w:tcW w:w="3119" w:type="dxa"/>
            <w:shd w:val="clear" w:color="auto" w:fill="D9D9D9" w:themeFill="background1" w:themeFillShade="D9"/>
          </w:tcPr>
          <w:p w:rsidR="006661FB" w:rsidRDefault="006661FB" w:rsidP="00B00B81">
            <w:pPr>
              <w:spacing w:after="0" w:line="240" w:lineRule="auto"/>
              <w:jc w:val="center"/>
              <w:rPr>
                <w:rFonts w:eastAsia="Times New Roman" w:cs="Calibri"/>
                <w:b/>
                <w:sz w:val="22"/>
                <w:lang w:eastAsia="en-GB"/>
              </w:rPr>
            </w:pPr>
          </w:p>
          <w:p w:rsidR="00E45408" w:rsidRDefault="006661FB" w:rsidP="006661FB">
            <w:pPr>
              <w:spacing w:after="0" w:line="240" w:lineRule="auto"/>
              <w:rPr>
                <w:rFonts w:eastAsia="Times New Roman" w:cs="Calibri"/>
                <w:b/>
                <w:sz w:val="22"/>
                <w:lang w:eastAsia="en-GB"/>
              </w:rPr>
            </w:pPr>
            <w:r w:rsidRPr="006661FB">
              <w:rPr>
                <w:rFonts w:eastAsia="Times New Roman" w:cs="Calibri"/>
                <w:b/>
                <w:sz w:val="22"/>
                <w:lang w:eastAsia="en-GB"/>
              </w:rPr>
              <w:t>EHCP Domains</w:t>
            </w:r>
          </w:p>
        </w:tc>
        <w:tc>
          <w:tcPr>
            <w:tcW w:w="1417" w:type="dxa"/>
            <w:shd w:val="clear" w:color="auto" w:fill="D9D9D9" w:themeFill="background1" w:themeFillShade="D9"/>
            <w:noWrap/>
            <w:vAlign w:val="bottom"/>
            <w:hideMark/>
          </w:tcPr>
          <w:p w:rsidR="00E45408" w:rsidRDefault="00E45408" w:rsidP="00B00B81">
            <w:pPr>
              <w:spacing w:after="0" w:line="240" w:lineRule="auto"/>
              <w:jc w:val="center"/>
              <w:rPr>
                <w:rFonts w:eastAsia="Times New Roman" w:cs="Calibri"/>
                <w:b/>
                <w:sz w:val="22"/>
                <w:lang w:eastAsia="en-GB"/>
              </w:rPr>
            </w:pPr>
            <w:r>
              <w:rPr>
                <w:rFonts w:eastAsia="Times New Roman" w:cs="Calibri"/>
                <w:b/>
                <w:sz w:val="22"/>
                <w:lang w:eastAsia="en-GB"/>
              </w:rPr>
              <w:t>Not On Track</w:t>
            </w:r>
          </w:p>
        </w:tc>
        <w:tc>
          <w:tcPr>
            <w:tcW w:w="1418" w:type="dxa"/>
            <w:shd w:val="clear" w:color="auto" w:fill="D9D9D9" w:themeFill="background1" w:themeFillShade="D9"/>
            <w:noWrap/>
            <w:vAlign w:val="bottom"/>
            <w:hideMark/>
          </w:tcPr>
          <w:p w:rsidR="00E45408" w:rsidRDefault="00E45408" w:rsidP="00B00B81">
            <w:pPr>
              <w:spacing w:after="0" w:line="240" w:lineRule="auto"/>
              <w:jc w:val="center"/>
              <w:rPr>
                <w:rFonts w:eastAsia="Times New Roman" w:cs="Calibri"/>
                <w:b/>
                <w:sz w:val="22"/>
                <w:lang w:eastAsia="en-GB"/>
              </w:rPr>
            </w:pPr>
            <w:r>
              <w:rPr>
                <w:rFonts w:eastAsia="Times New Roman" w:cs="Calibri"/>
                <w:b/>
                <w:sz w:val="22"/>
                <w:lang w:eastAsia="en-GB"/>
              </w:rPr>
              <w:t>On Track</w:t>
            </w:r>
          </w:p>
        </w:tc>
      </w:tr>
      <w:tr w:rsidR="00E45408" w:rsidTr="00E45408">
        <w:trPr>
          <w:trHeight w:val="261"/>
        </w:trPr>
        <w:tc>
          <w:tcPr>
            <w:tcW w:w="3119" w:type="dxa"/>
            <w:shd w:val="clear" w:color="auto" w:fill="auto"/>
            <w:vAlign w:val="bottom"/>
          </w:tcPr>
          <w:p w:rsidR="00E45408" w:rsidRPr="00E45408" w:rsidRDefault="00E45408" w:rsidP="00E45408">
            <w:pPr>
              <w:spacing w:after="0" w:line="240" w:lineRule="auto"/>
              <w:rPr>
                <w:rFonts w:eastAsia="Times New Roman" w:cs="Calibri"/>
                <w:sz w:val="22"/>
                <w:lang w:eastAsia="en-GB"/>
              </w:rPr>
            </w:pPr>
            <w:r w:rsidRPr="00E45408">
              <w:rPr>
                <w:rFonts w:eastAsia="Times New Roman" w:cs="Calibri"/>
                <w:sz w:val="22"/>
                <w:lang w:eastAsia="en-GB"/>
              </w:rPr>
              <w:t xml:space="preserve">Cognition and Learning </w:t>
            </w:r>
          </w:p>
        </w:tc>
        <w:tc>
          <w:tcPr>
            <w:tcW w:w="1417" w:type="dxa"/>
            <w:shd w:val="clear" w:color="auto" w:fill="auto"/>
            <w:noWrap/>
            <w:vAlign w:val="bottom"/>
          </w:tcPr>
          <w:p w:rsidR="00E45408" w:rsidRDefault="00E45408" w:rsidP="00E45408">
            <w:pPr>
              <w:spacing w:after="0" w:line="240" w:lineRule="auto"/>
              <w:jc w:val="center"/>
              <w:rPr>
                <w:rFonts w:eastAsia="Times New Roman" w:cs="Calibri"/>
                <w:sz w:val="22"/>
                <w:lang w:eastAsia="en-GB"/>
              </w:rPr>
            </w:pPr>
            <w:r>
              <w:rPr>
                <w:rFonts w:eastAsia="Times New Roman" w:cs="Calibri"/>
                <w:sz w:val="22"/>
                <w:lang w:eastAsia="en-GB"/>
              </w:rPr>
              <w:t>11.5%</w:t>
            </w:r>
          </w:p>
        </w:tc>
        <w:tc>
          <w:tcPr>
            <w:tcW w:w="1418" w:type="dxa"/>
            <w:shd w:val="clear" w:color="auto" w:fill="auto"/>
            <w:noWrap/>
            <w:vAlign w:val="bottom"/>
          </w:tcPr>
          <w:p w:rsidR="00E45408" w:rsidRDefault="00E45408" w:rsidP="00E45408">
            <w:pPr>
              <w:spacing w:after="0" w:line="240" w:lineRule="auto"/>
              <w:jc w:val="center"/>
              <w:rPr>
                <w:rFonts w:eastAsia="Times New Roman" w:cs="Calibri"/>
                <w:sz w:val="22"/>
                <w:lang w:eastAsia="en-GB"/>
              </w:rPr>
            </w:pPr>
            <w:r>
              <w:rPr>
                <w:rFonts w:eastAsia="Times New Roman" w:cs="Calibri"/>
                <w:sz w:val="22"/>
                <w:lang w:eastAsia="en-GB"/>
              </w:rPr>
              <w:t>88.5%</w:t>
            </w:r>
          </w:p>
        </w:tc>
      </w:tr>
      <w:tr w:rsidR="00E45408" w:rsidTr="00E45408">
        <w:trPr>
          <w:trHeight w:val="261"/>
        </w:trPr>
        <w:tc>
          <w:tcPr>
            <w:tcW w:w="3119" w:type="dxa"/>
            <w:shd w:val="clear" w:color="auto" w:fill="auto"/>
            <w:vAlign w:val="bottom"/>
          </w:tcPr>
          <w:p w:rsidR="00E45408" w:rsidRPr="00E45408" w:rsidRDefault="00E45408" w:rsidP="00E45408">
            <w:pPr>
              <w:spacing w:after="0" w:line="240" w:lineRule="auto"/>
              <w:rPr>
                <w:rFonts w:eastAsia="Times New Roman" w:cs="Calibri"/>
                <w:sz w:val="22"/>
                <w:lang w:eastAsia="en-GB"/>
              </w:rPr>
            </w:pPr>
            <w:r w:rsidRPr="00E45408">
              <w:rPr>
                <w:rFonts w:eastAsia="Times New Roman" w:cs="Calibri"/>
                <w:sz w:val="22"/>
                <w:lang w:eastAsia="en-GB"/>
              </w:rPr>
              <w:t>Independence</w:t>
            </w:r>
          </w:p>
        </w:tc>
        <w:tc>
          <w:tcPr>
            <w:tcW w:w="1417" w:type="dxa"/>
            <w:shd w:val="clear" w:color="auto" w:fill="auto"/>
            <w:noWrap/>
            <w:vAlign w:val="bottom"/>
          </w:tcPr>
          <w:p w:rsidR="00E45408" w:rsidRDefault="00E45408" w:rsidP="00E45408">
            <w:pPr>
              <w:spacing w:after="0" w:line="240" w:lineRule="auto"/>
              <w:jc w:val="center"/>
              <w:rPr>
                <w:rFonts w:eastAsia="Times New Roman" w:cs="Calibri"/>
                <w:sz w:val="22"/>
                <w:lang w:eastAsia="en-GB"/>
              </w:rPr>
            </w:pPr>
            <w:r>
              <w:rPr>
                <w:rFonts w:eastAsia="Times New Roman" w:cs="Calibri"/>
                <w:sz w:val="22"/>
                <w:lang w:eastAsia="en-GB"/>
              </w:rPr>
              <w:t>18.5%</w:t>
            </w:r>
          </w:p>
        </w:tc>
        <w:tc>
          <w:tcPr>
            <w:tcW w:w="1418" w:type="dxa"/>
            <w:shd w:val="clear" w:color="auto" w:fill="auto"/>
            <w:noWrap/>
            <w:vAlign w:val="bottom"/>
          </w:tcPr>
          <w:p w:rsidR="00E45408" w:rsidRDefault="00E45408" w:rsidP="00E45408">
            <w:pPr>
              <w:spacing w:after="0" w:line="240" w:lineRule="auto"/>
              <w:jc w:val="center"/>
              <w:rPr>
                <w:rFonts w:eastAsia="Times New Roman" w:cs="Calibri"/>
                <w:sz w:val="22"/>
                <w:lang w:eastAsia="en-GB"/>
              </w:rPr>
            </w:pPr>
            <w:r>
              <w:rPr>
                <w:rFonts w:eastAsia="Times New Roman" w:cs="Calibri"/>
                <w:sz w:val="22"/>
                <w:lang w:eastAsia="en-GB"/>
              </w:rPr>
              <w:t>81.5%</w:t>
            </w:r>
          </w:p>
        </w:tc>
      </w:tr>
      <w:tr w:rsidR="00E45408" w:rsidTr="00E45408">
        <w:trPr>
          <w:trHeight w:val="261"/>
        </w:trPr>
        <w:tc>
          <w:tcPr>
            <w:tcW w:w="3119" w:type="dxa"/>
            <w:shd w:val="clear" w:color="auto" w:fill="auto"/>
            <w:vAlign w:val="bottom"/>
          </w:tcPr>
          <w:p w:rsidR="00E45408" w:rsidRPr="00E45408" w:rsidRDefault="00E45408" w:rsidP="00E45408">
            <w:pPr>
              <w:spacing w:after="0" w:line="240" w:lineRule="auto"/>
              <w:rPr>
                <w:rFonts w:eastAsia="Times New Roman" w:cs="Calibri"/>
                <w:sz w:val="22"/>
                <w:lang w:eastAsia="en-GB"/>
              </w:rPr>
            </w:pPr>
            <w:r w:rsidRPr="00E45408">
              <w:rPr>
                <w:rFonts w:eastAsia="Times New Roman" w:cs="Calibri"/>
                <w:sz w:val="22"/>
                <w:lang w:eastAsia="en-GB"/>
              </w:rPr>
              <w:t>Physical and Sensory</w:t>
            </w:r>
          </w:p>
        </w:tc>
        <w:tc>
          <w:tcPr>
            <w:tcW w:w="1417" w:type="dxa"/>
            <w:shd w:val="clear" w:color="auto" w:fill="auto"/>
            <w:noWrap/>
            <w:vAlign w:val="bottom"/>
          </w:tcPr>
          <w:p w:rsidR="00E45408" w:rsidRDefault="006661FB" w:rsidP="00E45408">
            <w:pPr>
              <w:spacing w:after="0" w:line="240" w:lineRule="auto"/>
              <w:jc w:val="center"/>
              <w:rPr>
                <w:rFonts w:eastAsia="Times New Roman" w:cs="Calibri"/>
                <w:sz w:val="22"/>
                <w:lang w:eastAsia="en-GB"/>
              </w:rPr>
            </w:pPr>
            <w:r>
              <w:rPr>
                <w:rFonts w:eastAsia="Times New Roman" w:cs="Calibri"/>
                <w:sz w:val="22"/>
                <w:lang w:eastAsia="en-GB"/>
              </w:rPr>
              <w:t>17.9%</w:t>
            </w:r>
          </w:p>
        </w:tc>
        <w:tc>
          <w:tcPr>
            <w:tcW w:w="1418" w:type="dxa"/>
            <w:shd w:val="clear" w:color="auto" w:fill="auto"/>
            <w:noWrap/>
            <w:vAlign w:val="bottom"/>
          </w:tcPr>
          <w:p w:rsidR="00E45408" w:rsidRDefault="006661FB" w:rsidP="00E45408">
            <w:pPr>
              <w:spacing w:after="0" w:line="240" w:lineRule="auto"/>
              <w:jc w:val="center"/>
              <w:rPr>
                <w:rFonts w:eastAsia="Times New Roman" w:cs="Calibri"/>
                <w:sz w:val="22"/>
                <w:lang w:eastAsia="en-GB"/>
              </w:rPr>
            </w:pPr>
            <w:r>
              <w:rPr>
                <w:rFonts w:eastAsia="Times New Roman" w:cs="Calibri"/>
                <w:sz w:val="22"/>
                <w:lang w:eastAsia="en-GB"/>
              </w:rPr>
              <w:t>82.1%</w:t>
            </w:r>
          </w:p>
        </w:tc>
      </w:tr>
      <w:tr w:rsidR="00E45408" w:rsidTr="00E45408">
        <w:trPr>
          <w:trHeight w:val="261"/>
        </w:trPr>
        <w:tc>
          <w:tcPr>
            <w:tcW w:w="3119" w:type="dxa"/>
            <w:shd w:val="clear" w:color="auto" w:fill="auto"/>
            <w:vAlign w:val="bottom"/>
          </w:tcPr>
          <w:p w:rsidR="00E45408" w:rsidRPr="00E45408" w:rsidRDefault="00E45408" w:rsidP="00E45408">
            <w:pPr>
              <w:spacing w:after="0" w:line="240" w:lineRule="auto"/>
              <w:rPr>
                <w:rFonts w:eastAsia="Times New Roman" w:cs="Calibri"/>
                <w:sz w:val="22"/>
                <w:lang w:eastAsia="en-GB"/>
              </w:rPr>
            </w:pPr>
            <w:r w:rsidRPr="00E45408">
              <w:rPr>
                <w:rFonts w:eastAsia="Times New Roman" w:cs="Calibri"/>
                <w:sz w:val="22"/>
                <w:lang w:eastAsia="en-GB"/>
              </w:rPr>
              <w:t xml:space="preserve">Social Emotional Wellbeing </w:t>
            </w:r>
          </w:p>
        </w:tc>
        <w:tc>
          <w:tcPr>
            <w:tcW w:w="1417" w:type="dxa"/>
            <w:shd w:val="clear" w:color="auto" w:fill="auto"/>
            <w:noWrap/>
            <w:vAlign w:val="bottom"/>
          </w:tcPr>
          <w:p w:rsidR="00E45408" w:rsidRDefault="006661FB" w:rsidP="00E45408">
            <w:pPr>
              <w:spacing w:after="0" w:line="240" w:lineRule="auto"/>
              <w:jc w:val="center"/>
              <w:rPr>
                <w:rFonts w:eastAsia="Times New Roman" w:cs="Calibri"/>
                <w:sz w:val="22"/>
                <w:lang w:eastAsia="en-GB"/>
              </w:rPr>
            </w:pPr>
            <w:r>
              <w:rPr>
                <w:rFonts w:eastAsia="Times New Roman" w:cs="Calibri"/>
                <w:sz w:val="22"/>
                <w:lang w:eastAsia="en-GB"/>
              </w:rPr>
              <w:t>12.9%</w:t>
            </w:r>
          </w:p>
        </w:tc>
        <w:tc>
          <w:tcPr>
            <w:tcW w:w="1418" w:type="dxa"/>
            <w:shd w:val="clear" w:color="auto" w:fill="auto"/>
            <w:noWrap/>
            <w:vAlign w:val="bottom"/>
          </w:tcPr>
          <w:p w:rsidR="00E45408" w:rsidRDefault="006661FB" w:rsidP="00E45408">
            <w:pPr>
              <w:spacing w:after="0" w:line="240" w:lineRule="auto"/>
              <w:jc w:val="center"/>
              <w:rPr>
                <w:rFonts w:eastAsia="Times New Roman" w:cs="Calibri"/>
                <w:sz w:val="22"/>
                <w:lang w:eastAsia="en-GB"/>
              </w:rPr>
            </w:pPr>
            <w:r>
              <w:rPr>
                <w:rFonts w:eastAsia="Times New Roman" w:cs="Calibri"/>
                <w:sz w:val="22"/>
                <w:lang w:eastAsia="en-GB"/>
              </w:rPr>
              <w:t>87.1%</w:t>
            </w:r>
          </w:p>
        </w:tc>
      </w:tr>
      <w:tr w:rsidR="00E45408" w:rsidTr="00E45408">
        <w:trPr>
          <w:trHeight w:val="261"/>
        </w:trPr>
        <w:tc>
          <w:tcPr>
            <w:tcW w:w="3119" w:type="dxa"/>
            <w:shd w:val="clear" w:color="auto" w:fill="auto"/>
            <w:vAlign w:val="bottom"/>
          </w:tcPr>
          <w:p w:rsidR="00E45408" w:rsidRPr="00E45408" w:rsidRDefault="00E45408" w:rsidP="00E45408">
            <w:pPr>
              <w:spacing w:after="0" w:line="240" w:lineRule="auto"/>
              <w:rPr>
                <w:rFonts w:eastAsia="Times New Roman" w:cs="Calibri"/>
                <w:sz w:val="22"/>
                <w:lang w:eastAsia="en-GB"/>
              </w:rPr>
            </w:pPr>
            <w:r w:rsidRPr="00E45408">
              <w:rPr>
                <w:rFonts w:eastAsia="Times New Roman" w:cs="Calibri"/>
                <w:sz w:val="22"/>
                <w:lang w:eastAsia="en-GB"/>
              </w:rPr>
              <w:t>Speech, Language and Communication</w:t>
            </w:r>
          </w:p>
        </w:tc>
        <w:tc>
          <w:tcPr>
            <w:tcW w:w="1417" w:type="dxa"/>
            <w:shd w:val="clear" w:color="auto" w:fill="auto"/>
            <w:noWrap/>
            <w:vAlign w:val="bottom"/>
          </w:tcPr>
          <w:p w:rsidR="00E45408" w:rsidRDefault="006661FB" w:rsidP="00E45408">
            <w:pPr>
              <w:spacing w:after="0" w:line="240" w:lineRule="auto"/>
              <w:jc w:val="center"/>
              <w:rPr>
                <w:rFonts w:eastAsia="Times New Roman" w:cs="Calibri"/>
                <w:sz w:val="22"/>
                <w:lang w:eastAsia="en-GB"/>
              </w:rPr>
            </w:pPr>
            <w:r>
              <w:rPr>
                <w:rFonts w:eastAsia="Times New Roman" w:cs="Calibri"/>
                <w:sz w:val="22"/>
                <w:lang w:eastAsia="en-GB"/>
              </w:rPr>
              <w:t>14.4%</w:t>
            </w:r>
          </w:p>
        </w:tc>
        <w:tc>
          <w:tcPr>
            <w:tcW w:w="1418" w:type="dxa"/>
            <w:shd w:val="clear" w:color="auto" w:fill="auto"/>
            <w:noWrap/>
            <w:vAlign w:val="bottom"/>
          </w:tcPr>
          <w:p w:rsidR="00E45408" w:rsidRDefault="006661FB" w:rsidP="00E45408">
            <w:pPr>
              <w:spacing w:after="0" w:line="240" w:lineRule="auto"/>
              <w:jc w:val="center"/>
              <w:rPr>
                <w:rFonts w:eastAsia="Times New Roman" w:cs="Calibri"/>
                <w:sz w:val="22"/>
                <w:lang w:eastAsia="en-GB"/>
              </w:rPr>
            </w:pPr>
            <w:r>
              <w:rPr>
                <w:rFonts w:eastAsia="Times New Roman" w:cs="Calibri"/>
                <w:sz w:val="22"/>
                <w:lang w:eastAsia="en-GB"/>
              </w:rPr>
              <w:t>85.6%</w:t>
            </w:r>
          </w:p>
        </w:tc>
      </w:tr>
      <w:tr w:rsidR="00E45408" w:rsidTr="00E45408">
        <w:trPr>
          <w:trHeight w:val="261"/>
        </w:trPr>
        <w:tc>
          <w:tcPr>
            <w:tcW w:w="3119" w:type="dxa"/>
          </w:tcPr>
          <w:p w:rsidR="00E45408" w:rsidRDefault="00E45408" w:rsidP="00E45408">
            <w:pPr>
              <w:spacing w:after="0" w:line="240" w:lineRule="auto"/>
              <w:rPr>
                <w:rFonts w:eastAsia="Times New Roman" w:cs="Calibri"/>
                <w:b/>
                <w:bCs/>
                <w:sz w:val="22"/>
                <w:lang w:eastAsia="en-GB"/>
              </w:rPr>
            </w:pPr>
            <w:r>
              <w:rPr>
                <w:rFonts w:eastAsia="Times New Roman" w:cs="Calibri"/>
                <w:b/>
                <w:bCs/>
                <w:sz w:val="22"/>
                <w:lang w:eastAsia="en-GB"/>
              </w:rPr>
              <w:t>Grand Total</w:t>
            </w:r>
          </w:p>
        </w:tc>
        <w:tc>
          <w:tcPr>
            <w:tcW w:w="1417" w:type="dxa"/>
            <w:shd w:val="clear" w:color="auto" w:fill="auto"/>
            <w:noWrap/>
            <w:vAlign w:val="bottom"/>
          </w:tcPr>
          <w:p w:rsidR="00E45408" w:rsidRDefault="006661FB" w:rsidP="00E45408">
            <w:pPr>
              <w:spacing w:after="0" w:line="240" w:lineRule="auto"/>
              <w:jc w:val="center"/>
              <w:rPr>
                <w:rFonts w:eastAsia="Times New Roman" w:cs="Calibri"/>
                <w:b/>
                <w:bCs/>
                <w:sz w:val="22"/>
                <w:lang w:eastAsia="en-GB"/>
              </w:rPr>
            </w:pPr>
            <w:r>
              <w:rPr>
                <w:rFonts w:eastAsia="Times New Roman" w:cs="Calibri"/>
                <w:b/>
                <w:bCs/>
                <w:sz w:val="22"/>
                <w:lang w:eastAsia="en-GB"/>
              </w:rPr>
              <w:t>14.3%</w:t>
            </w:r>
          </w:p>
        </w:tc>
        <w:tc>
          <w:tcPr>
            <w:tcW w:w="1418" w:type="dxa"/>
            <w:shd w:val="clear" w:color="auto" w:fill="auto"/>
            <w:noWrap/>
            <w:vAlign w:val="bottom"/>
          </w:tcPr>
          <w:p w:rsidR="00E45408" w:rsidRDefault="006661FB" w:rsidP="00E45408">
            <w:pPr>
              <w:spacing w:after="0" w:line="240" w:lineRule="auto"/>
              <w:jc w:val="center"/>
              <w:rPr>
                <w:rFonts w:eastAsia="Times New Roman" w:cs="Calibri"/>
                <w:b/>
                <w:bCs/>
                <w:sz w:val="22"/>
                <w:lang w:eastAsia="en-GB"/>
              </w:rPr>
            </w:pPr>
            <w:r>
              <w:rPr>
                <w:rFonts w:eastAsia="Times New Roman" w:cs="Calibri"/>
                <w:b/>
                <w:bCs/>
                <w:sz w:val="22"/>
                <w:lang w:eastAsia="en-GB"/>
              </w:rPr>
              <w:t>85.7%</w:t>
            </w:r>
          </w:p>
        </w:tc>
      </w:tr>
    </w:tbl>
    <w:p w:rsidR="00E45408" w:rsidRDefault="00E45408"/>
    <w:p w:rsidR="00BD5934" w:rsidRDefault="006661FB" w:rsidP="006661FB">
      <w:pPr>
        <w:pStyle w:val="ListParagraph"/>
        <w:numPr>
          <w:ilvl w:val="0"/>
          <w:numId w:val="10"/>
        </w:numPr>
      </w:pPr>
      <w:r>
        <w:t>Steep decline</w:t>
      </w:r>
      <w:r w:rsidR="00CF4FA7">
        <w:t xml:space="preserve"> in the proportion of targets ‘not on track’, from 32.0%</w:t>
      </w:r>
      <w:r>
        <w:t xml:space="preserve"> to 14.3%</w:t>
      </w:r>
    </w:p>
    <w:p w:rsidR="00BD5934" w:rsidRDefault="00CF4FA7" w:rsidP="006661FB">
      <w:pPr>
        <w:pStyle w:val="ListParagraph"/>
        <w:numPr>
          <w:ilvl w:val="0"/>
          <w:numId w:val="10"/>
        </w:numPr>
      </w:pPr>
      <w:r>
        <w:t>The spread of targets across the 5 domains remains very similar, indicating a developing rigor to the data set as it grows over time.</w:t>
      </w:r>
    </w:p>
    <w:p w:rsidR="00BD5934" w:rsidRDefault="00CF4FA7" w:rsidP="006661FB">
      <w:pPr>
        <w:pStyle w:val="ListParagraph"/>
        <w:numPr>
          <w:ilvl w:val="0"/>
          <w:numId w:val="10"/>
        </w:numPr>
      </w:pPr>
      <w:r>
        <w:t>S</w:t>
      </w:r>
      <w:r w:rsidR="006661FB">
        <w:t>ummer</w:t>
      </w:r>
      <w:r>
        <w:t xml:space="preserve">’s best performing domain is </w:t>
      </w:r>
      <w:r w:rsidR="006661FB">
        <w:t>Cognition and Learning (marginally). Spring</w:t>
      </w:r>
      <w:r>
        <w:t>’s best performing domain was</w:t>
      </w:r>
      <w:r w:rsidR="006661FB">
        <w:t xml:space="preserve"> speech, language and communication (70.3%)</w:t>
      </w:r>
      <w:r>
        <w:t>.</w:t>
      </w:r>
    </w:p>
    <w:p w:rsidR="00BD5934" w:rsidRDefault="006661FB" w:rsidP="006661FB">
      <w:pPr>
        <w:pStyle w:val="ListParagraph"/>
        <w:numPr>
          <w:ilvl w:val="0"/>
          <w:numId w:val="10"/>
        </w:numPr>
      </w:pPr>
      <w:r>
        <w:t>Summer</w:t>
      </w:r>
      <w:r w:rsidR="00CF4FA7">
        <w:t xml:space="preserve">’s least performing domain is </w:t>
      </w:r>
      <w:r w:rsidR="002B1410">
        <w:t xml:space="preserve">Independence (81.5%), with the next least performing domain being physical and sensory. </w:t>
      </w:r>
      <w:r w:rsidR="006B65D5">
        <w:t>Spring’s least performing domain was physical and sensory</w:t>
      </w:r>
      <w:r w:rsidR="00CF4FA7">
        <w:t xml:space="preserve"> (</w:t>
      </w:r>
      <w:r w:rsidR="006B65D5">
        <w:t>62.9%).</w:t>
      </w:r>
    </w:p>
    <w:p w:rsidR="00BD5934" w:rsidRDefault="008B45F1">
      <w:r>
        <w:t>Rationale for weaker performance in independence domain:</w:t>
      </w:r>
    </w:p>
    <w:p w:rsidR="00BD5934" w:rsidRDefault="008B45F1">
      <w:pPr>
        <w:pStyle w:val="ListParagraph"/>
        <w:numPr>
          <w:ilvl w:val="0"/>
          <w:numId w:val="6"/>
        </w:numPr>
      </w:pPr>
      <w:r>
        <w:t xml:space="preserve">Although independence is </w:t>
      </w:r>
      <w:r w:rsidR="004566D1">
        <w:t>the weakest domain, it has made a big increase in number of students on track (15.95%)</w:t>
      </w:r>
    </w:p>
    <w:p w:rsidR="00D357A2" w:rsidRDefault="00D357A2">
      <w:pPr>
        <w:pStyle w:val="ListParagraph"/>
        <w:numPr>
          <w:ilvl w:val="0"/>
          <w:numId w:val="6"/>
        </w:numPr>
      </w:pPr>
      <w:r>
        <w:t>The Physical and sensory domain doesn’t have clear ove</w:t>
      </w:r>
      <w:r w:rsidR="00F63ADC">
        <w:t>rsight in terms of responsibility area, there is crossover throughout multiple bubbles.</w:t>
      </w:r>
    </w:p>
    <w:p w:rsidR="00BD5934" w:rsidRDefault="00BD5934"/>
    <w:p w:rsidR="004566D1" w:rsidRDefault="004566D1"/>
    <w:p w:rsidR="00BD5934" w:rsidRDefault="00BD5934"/>
    <w:p w:rsidR="00BD5934" w:rsidRDefault="00CF4FA7">
      <w:pPr>
        <w:rPr>
          <w:b/>
        </w:rPr>
      </w:pPr>
      <w:r>
        <w:rPr>
          <w:b/>
        </w:rPr>
        <w:t>‘Not On Track’ Breakdown</w:t>
      </w:r>
      <w:r>
        <w:br/>
      </w:r>
      <w:r>
        <w:rPr>
          <w:b/>
        </w:rPr>
        <w:t>Key</w:t>
      </w:r>
    </w:p>
    <w:tbl>
      <w:tblPr>
        <w:tblW w:w="9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64"/>
        <w:gridCol w:w="707"/>
        <w:gridCol w:w="236"/>
        <w:gridCol w:w="3752"/>
        <w:gridCol w:w="567"/>
        <w:gridCol w:w="141"/>
        <w:gridCol w:w="95"/>
      </w:tblGrid>
      <w:tr w:rsidR="00BA3BC4" w:rsidTr="00813B28">
        <w:trPr>
          <w:gridAfter w:val="1"/>
          <w:wAfter w:w="95" w:type="dxa"/>
          <w:trHeight w:val="300"/>
        </w:trPr>
        <w:tc>
          <w:tcPr>
            <w:tcW w:w="36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A3BC4" w:rsidRDefault="00BA3BC4" w:rsidP="00BA3BC4">
            <w:pPr>
              <w:rPr>
                <w:rFonts w:ascii="Calibri" w:hAnsi="Calibri" w:cs="Calibri"/>
                <w:color w:val="000000"/>
                <w:sz w:val="22"/>
              </w:rPr>
            </w:pPr>
            <w:r>
              <w:rPr>
                <w:rFonts w:ascii="Calibri" w:hAnsi="Calibri" w:cs="Calibri"/>
                <w:color w:val="000000"/>
                <w:sz w:val="22"/>
              </w:rPr>
              <w:t>1-Attendance (Non-Covid)</w:t>
            </w:r>
          </w:p>
        </w:tc>
        <w:tc>
          <w:tcPr>
            <w:tcW w:w="707" w:type="dxa"/>
            <w:tcBorders>
              <w:top w:val="single" w:sz="4" w:space="0" w:color="auto"/>
              <w:left w:val="nil"/>
              <w:bottom w:val="single" w:sz="4" w:space="0" w:color="auto"/>
              <w:right w:val="single" w:sz="4" w:space="0" w:color="auto"/>
            </w:tcBorders>
            <w:shd w:val="clear" w:color="auto" w:fill="5398EB"/>
            <w:noWrap/>
            <w:vAlign w:val="bottom"/>
          </w:tcPr>
          <w:p w:rsidR="00BA3BC4" w:rsidRDefault="00BA3BC4" w:rsidP="00BA3BC4">
            <w:pPr>
              <w:jc w:val="center"/>
              <w:rPr>
                <w:rFonts w:ascii="Calibri" w:hAnsi="Calibri" w:cs="Calibri"/>
                <w:color w:val="000000"/>
                <w:sz w:val="22"/>
              </w:rPr>
            </w:pPr>
          </w:p>
        </w:tc>
        <w:tc>
          <w:tcPr>
            <w:tcW w:w="236" w:type="dxa"/>
            <w:tcBorders>
              <w:top w:val="nil"/>
              <w:left w:val="single" w:sz="4" w:space="0" w:color="auto"/>
              <w:bottom w:val="nil"/>
              <w:right w:val="single" w:sz="4" w:space="0" w:color="auto"/>
            </w:tcBorders>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p>
        </w:tc>
        <w:tc>
          <w:tcPr>
            <w:tcW w:w="3752" w:type="dxa"/>
            <w:tcBorders>
              <w:left w:val="single" w:sz="4" w:space="0" w:color="auto"/>
            </w:tcBorders>
            <w:shd w:val="clear" w:color="auto" w:fill="auto"/>
            <w:vAlign w:val="bottom"/>
          </w:tcPr>
          <w:p w:rsidR="00BA3BC4" w:rsidRDefault="00BA3BC4" w:rsidP="00BA3BC4">
            <w:pPr>
              <w:spacing w:after="0" w:line="240" w:lineRule="auto"/>
              <w:rPr>
                <w:rFonts w:asciiTheme="minorHAnsi" w:eastAsia="Times New Roman" w:hAnsiTheme="minorHAnsi" w:cstheme="minorHAnsi"/>
                <w:sz w:val="22"/>
                <w:lang w:eastAsia="en-GB"/>
              </w:rPr>
            </w:pPr>
            <w:r>
              <w:rPr>
                <w:rFonts w:asciiTheme="minorHAnsi" w:eastAsia="Times New Roman" w:hAnsiTheme="minorHAnsi" w:cstheme="minorHAnsi"/>
                <w:sz w:val="22"/>
                <w:lang w:eastAsia="en-GB"/>
              </w:rPr>
              <w:t xml:space="preserve">Cognition and Learning </w:t>
            </w:r>
          </w:p>
        </w:tc>
        <w:tc>
          <w:tcPr>
            <w:tcW w:w="708" w:type="dxa"/>
            <w:gridSpan w:val="2"/>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r>
              <w:rPr>
                <w:rFonts w:ascii="Calibri" w:eastAsia="Times New Roman" w:hAnsi="Calibri" w:cs="Calibri"/>
                <w:color w:val="000000"/>
                <w:sz w:val="22"/>
                <w:lang w:eastAsia="en-GB"/>
              </w:rPr>
              <w:t>CL</w:t>
            </w:r>
          </w:p>
        </w:tc>
      </w:tr>
      <w:tr w:rsidR="00BA3BC4" w:rsidTr="00813B28">
        <w:trPr>
          <w:gridAfter w:val="1"/>
          <w:wAfter w:w="95" w:type="dxa"/>
          <w:trHeight w:val="300"/>
        </w:trPr>
        <w:tc>
          <w:tcPr>
            <w:tcW w:w="3664" w:type="dxa"/>
            <w:tcBorders>
              <w:top w:val="nil"/>
              <w:left w:val="single" w:sz="4" w:space="0" w:color="auto"/>
              <w:bottom w:val="single" w:sz="4" w:space="0" w:color="auto"/>
              <w:right w:val="single" w:sz="4" w:space="0" w:color="auto"/>
            </w:tcBorders>
            <w:shd w:val="clear" w:color="auto" w:fill="auto"/>
            <w:noWrap/>
            <w:vAlign w:val="bottom"/>
            <w:hideMark/>
          </w:tcPr>
          <w:p w:rsidR="00BA3BC4" w:rsidRDefault="00BA3BC4" w:rsidP="00BA3BC4">
            <w:pPr>
              <w:rPr>
                <w:rFonts w:ascii="Calibri" w:hAnsi="Calibri" w:cs="Calibri"/>
                <w:color w:val="000000"/>
                <w:sz w:val="22"/>
              </w:rPr>
            </w:pPr>
            <w:r>
              <w:rPr>
                <w:rFonts w:ascii="Calibri" w:hAnsi="Calibri" w:cs="Calibri"/>
                <w:color w:val="000000"/>
                <w:sz w:val="22"/>
              </w:rPr>
              <w:t>2-Attendance (Covid)</w:t>
            </w:r>
          </w:p>
        </w:tc>
        <w:tc>
          <w:tcPr>
            <w:tcW w:w="707" w:type="dxa"/>
            <w:tcBorders>
              <w:top w:val="nil"/>
              <w:left w:val="nil"/>
              <w:bottom w:val="single" w:sz="4" w:space="0" w:color="auto"/>
              <w:right w:val="single" w:sz="4" w:space="0" w:color="auto"/>
            </w:tcBorders>
            <w:shd w:val="clear" w:color="auto" w:fill="F79646" w:themeFill="accent6"/>
            <w:noWrap/>
            <w:vAlign w:val="bottom"/>
          </w:tcPr>
          <w:p w:rsidR="00BA3BC4" w:rsidRDefault="00BA3BC4" w:rsidP="00BA3BC4">
            <w:pPr>
              <w:jc w:val="center"/>
              <w:rPr>
                <w:rFonts w:ascii="Calibri" w:hAnsi="Calibri" w:cs="Calibri"/>
                <w:color w:val="000000"/>
                <w:sz w:val="22"/>
              </w:rPr>
            </w:pPr>
          </w:p>
        </w:tc>
        <w:tc>
          <w:tcPr>
            <w:tcW w:w="236" w:type="dxa"/>
            <w:tcBorders>
              <w:top w:val="nil"/>
              <w:left w:val="single" w:sz="4" w:space="0" w:color="auto"/>
              <w:bottom w:val="nil"/>
              <w:right w:val="single" w:sz="4" w:space="0" w:color="auto"/>
            </w:tcBorders>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p>
        </w:tc>
        <w:tc>
          <w:tcPr>
            <w:tcW w:w="3752" w:type="dxa"/>
            <w:tcBorders>
              <w:left w:val="single" w:sz="4" w:space="0" w:color="auto"/>
            </w:tcBorders>
            <w:shd w:val="clear" w:color="auto" w:fill="auto"/>
            <w:vAlign w:val="bottom"/>
          </w:tcPr>
          <w:p w:rsidR="00BA3BC4" w:rsidRDefault="00BA3BC4" w:rsidP="00BA3BC4">
            <w:pPr>
              <w:spacing w:after="0" w:line="240" w:lineRule="auto"/>
              <w:rPr>
                <w:rFonts w:asciiTheme="minorHAnsi" w:eastAsia="Times New Roman" w:hAnsiTheme="minorHAnsi" w:cstheme="minorHAnsi"/>
                <w:sz w:val="22"/>
                <w:lang w:eastAsia="en-GB"/>
              </w:rPr>
            </w:pPr>
            <w:r>
              <w:rPr>
                <w:rFonts w:asciiTheme="minorHAnsi" w:eastAsia="Times New Roman" w:hAnsiTheme="minorHAnsi" w:cstheme="minorHAnsi"/>
                <w:sz w:val="22"/>
                <w:lang w:eastAsia="en-GB"/>
              </w:rPr>
              <w:t>Social Emotional Wellbeing</w:t>
            </w:r>
          </w:p>
        </w:tc>
        <w:tc>
          <w:tcPr>
            <w:tcW w:w="708" w:type="dxa"/>
            <w:gridSpan w:val="2"/>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r>
              <w:rPr>
                <w:rFonts w:ascii="Calibri" w:eastAsia="Times New Roman" w:hAnsi="Calibri" w:cs="Calibri"/>
                <w:color w:val="000000"/>
                <w:sz w:val="22"/>
                <w:lang w:eastAsia="en-GB"/>
              </w:rPr>
              <w:t>SEW</w:t>
            </w:r>
          </w:p>
        </w:tc>
      </w:tr>
      <w:tr w:rsidR="00BA3BC4" w:rsidTr="00813B28">
        <w:trPr>
          <w:gridAfter w:val="1"/>
          <w:wAfter w:w="95" w:type="dxa"/>
          <w:trHeight w:val="300"/>
        </w:trPr>
        <w:tc>
          <w:tcPr>
            <w:tcW w:w="3664" w:type="dxa"/>
            <w:tcBorders>
              <w:top w:val="nil"/>
              <w:left w:val="single" w:sz="4" w:space="0" w:color="auto"/>
              <w:bottom w:val="single" w:sz="4" w:space="0" w:color="auto"/>
              <w:right w:val="single" w:sz="4" w:space="0" w:color="auto"/>
            </w:tcBorders>
            <w:shd w:val="clear" w:color="auto" w:fill="auto"/>
            <w:noWrap/>
            <w:vAlign w:val="bottom"/>
            <w:hideMark/>
          </w:tcPr>
          <w:p w:rsidR="00BA3BC4" w:rsidRDefault="00BA3BC4" w:rsidP="00BA3BC4">
            <w:pPr>
              <w:rPr>
                <w:rFonts w:ascii="Calibri" w:hAnsi="Calibri" w:cs="Calibri"/>
                <w:color w:val="000000"/>
                <w:sz w:val="22"/>
              </w:rPr>
            </w:pPr>
            <w:r>
              <w:rPr>
                <w:rFonts w:ascii="Calibri" w:hAnsi="Calibri" w:cs="Calibri"/>
                <w:color w:val="000000"/>
                <w:sz w:val="22"/>
              </w:rPr>
              <w:t>3-Medical (Non-Covid)</w:t>
            </w:r>
          </w:p>
        </w:tc>
        <w:tc>
          <w:tcPr>
            <w:tcW w:w="707" w:type="dxa"/>
            <w:tcBorders>
              <w:top w:val="nil"/>
              <w:left w:val="nil"/>
              <w:bottom w:val="single" w:sz="4" w:space="0" w:color="auto"/>
              <w:right w:val="single" w:sz="4" w:space="0" w:color="auto"/>
            </w:tcBorders>
            <w:shd w:val="clear" w:color="auto" w:fill="BFBFBF" w:themeFill="background1" w:themeFillShade="BF"/>
            <w:noWrap/>
            <w:vAlign w:val="bottom"/>
          </w:tcPr>
          <w:p w:rsidR="00BA3BC4" w:rsidRDefault="00BA3BC4" w:rsidP="00BA3BC4">
            <w:pPr>
              <w:jc w:val="center"/>
              <w:rPr>
                <w:rFonts w:ascii="Calibri" w:hAnsi="Calibri" w:cs="Calibri"/>
                <w:color w:val="000000"/>
                <w:sz w:val="22"/>
              </w:rPr>
            </w:pPr>
          </w:p>
        </w:tc>
        <w:tc>
          <w:tcPr>
            <w:tcW w:w="236" w:type="dxa"/>
            <w:tcBorders>
              <w:top w:val="nil"/>
              <w:left w:val="single" w:sz="4" w:space="0" w:color="auto"/>
              <w:bottom w:val="nil"/>
              <w:right w:val="single" w:sz="4" w:space="0" w:color="auto"/>
            </w:tcBorders>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p>
        </w:tc>
        <w:tc>
          <w:tcPr>
            <w:tcW w:w="3752" w:type="dxa"/>
            <w:tcBorders>
              <w:left w:val="single" w:sz="4" w:space="0" w:color="auto"/>
            </w:tcBorders>
            <w:shd w:val="clear" w:color="auto" w:fill="auto"/>
            <w:vAlign w:val="bottom"/>
          </w:tcPr>
          <w:p w:rsidR="00BA3BC4" w:rsidRDefault="00BA3BC4" w:rsidP="00BA3BC4">
            <w:pPr>
              <w:spacing w:after="0" w:line="240" w:lineRule="auto"/>
              <w:rPr>
                <w:rFonts w:asciiTheme="minorHAnsi" w:eastAsia="Times New Roman" w:hAnsiTheme="minorHAnsi" w:cstheme="minorHAnsi"/>
                <w:sz w:val="22"/>
                <w:lang w:eastAsia="en-GB"/>
              </w:rPr>
            </w:pPr>
            <w:r>
              <w:rPr>
                <w:rFonts w:asciiTheme="minorHAnsi" w:eastAsia="Times New Roman" w:hAnsiTheme="minorHAnsi" w:cstheme="minorHAnsi"/>
                <w:sz w:val="22"/>
                <w:lang w:eastAsia="en-GB"/>
              </w:rPr>
              <w:t>Independence</w:t>
            </w:r>
          </w:p>
        </w:tc>
        <w:tc>
          <w:tcPr>
            <w:tcW w:w="708" w:type="dxa"/>
            <w:gridSpan w:val="2"/>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r>
              <w:rPr>
                <w:rFonts w:ascii="Calibri" w:eastAsia="Times New Roman" w:hAnsi="Calibri" w:cs="Calibri"/>
                <w:color w:val="000000"/>
                <w:sz w:val="22"/>
                <w:lang w:eastAsia="en-GB"/>
              </w:rPr>
              <w:t>I</w:t>
            </w:r>
          </w:p>
        </w:tc>
      </w:tr>
      <w:tr w:rsidR="00BA3BC4" w:rsidTr="00813B28">
        <w:trPr>
          <w:gridAfter w:val="1"/>
          <w:wAfter w:w="95" w:type="dxa"/>
          <w:trHeight w:val="300"/>
        </w:trPr>
        <w:tc>
          <w:tcPr>
            <w:tcW w:w="3664" w:type="dxa"/>
            <w:tcBorders>
              <w:top w:val="nil"/>
              <w:left w:val="single" w:sz="4" w:space="0" w:color="auto"/>
              <w:bottom w:val="single" w:sz="4" w:space="0" w:color="auto"/>
              <w:right w:val="single" w:sz="4" w:space="0" w:color="auto"/>
            </w:tcBorders>
            <w:shd w:val="clear" w:color="auto" w:fill="auto"/>
            <w:noWrap/>
            <w:vAlign w:val="bottom"/>
            <w:hideMark/>
          </w:tcPr>
          <w:p w:rsidR="00BA3BC4" w:rsidRDefault="00BA3BC4" w:rsidP="00BA3BC4">
            <w:pPr>
              <w:rPr>
                <w:rFonts w:ascii="Calibri" w:hAnsi="Calibri" w:cs="Calibri"/>
                <w:color w:val="000000"/>
                <w:sz w:val="22"/>
              </w:rPr>
            </w:pPr>
            <w:r>
              <w:rPr>
                <w:rFonts w:ascii="Calibri" w:hAnsi="Calibri" w:cs="Calibri"/>
                <w:color w:val="000000"/>
                <w:sz w:val="22"/>
              </w:rPr>
              <w:t>4-Emotional (Non-Covid)</w:t>
            </w:r>
          </w:p>
        </w:tc>
        <w:tc>
          <w:tcPr>
            <w:tcW w:w="707" w:type="dxa"/>
            <w:tcBorders>
              <w:top w:val="nil"/>
              <w:left w:val="nil"/>
              <w:bottom w:val="single" w:sz="4" w:space="0" w:color="auto"/>
              <w:right w:val="single" w:sz="4" w:space="0" w:color="auto"/>
            </w:tcBorders>
            <w:shd w:val="clear" w:color="auto" w:fill="FFFF00"/>
            <w:noWrap/>
            <w:vAlign w:val="bottom"/>
          </w:tcPr>
          <w:p w:rsidR="00BA3BC4" w:rsidRDefault="00BA3BC4" w:rsidP="00BA3BC4">
            <w:pPr>
              <w:jc w:val="center"/>
              <w:rPr>
                <w:rFonts w:ascii="Calibri" w:hAnsi="Calibri" w:cs="Calibri"/>
                <w:color w:val="000000"/>
                <w:sz w:val="22"/>
              </w:rPr>
            </w:pPr>
          </w:p>
        </w:tc>
        <w:tc>
          <w:tcPr>
            <w:tcW w:w="236" w:type="dxa"/>
            <w:tcBorders>
              <w:top w:val="nil"/>
              <w:left w:val="single" w:sz="4" w:space="0" w:color="auto"/>
              <w:bottom w:val="nil"/>
              <w:right w:val="single" w:sz="4" w:space="0" w:color="auto"/>
            </w:tcBorders>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p>
        </w:tc>
        <w:tc>
          <w:tcPr>
            <w:tcW w:w="3752" w:type="dxa"/>
            <w:tcBorders>
              <w:left w:val="single" w:sz="4" w:space="0" w:color="auto"/>
            </w:tcBorders>
            <w:shd w:val="clear" w:color="auto" w:fill="auto"/>
            <w:vAlign w:val="bottom"/>
          </w:tcPr>
          <w:p w:rsidR="00BA3BC4" w:rsidRDefault="00BA3BC4" w:rsidP="00BA3BC4">
            <w:pPr>
              <w:spacing w:after="0" w:line="240" w:lineRule="auto"/>
              <w:rPr>
                <w:rFonts w:asciiTheme="minorHAnsi" w:eastAsia="Times New Roman" w:hAnsiTheme="minorHAnsi" w:cstheme="minorHAnsi"/>
                <w:sz w:val="22"/>
                <w:lang w:eastAsia="en-GB"/>
              </w:rPr>
            </w:pPr>
            <w:r>
              <w:rPr>
                <w:rFonts w:asciiTheme="minorHAnsi" w:eastAsia="Times New Roman" w:hAnsiTheme="minorHAnsi" w:cstheme="minorHAnsi"/>
                <w:sz w:val="22"/>
                <w:lang w:eastAsia="en-GB"/>
              </w:rPr>
              <w:t>Physical and Sensory</w:t>
            </w:r>
          </w:p>
        </w:tc>
        <w:tc>
          <w:tcPr>
            <w:tcW w:w="708" w:type="dxa"/>
            <w:gridSpan w:val="2"/>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r>
              <w:rPr>
                <w:rFonts w:ascii="Calibri" w:eastAsia="Times New Roman" w:hAnsi="Calibri" w:cs="Calibri"/>
                <w:color w:val="000000"/>
                <w:sz w:val="22"/>
                <w:lang w:eastAsia="en-GB"/>
              </w:rPr>
              <w:t>PC</w:t>
            </w:r>
          </w:p>
        </w:tc>
      </w:tr>
      <w:tr w:rsidR="00BA3BC4" w:rsidTr="00813B28">
        <w:trPr>
          <w:gridAfter w:val="1"/>
          <w:wAfter w:w="95" w:type="dxa"/>
          <w:trHeight w:val="300"/>
        </w:trPr>
        <w:tc>
          <w:tcPr>
            <w:tcW w:w="3664" w:type="dxa"/>
            <w:tcBorders>
              <w:top w:val="nil"/>
              <w:left w:val="single" w:sz="4" w:space="0" w:color="auto"/>
              <w:bottom w:val="single" w:sz="4" w:space="0" w:color="auto"/>
              <w:right w:val="single" w:sz="4" w:space="0" w:color="auto"/>
            </w:tcBorders>
            <w:shd w:val="clear" w:color="auto" w:fill="auto"/>
            <w:noWrap/>
            <w:vAlign w:val="bottom"/>
            <w:hideMark/>
          </w:tcPr>
          <w:p w:rsidR="00BA3BC4" w:rsidRDefault="00BA3BC4" w:rsidP="00BA3BC4">
            <w:pPr>
              <w:rPr>
                <w:rFonts w:ascii="Calibri" w:hAnsi="Calibri" w:cs="Calibri"/>
                <w:color w:val="000000"/>
                <w:sz w:val="22"/>
              </w:rPr>
            </w:pPr>
            <w:r>
              <w:rPr>
                <w:rFonts w:ascii="Calibri" w:hAnsi="Calibri" w:cs="Calibri"/>
                <w:color w:val="000000"/>
                <w:sz w:val="22"/>
              </w:rPr>
              <w:t>5-Emotional (Covid)</w:t>
            </w:r>
          </w:p>
        </w:tc>
        <w:tc>
          <w:tcPr>
            <w:tcW w:w="707" w:type="dxa"/>
            <w:tcBorders>
              <w:top w:val="nil"/>
              <w:left w:val="nil"/>
              <w:bottom w:val="single" w:sz="4" w:space="0" w:color="auto"/>
              <w:right w:val="single" w:sz="4" w:space="0" w:color="auto"/>
            </w:tcBorders>
            <w:shd w:val="clear" w:color="auto" w:fill="4F81BD" w:themeFill="accent1"/>
            <w:noWrap/>
            <w:vAlign w:val="bottom"/>
          </w:tcPr>
          <w:p w:rsidR="00BA3BC4" w:rsidRDefault="00BA3BC4" w:rsidP="00BA3BC4">
            <w:pPr>
              <w:jc w:val="center"/>
              <w:rPr>
                <w:rFonts w:ascii="Calibri" w:hAnsi="Calibri" w:cs="Calibri"/>
                <w:color w:val="000000"/>
                <w:sz w:val="22"/>
              </w:rPr>
            </w:pPr>
          </w:p>
        </w:tc>
        <w:tc>
          <w:tcPr>
            <w:tcW w:w="236" w:type="dxa"/>
            <w:tcBorders>
              <w:top w:val="nil"/>
              <w:left w:val="single" w:sz="4" w:space="0" w:color="auto"/>
              <w:bottom w:val="nil"/>
              <w:right w:val="single" w:sz="4" w:space="0" w:color="auto"/>
            </w:tcBorders>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p>
        </w:tc>
        <w:tc>
          <w:tcPr>
            <w:tcW w:w="3752" w:type="dxa"/>
            <w:tcBorders>
              <w:left w:val="single" w:sz="4" w:space="0" w:color="auto"/>
              <w:bottom w:val="single" w:sz="4" w:space="0" w:color="auto"/>
            </w:tcBorders>
            <w:shd w:val="clear" w:color="auto" w:fill="auto"/>
            <w:vAlign w:val="bottom"/>
          </w:tcPr>
          <w:p w:rsidR="00BA3BC4" w:rsidRDefault="00BA3BC4" w:rsidP="00BA3BC4">
            <w:pPr>
              <w:spacing w:after="0" w:line="240" w:lineRule="auto"/>
              <w:rPr>
                <w:rFonts w:asciiTheme="minorHAnsi" w:eastAsia="Times New Roman" w:hAnsiTheme="minorHAnsi" w:cstheme="minorHAnsi"/>
                <w:sz w:val="22"/>
                <w:lang w:eastAsia="en-GB"/>
              </w:rPr>
            </w:pPr>
            <w:r>
              <w:rPr>
                <w:rFonts w:asciiTheme="minorHAnsi" w:eastAsia="Times New Roman" w:hAnsiTheme="minorHAnsi" w:cstheme="minorHAnsi"/>
                <w:sz w:val="22"/>
                <w:lang w:eastAsia="en-GB"/>
              </w:rPr>
              <w:t xml:space="preserve">Speech, Language and Communication </w:t>
            </w:r>
          </w:p>
        </w:tc>
        <w:tc>
          <w:tcPr>
            <w:tcW w:w="708" w:type="dxa"/>
            <w:gridSpan w:val="2"/>
            <w:tcBorders>
              <w:bottom w:val="single" w:sz="4" w:space="0" w:color="auto"/>
            </w:tcBorders>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r>
              <w:rPr>
                <w:rFonts w:ascii="Calibri" w:eastAsia="Times New Roman" w:hAnsi="Calibri" w:cs="Calibri"/>
                <w:color w:val="000000"/>
                <w:sz w:val="22"/>
                <w:lang w:eastAsia="en-GB"/>
              </w:rPr>
              <w:t>SLC</w:t>
            </w:r>
          </w:p>
        </w:tc>
      </w:tr>
      <w:tr w:rsidR="00BA3BC4" w:rsidTr="00813B28">
        <w:trPr>
          <w:trHeight w:val="300"/>
        </w:trPr>
        <w:tc>
          <w:tcPr>
            <w:tcW w:w="3664" w:type="dxa"/>
            <w:tcBorders>
              <w:top w:val="nil"/>
              <w:left w:val="single" w:sz="4" w:space="0" w:color="auto"/>
              <w:bottom w:val="single" w:sz="4" w:space="0" w:color="auto"/>
              <w:right w:val="single" w:sz="4" w:space="0" w:color="auto"/>
            </w:tcBorders>
            <w:shd w:val="clear" w:color="auto" w:fill="auto"/>
            <w:noWrap/>
            <w:vAlign w:val="bottom"/>
            <w:hideMark/>
          </w:tcPr>
          <w:p w:rsidR="00BA3BC4" w:rsidRDefault="00BA3BC4" w:rsidP="00BA3BC4">
            <w:pPr>
              <w:rPr>
                <w:rFonts w:ascii="Calibri" w:hAnsi="Calibri" w:cs="Calibri"/>
                <w:color w:val="000000"/>
                <w:sz w:val="22"/>
              </w:rPr>
            </w:pPr>
            <w:r>
              <w:rPr>
                <w:rFonts w:ascii="Calibri" w:hAnsi="Calibri" w:cs="Calibri"/>
                <w:color w:val="000000"/>
                <w:sz w:val="22"/>
              </w:rPr>
              <w:t>6-Resources / Training</w:t>
            </w:r>
          </w:p>
        </w:tc>
        <w:tc>
          <w:tcPr>
            <w:tcW w:w="707" w:type="dxa"/>
            <w:tcBorders>
              <w:top w:val="nil"/>
              <w:left w:val="nil"/>
              <w:bottom w:val="single" w:sz="4" w:space="0" w:color="auto"/>
              <w:right w:val="single" w:sz="4" w:space="0" w:color="auto"/>
            </w:tcBorders>
            <w:shd w:val="clear" w:color="auto" w:fill="9BBB59" w:themeFill="accent3"/>
            <w:noWrap/>
            <w:vAlign w:val="bottom"/>
          </w:tcPr>
          <w:p w:rsidR="00BA3BC4" w:rsidRDefault="00BA3BC4" w:rsidP="00BA3BC4">
            <w:pPr>
              <w:jc w:val="center"/>
              <w:rPr>
                <w:rFonts w:ascii="Calibri" w:hAnsi="Calibri" w:cs="Calibri"/>
                <w:color w:val="000000"/>
                <w:sz w:val="22"/>
              </w:rPr>
            </w:pPr>
          </w:p>
        </w:tc>
        <w:tc>
          <w:tcPr>
            <w:tcW w:w="236" w:type="dxa"/>
            <w:tcBorders>
              <w:top w:val="nil"/>
              <w:left w:val="single" w:sz="4" w:space="0" w:color="auto"/>
              <w:bottom w:val="nil"/>
              <w:right w:val="nil"/>
            </w:tcBorders>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p>
        </w:tc>
        <w:tc>
          <w:tcPr>
            <w:tcW w:w="4319" w:type="dxa"/>
            <w:gridSpan w:val="2"/>
            <w:tcBorders>
              <w:top w:val="single" w:sz="4" w:space="0" w:color="auto"/>
              <w:left w:val="nil"/>
              <w:bottom w:val="nil"/>
              <w:right w:val="nil"/>
            </w:tcBorders>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p>
        </w:tc>
        <w:tc>
          <w:tcPr>
            <w:tcW w:w="236" w:type="dxa"/>
            <w:gridSpan w:val="2"/>
            <w:tcBorders>
              <w:top w:val="single" w:sz="4" w:space="0" w:color="auto"/>
              <w:left w:val="nil"/>
              <w:bottom w:val="nil"/>
              <w:right w:val="nil"/>
            </w:tcBorders>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p>
        </w:tc>
      </w:tr>
      <w:tr w:rsidR="00BA3BC4" w:rsidTr="00813B28">
        <w:trPr>
          <w:trHeight w:val="300"/>
        </w:trPr>
        <w:tc>
          <w:tcPr>
            <w:tcW w:w="3664" w:type="dxa"/>
            <w:tcBorders>
              <w:top w:val="nil"/>
              <w:left w:val="single" w:sz="4" w:space="0" w:color="auto"/>
              <w:bottom w:val="single" w:sz="4" w:space="0" w:color="auto"/>
              <w:right w:val="single" w:sz="4" w:space="0" w:color="auto"/>
            </w:tcBorders>
            <w:shd w:val="clear" w:color="auto" w:fill="auto"/>
            <w:noWrap/>
            <w:vAlign w:val="bottom"/>
            <w:hideMark/>
          </w:tcPr>
          <w:p w:rsidR="00BA3BC4" w:rsidRDefault="00BA3BC4" w:rsidP="00BA3BC4">
            <w:pPr>
              <w:rPr>
                <w:rFonts w:ascii="Calibri" w:hAnsi="Calibri" w:cs="Calibri"/>
                <w:color w:val="000000"/>
                <w:sz w:val="22"/>
              </w:rPr>
            </w:pPr>
            <w:r>
              <w:rPr>
                <w:rFonts w:ascii="Calibri" w:hAnsi="Calibri" w:cs="Calibri"/>
                <w:color w:val="000000"/>
                <w:sz w:val="22"/>
              </w:rPr>
              <w:t>7-Inappropriate Expectations</w:t>
            </w:r>
          </w:p>
        </w:tc>
        <w:tc>
          <w:tcPr>
            <w:tcW w:w="707" w:type="dxa"/>
            <w:tcBorders>
              <w:top w:val="nil"/>
              <w:left w:val="nil"/>
              <w:bottom w:val="single" w:sz="4" w:space="0" w:color="auto"/>
              <w:right w:val="single" w:sz="4" w:space="0" w:color="auto"/>
            </w:tcBorders>
            <w:shd w:val="clear" w:color="auto" w:fill="275C9D"/>
            <w:noWrap/>
            <w:vAlign w:val="bottom"/>
          </w:tcPr>
          <w:p w:rsidR="00BA3BC4" w:rsidRDefault="00BA3BC4" w:rsidP="00AB1EDD">
            <w:pPr>
              <w:jc w:val="center"/>
              <w:rPr>
                <w:rFonts w:ascii="Calibri" w:hAnsi="Calibri" w:cs="Calibri"/>
                <w:color w:val="000000"/>
                <w:sz w:val="22"/>
              </w:rPr>
            </w:pPr>
          </w:p>
        </w:tc>
        <w:tc>
          <w:tcPr>
            <w:tcW w:w="236" w:type="dxa"/>
            <w:tcBorders>
              <w:top w:val="nil"/>
              <w:left w:val="single" w:sz="4" w:space="0" w:color="auto"/>
              <w:bottom w:val="nil"/>
              <w:right w:val="nil"/>
            </w:tcBorders>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p>
        </w:tc>
        <w:tc>
          <w:tcPr>
            <w:tcW w:w="4319" w:type="dxa"/>
            <w:gridSpan w:val="2"/>
            <w:tcBorders>
              <w:top w:val="nil"/>
              <w:left w:val="nil"/>
              <w:bottom w:val="nil"/>
              <w:right w:val="nil"/>
            </w:tcBorders>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p>
        </w:tc>
        <w:tc>
          <w:tcPr>
            <w:tcW w:w="236" w:type="dxa"/>
            <w:gridSpan w:val="2"/>
            <w:tcBorders>
              <w:top w:val="nil"/>
              <w:left w:val="nil"/>
              <w:bottom w:val="nil"/>
              <w:right w:val="nil"/>
            </w:tcBorders>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p>
        </w:tc>
      </w:tr>
      <w:tr w:rsidR="00BA3BC4" w:rsidTr="00D62365">
        <w:trPr>
          <w:trHeight w:val="300"/>
        </w:trPr>
        <w:tc>
          <w:tcPr>
            <w:tcW w:w="3664" w:type="dxa"/>
            <w:tcBorders>
              <w:top w:val="nil"/>
              <w:left w:val="single" w:sz="4" w:space="0" w:color="auto"/>
              <w:bottom w:val="single" w:sz="4" w:space="0" w:color="auto"/>
              <w:right w:val="single" w:sz="4" w:space="0" w:color="auto"/>
            </w:tcBorders>
            <w:shd w:val="clear" w:color="auto" w:fill="auto"/>
            <w:noWrap/>
            <w:vAlign w:val="bottom"/>
            <w:hideMark/>
          </w:tcPr>
          <w:p w:rsidR="00BA3BC4" w:rsidRDefault="00BA3BC4" w:rsidP="00BA3BC4">
            <w:pPr>
              <w:rPr>
                <w:rFonts w:ascii="Calibri" w:hAnsi="Calibri" w:cs="Calibri"/>
                <w:color w:val="000000"/>
                <w:sz w:val="22"/>
              </w:rPr>
            </w:pPr>
            <w:r>
              <w:rPr>
                <w:rFonts w:ascii="Calibri" w:hAnsi="Calibri" w:cs="Calibri"/>
                <w:color w:val="000000"/>
                <w:sz w:val="22"/>
              </w:rPr>
              <w:t>8-Other</w:t>
            </w:r>
          </w:p>
        </w:tc>
        <w:tc>
          <w:tcPr>
            <w:tcW w:w="707" w:type="dxa"/>
            <w:tcBorders>
              <w:top w:val="nil"/>
              <w:left w:val="nil"/>
              <w:bottom w:val="single" w:sz="4" w:space="0" w:color="auto"/>
              <w:right w:val="single" w:sz="4" w:space="0" w:color="auto"/>
            </w:tcBorders>
            <w:shd w:val="clear" w:color="auto" w:fill="AD5207"/>
            <w:noWrap/>
            <w:vAlign w:val="bottom"/>
          </w:tcPr>
          <w:p w:rsidR="00BA3BC4" w:rsidRDefault="00BA3BC4" w:rsidP="00BA3BC4">
            <w:pPr>
              <w:jc w:val="center"/>
              <w:rPr>
                <w:rFonts w:ascii="Calibri" w:hAnsi="Calibri" w:cs="Calibri"/>
                <w:color w:val="000000"/>
                <w:sz w:val="22"/>
              </w:rPr>
            </w:pPr>
          </w:p>
        </w:tc>
        <w:tc>
          <w:tcPr>
            <w:tcW w:w="236" w:type="dxa"/>
            <w:tcBorders>
              <w:top w:val="nil"/>
              <w:left w:val="single" w:sz="4" w:space="0" w:color="auto"/>
              <w:bottom w:val="nil"/>
              <w:right w:val="nil"/>
            </w:tcBorders>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p>
        </w:tc>
        <w:tc>
          <w:tcPr>
            <w:tcW w:w="4319" w:type="dxa"/>
            <w:gridSpan w:val="2"/>
            <w:tcBorders>
              <w:top w:val="nil"/>
              <w:left w:val="nil"/>
              <w:bottom w:val="nil"/>
              <w:right w:val="nil"/>
            </w:tcBorders>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p>
        </w:tc>
        <w:tc>
          <w:tcPr>
            <w:tcW w:w="236" w:type="dxa"/>
            <w:gridSpan w:val="2"/>
            <w:tcBorders>
              <w:top w:val="nil"/>
              <w:left w:val="nil"/>
              <w:bottom w:val="nil"/>
              <w:right w:val="nil"/>
            </w:tcBorders>
            <w:shd w:val="clear" w:color="auto" w:fill="auto"/>
          </w:tcPr>
          <w:p w:rsidR="00BA3BC4" w:rsidRDefault="00BA3BC4" w:rsidP="00BA3BC4">
            <w:pPr>
              <w:spacing w:after="0" w:line="240" w:lineRule="auto"/>
              <w:jc w:val="right"/>
              <w:rPr>
                <w:rFonts w:ascii="Calibri" w:eastAsia="Times New Roman" w:hAnsi="Calibri" w:cs="Calibri"/>
                <w:color w:val="000000"/>
                <w:sz w:val="22"/>
                <w:lang w:eastAsia="en-GB"/>
              </w:rPr>
            </w:pPr>
          </w:p>
        </w:tc>
      </w:tr>
    </w:tbl>
    <w:p w:rsidR="00BA3BC4" w:rsidRDefault="00BA3BC4"/>
    <w:p w:rsidR="00BA3BC4" w:rsidRDefault="00BA3BC4"/>
    <w:p w:rsidR="00474CD2" w:rsidRDefault="00BA3BC4">
      <w:pPr>
        <w:rPr>
          <w:noProof/>
          <w:lang w:eastAsia="en-GB"/>
        </w:rPr>
      </w:pPr>
      <w:r>
        <w:rPr>
          <w:noProof/>
          <w:lang w:eastAsia="en-GB"/>
        </w:rPr>
        <w:drawing>
          <wp:inline distT="0" distB="0" distL="0" distR="0" wp14:anchorId="435C9E50" wp14:editId="533241FF">
            <wp:extent cx="1943100" cy="2238375"/>
            <wp:effectExtent l="0" t="0" r="0" b="952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BA3BC4">
        <w:rPr>
          <w:noProof/>
          <w:lang w:eastAsia="en-GB"/>
        </w:rPr>
        <w:t xml:space="preserve"> </w:t>
      </w:r>
      <w:r w:rsidR="00813B28">
        <w:rPr>
          <w:noProof/>
          <w:lang w:eastAsia="en-GB"/>
        </w:rPr>
        <w:drawing>
          <wp:inline distT="0" distB="0" distL="0" distR="0" wp14:anchorId="75C3D5A5" wp14:editId="03C4F8F6">
            <wp:extent cx="1781175" cy="2232025"/>
            <wp:effectExtent l="0" t="0" r="9525" b="1587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BA3BC4">
        <w:rPr>
          <w:noProof/>
          <w:lang w:eastAsia="en-GB"/>
        </w:rPr>
        <w:t xml:space="preserve"> </w:t>
      </w:r>
      <w:r>
        <w:rPr>
          <w:noProof/>
          <w:lang w:eastAsia="en-GB"/>
        </w:rPr>
        <w:drawing>
          <wp:inline distT="0" distB="0" distL="0" distR="0" wp14:anchorId="527443D5" wp14:editId="677DFFC0">
            <wp:extent cx="1866900" cy="2197100"/>
            <wp:effectExtent l="0" t="0" r="0" b="1270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Pr>
          <w:noProof/>
          <w:lang w:eastAsia="en-GB"/>
        </w:rPr>
        <w:drawing>
          <wp:inline distT="0" distB="0" distL="0" distR="0" wp14:anchorId="56679AFF" wp14:editId="5FB20E76">
            <wp:extent cx="1924050" cy="2430145"/>
            <wp:effectExtent l="0" t="0" r="0" b="825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BA3BC4">
        <w:rPr>
          <w:noProof/>
          <w:lang w:eastAsia="en-GB"/>
        </w:rPr>
        <w:t xml:space="preserve"> </w:t>
      </w:r>
      <w:r>
        <w:rPr>
          <w:noProof/>
          <w:lang w:eastAsia="en-GB"/>
        </w:rPr>
        <w:drawing>
          <wp:inline distT="0" distB="0" distL="0" distR="0" wp14:anchorId="006E0558" wp14:editId="2D481EF4">
            <wp:extent cx="1752600" cy="2417445"/>
            <wp:effectExtent l="0" t="0" r="0" b="190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BA3BC4">
        <w:rPr>
          <w:noProof/>
          <w:lang w:eastAsia="en-GB"/>
        </w:rPr>
        <w:t xml:space="preserve"> </w:t>
      </w:r>
      <w:r>
        <w:rPr>
          <w:noProof/>
          <w:lang w:eastAsia="en-GB"/>
        </w:rPr>
        <w:drawing>
          <wp:inline distT="0" distB="0" distL="0" distR="0" wp14:anchorId="5886182A" wp14:editId="4F23365B">
            <wp:extent cx="1885950" cy="2410460"/>
            <wp:effectExtent l="0" t="0" r="0" b="889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D5934" w:rsidRDefault="00CF4FA7">
      <w:pPr>
        <w:rPr>
          <w:noProof/>
          <w:lang w:eastAsia="en-GB"/>
        </w:rPr>
      </w:pPr>
      <w:r>
        <w:t xml:space="preserve">‘Attendance COVID’ is the most significant reason for underperformance, with </w:t>
      </w:r>
      <w:r w:rsidR="00474CD2">
        <w:t>over a third</w:t>
      </w:r>
      <w:r>
        <w:t xml:space="preserve"> of all ‘not on track’ targets attributed to this factor.</w:t>
      </w:r>
      <w:r w:rsidR="00474CD2">
        <w:t xml:space="preserve"> 19% of pupil’s not on track were provided with the reason ‘other’ with a large majority of this relating to lack of consistent staffing</w:t>
      </w:r>
      <w:r w:rsidR="00D01E9E">
        <w:t xml:space="preserve"> within school, as a result of C</w:t>
      </w:r>
      <w:r w:rsidR="00474CD2">
        <w:t xml:space="preserve">ovid absences. </w:t>
      </w:r>
    </w:p>
    <w:p w:rsidR="00BD5934" w:rsidRDefault="00BD5934"/>
    <w:p w:rsidR="00BD5934" w:rsidRDefault="00CF4FA7">
      <w:pPr>
        <w:rPr>
          <w:b/>
          <w:u w:val="single"/>
        </w:rPr>
      </w:pPr>
      <w:r w:rsidRPr="007659B5">
        <w:rPr>
          <w:b/>
          <w:u w:val="single"/>
        </w:rPr>
        <w:t>Section 2: Pupil Premium and LAC</w:t>
      </w:r>
    </w:p>
    <w:p w:rsidR="00BD5934" w:rsidRDefault="00CF4FA7">
      <w:pPr>
        <w:rPr>
          <w:u w:val="single"/>
        </w:rPr>
      </w:pPr>
      <w:r>
        <w:rPr>
          <w:u w:val="single"/>
        </w:rPr>
        <w:t xml:space="preserve">Pupil Premium v non-Pupil Premium  </w:t>
      </w:r>
    </w:p>
    <w:tbl>
      <w:tblPr>
        <w:tblStyle w:val="TableGrid"/>
        <w:tblW w:w="0" w:type="auto"/>
        <w:tblLook w:val="04A0" w:firstRow="1" w:lastRow="0" w:firstColumn="1" w:lastColumn="0" w:noHBand="0" w:noVBand="1"/>
      </w:tblPr>
      <w:tblGrid>
        <w:gridCol w:w="1846"/>
        <w:gridCol w:w="1523"/>
        <w:gridCol w:w="1523"/>
        <w:gridCol w:w="2062"/>
        <w:gridCol w:w="2062"/>
      </w:tblGrid>
      <w:tr w:rsidR="00BD5934">
        <w:tc>
          <w:tcPr>
            <w:tcW w:w="1846" w:type="dxa"/>
            <w:tcBorders>
              <w:top w:val="nil"/>
              <w:left w:val="nil"/>
              <w:bottom w:val="nil"/>
              <w:right w:val="single" w:sz="4" w:space="0" w:color="auto"/>
            </w:tcBorders>
            <w:shd w:val="clear" w:color="auto" w:fill="FFFFFF" w:themeFill="background1"/>
          </w:tcPr>
          <w:p w:rsidR="00BD5934" w:rsidRDefault="00BD5934">
            <w:pPr>
              <w:jc w:val="center"/>
              <w:rPr>
                <w:b/>
              </w:rPr>
            </w:pPr>
          </w:p>
        </w:tc>
        <w:tc>
          <w:tcPr>
            <w:tcW w:w="3046" w:type="dxa"/>
            <w:gridSpan w:val="2"/>
            <w:tcBorders>
              <w:left w:val="single" w:sz="4" w:space="0" w:color="auto"/>
            </w:tcBorders>
            <w:shd w:val="clear" w:color="auto" w:fill="BFBFBF" w:themeFill="background1" w:themeFillShade="BF"/>
            <w:vAlign w:val="bottom"/>
          </w:tcPr>
          <w:p w:rsidR="00BD5934" w:rsidRDefault="00CF4FA7">
            <w:pPr>
              <w:jc w:val="center"/>
              <w:rPr>
                <w:rFonts w:eastAsia="Times New Roman" w:cs="Calibri"/>
                <w:b/>
                <w:sz w:val="22"/>
                <w:lang w:eastAsia="en-GB"/>
              </w:rPr>
            </w:pPr>
            <w:r>
              <w:rPr>
                <w:rFonts w:eastAsia="Times New Roman" w:cs="Calibri"/>
                <w:b/>
                <w:sz w:val="22"/>
                <w:lang w:eastAsia="en-GB"/>
              </w:rPr>
              <w:t>Autumn 2020-2021</w:t>
            </w:r>
          </w:p>
        </w:tc>
        <w:tc>
          <w:tcPr>
            <w:tcW w:w="4124" w:type="dxa"/>
            <w:gridSpan w:val="2"/>
            <w:shd w:val="clear" w:color="auto" w:fill="BFBFBF" w:themeFill="background1" w:themeFillShade="BF"/>
            <w:vAlign w:val="bottom"/>
          </w:tcPr>
          <w:p w:rsidR="00BD5934" w:rsidRDefault="00CF4FA7">
            <w:pPr>
              <w:jc w:val="center"/>
              <w:rPr>
                <w:rFonts w:eastAsia="Times New Roman" w:cs="Calibri"/>
                <w:b/>
                <w:sz w:val="22"/>
                <w:lang w:eastAsia="en-GB"/>
              </w:rPr>
            </w:pPr>
            <w:r>
              <w:rPr>
                <w:rFonts w:eastAsia="Times New Roman" w:cs="Calibri"/>
                <w:b/>
                <w:sz w:val="22"/>
                <w:lang w:eastAsia="en-GB"/>
              </w:rPr>
              <w:t>Spring 2020-2021</w:t>
            </w:r>
          </w:p>
        </w:tc>
      </w:tr>
      <w:tr w:rsidR="00BD5934">
        <w:tc>
          <w:tcPr>
            <w:tcW w:w="1846" w:type="dxa"/>
            <w:tcBorders>
              <w:top w:val="nil"/>
              <w:left w:val="nil"/>
              <w:bottom w:val="single" w:sz="4" w:space="0" w:color="auto"/>
              <w:right w:val="single" w:sz="4" w:space="0" w:color="auto"/>
            </w:tcBorders>
            <w:shd w:val="clear" w:color="auto" w:fill="FFFFFF" w:themeFill="background1"/>
          </w:tcPr>
          <w:p w:rsidR="00BD5934" w:rsidRDefault="00BD5934">
            <w:pPr>
              <w:jc w:val="center"/>
              <w:rPr>
                <w:b/>
              </w:rPr>
            </w:pPr>
          </w:p>
        </w:tc>
        <w:tc>
          <w:tcPr>
            <w:tcW w:w="1523" w:type="dxa"/>
            <w:tcBorders>
              <w:left w:val="single" w:sz="4" w:space="0" w:color="auto"/>
            </w:tcBorders>
            <w:shd w:val="clear" w:color="auto" w:fill="BFBFBF" w:themeFill="background1" w:themeFillShade="BF"/>
          </w:tcPr>
          <w:p w:rsidR="00BD5934" w:rsidRDefault="00CF4FA7">
            <w:pPr>
              <w:jc w:val="center"/>
              <w:rPr>
                <w:b/>
              </w:rPr>
            </w:pPr>
            <w:r>
              <w:rPr>
                <w:b/>
              </w:rPr>
              <w:t>Non Pupil Premium</w:t>
            </w:r>
          </w:p>
        </w:tc>
        <w:tc>
          <w:tcPr>
            <w:tcW w:w="1523" w:type="dxa"/>
            <w:shd w:val="clear" w:color="auto" w:fill="BFBFBF" w:themeFill="background1" w:themeFillShade="BF"/>
          </w:tcPr>
          <w:p w:rsidR="00BD5934" w:rsidRDefault="00CF4FA7">
            <w:pPr>
              <w:jc w:val="center"/>
              <w:rPr>
                <w:b/>
              </w:rPr>
            </w:pPr>
            <w:r>
              <w:rPr>
                <w:b/>
              </w:rPr>
              <w:t xml:space="preserve"> Pupil Premium</w:t>
            </w:r>
          </w:p>
        </w:tc>
        <w:tc>
          <w:tcPr>
            <w:tcW w:w="2062" w:type="dxa"/>
            <w:shd w:val="clear" w:color="auto" w:fill="BFBFBF" w:themeFill="background1" w:themeFillShade="BF"/>
          </w:tcPr>
          <w:p w:rsidR="00BD5934" w:rsidRDefault="00CF4FA7">
            <w:pPr>
              <w:jc w:val="center"/>
              <w:rPr>
                <w:b/>
              </w:rPr>
            </w:pPr>
            <w:r>
              <w:rPr>
                <w:b/>
              </w:rPr>
              <w:t>Non Pupil Premium</w:t>
            </w:r>
          </w:p>
        </w:tc>
        <w:tc>
          <w:tcPr>
            <w:tcW w:w="2062" w:type="dxa"/>
            <w:shd w:val="clear" w:color="auto" w:fill="BFBFBF" w:themeFill="background1" w:themeFillShade="BF"/>
          </w:tcPr>
          <w:p w:rsidR="00BD5934" w:rsidRDefault="00CF4FA7">
            <w:pPr>
              <w:jc w:val="center"/>
              <w:rPr>
                <w:b/>
              </w:rPr>
            </w:pPr>
            <w:r>
              <w:rPr>
                <w:b/>
              </w:rPr>
              <w:t>Pupil Premium</w:t>
            </w:r>
          </w:p>
        </w:tc>
      </w:tr>
      <w:tr w:rsidR="00BD5934">
        <w:tc>
          <w:tcPr>
            <w:tcW w:w="1846" w:type="dxa"/>
            <w:tcBorders>
              <w:top w:val="single" w:sz="4" w:space="0" w:color="auto"/>
            </w:tcBorders>
          </w:tcPr>
          <w:p w:rsidR="00BD5934" w:rsidRDefault="00CF4FA7">
            <w:pPr>
              <w:jc w:val="center"/>
            </w:pPr>
            <w:r>
              <w:t>Not On Track</w:t>
            </w:r>
          </w:p>
        </w:tc>
        <w:tc>
          <w:tcPr>
            <w:tcW w:w="1523" w:type="dxa"/>
          </w:tcPr>
          <w:p w:rsidR="00BD5934" w:rsidRDefault="00CF4FA7">
            <w:pPr>
              <w:jc w:val="center"/>
            </w:pPr>
            <w:r>
              <w:t>16.9%</w:t>
            </w:r>
          </w:p>
        </w:tc>
        <w:tc>
          <w:tcPr>
            <w:tcW w:w="1523" w:type="dxa"/>
          </w:tcPr>
          <w:p w:rsidR="00BD5934" w:rsidRDefault="00CF4FA7">
            <w:pPr>
              <w:jc w:val="center"/>
            </w:pPr>
            <w:r>
              <w:t>21.6%</w:t>
            </w:r>
          </w:p>
        </w:tc>
        <w:tc>
          <w:tcPr>
            <w:tcW w:w="2062" w:type="dxa"/>
          </w:tcPr>
          <w:p w:rsidR="00BD5934" w:rsidRDefault="00CF4FA7">
            <w:pPr>
              <w:jc w:val="center"/>
            </w:pPr>
            <w:r>
              <w:t>29.9%</w:t>
            </w:r>
          </w:p>
        </w:tc>
        <w:tc>
          <w:tcPr>
            <w:tcW w:w="2062" w:type="dxa"/>
          </w:tcPr>
          <w:p w:rsidR="00BD5934" w:rsidRDefault="00CF4FA7">
            <w:pPr>
              <w:jc w:val="center"/>
            </w:pPr>
            <w:r>
              <w:t>37.4%</w:t>
            </w:r>
          </w:p>
        </w:tc>
      </w:tr>
      <w:tr w:rsidR="00BD5934">
        <w:tc>
          <w:tcPr>
            <w:tcW w:w="1846" w:type="dxa"/>
          </w:tcPr>
          <w:p w:rsidR="00BD5934" w:rsidRDefault="00CF4FA7">
            <w:pPr>
              <w:jc w:val="center"/>
            </w:pPr>
            <w:r>
              <w:t>On Track</w:t>
            </w:r>
          </w:p>
        </w:tc>
        <w:tc>
          <w:tcPr>
            <w:tcW w:w="1523" w:type="dxa"/>
          </w:tcPr>
          <w:p w:rsidR="00BD5934" w:rsidRDefault="00CF4FA7">
            <w:pPr>
              <w:jc w:val="center"/>
            </w:pPr>
            <w:r>
              <w:t>83.1%</w:t>
            </w:r>
          </w:p>
        </w:tc>
        <w:tc>
          <w:tcPr>
            <w:tcW w:w="1523" w:type="dxa"/>
          </w:tcPr>
          <w:p w:rsidR="00BD5934" w:rsidRDefault="00CF4FA7">
            <w:pPr>
              <w:jc w:val="center"/>
            </w:pPr>
            <w:r>
              <w:t>78.4%</w:t>
            </w:r>
          </w:p>
        </w:tc>
        <w:tc>
          <w:tcPr>
            <w:tcW w:w="2062" w:type="dxa"/>
          </w:tcPr>
          <w:p w:rsidR="00BD5934" w:rsidRDefault="00CF4FA7">
            <w:pPr>
              <w:jc w:val="center"/>
            </w:pPr>
            <w:r>
              <w:t>70.1%</w:t>
            </w:r>
          </w:p>
        </w:tc>
        <w:tc>
          <w:tcPr>
            <w:tcW w:w="2062" w:type="dxa"/>
          </w:tcPr>
          <w:p w:rsidR="00BD5934" w:rsidRDefault="00CF4FA7">
            <w:pPr>
              <w:jc w:val="center"/>
            </w:pPr>
            <w:r>
              <w:t>62.6%</w:t>
            </w:r>
          </w:p>
        </w:tc>
      </w:tr>
    </w:tbl>
    <w:p w:rsidR="00BD5934" w:rsidRDefault="00BD5934">
      <w:pPr>
        <w:jc w:val="center"/>
        <w:rPr>
          <w:u w:val="single"/>
        </w:rPr>
      </w:pPr>
    </w:p>
    <w:tbl>
      <w:tblPr>
        <w:tblStyle w:val="TableGrid"/>
        <w:tblW w:w="0" w:type="auto"/>
        <w:tblLook w:val="04A0" w:firstRow="1" w:lastRow="0" w:firstColumn="1" w:lastColumn="0" w:noHBand="0" w:noVBand="1"/>
      </w:tblPr>
      <w:tblGrid>
        <w:gridCol w:w="1846"/>
        <w:gridCol w:w="1523"/>
        <w:gridCol w:w="1523"/>
      </w:tblGrid>
      <w:tr w:rsidR="004E119A" w:rsidTr="00B00B81">
        <w:tc>
          <w:tcPr>
            <w:tcW w:w="1846" w:type="dxa"/>
            <w:tcBorders>
              <w:top w:val="nil"/>
              <w:left w:val="nil"/>
              <w:bottom w:val="nil"/>
              <w:right w:val="single" w:sz="4" w:space="0" w:color="auto"/>
            </w:tcBorders>
            <w:shd w:val="clear" w:color="auto" w:fill="FFFFFF" w:themeFill="background1"/>
          </w:tcPr>
          <w:p w:rsidR="004E119A" w:rsidRDefault="004E119A" w:rsidP="00B00B81">
            <w:pPr>
              <w:jc w:val="center"/>
              <w:rPr>
                <w:b/>
              </w:rPr>
            </w:pPr>
          </w:p>
        </w:tc>
        <w:tc>
          <w:tcPr>
            <w:tcW w:w="3046" w:type="dxa"/>
            <w:gridSpan w:val="2"/>
            <w:tcBorders>
              <w:left w:val="single" w:sz="4" w:space="0" w:color="auto"/>
            </w:tcBorders>
            <w:shd w:val="clear" w:color="auto" w:fill="BFBFBF" w:themeFill="background1" w:themeFillShade="BF"/>
            <w:vAlign w:val="bottom"/>
          </w:tcPr>
          <w:p w:rsidR="004E119A" w:rsidRDefault="004E119A" w:rsidP="004E119A">
            <w:pPr>
              <w:jc w:val="center"/>
              <w:rPr>
                <w:rFonts w:eastAsia="Times New Roman" w:cs="Calibri"/>
                <w:b/>
                <w:sz w:val="22"/>
                <w:lang w:eastAsia="en-GB"/>
              </w:rPr>
            </w:pPr>
            <w:r>
              <w:rPr>
                <w:rFonts w:eastAsia="Times New Roman" w:cs="Calibri"/>
                <w:b/>
                <w:sz w:val="22"/>
                <w:lang w:eastAsia="en-GB"/>
              </w:rPr>
              <w:t>Summer 2020-2021</w:t>
            </w:r>
          </w:p>
        </w:tc>
      </w:tr>
      <w:tr w:rsidR="004E119A" w:rsidTr="00B00B81">
        <w:tc>
          <w:tcPr>
            <w:tcW w:w="1846" w:type="dxa"/>
            <w:tcBorders>
              <w:top w:val="nil"/>
              <w:left w:val="nil"/>
              <w:bottom w:val="single" w:sz="4" w:space="0" w:color="auto"/>
              <w:right w:val="single" w:sz="4" w:space="0" w:color="auto"/>
            </w:tcBorders>
            <w:shd w:val="clear" w:color="auto" w:fill="FFFFFF" w:themeFill="background1"/>
          </w:tcPr>
          <w:p w:rsidR="004E119A" w:rsidRDefault="004E119A" w:rsidP="00B00B81">
            <w:pPr>
              <w:jc w:val="center"/>
              <w:rPr>
                <w:b/>
              </w:rPr>
            </w:pPr>
          </w:p>
        </w:tc>
        <w:tc>
          <w:tcPr>
            <w:tcW w:w="1523" w:type="dxa"/>
            <w:tcBorders>
              <w:left w:val="single" w:sz="4" w:space="0" w:color="auto"/>
            </w:tcBorders>
            <w:shd w:val="clear" w:color="auto" w:fill="BFBFBF" w:themeFill="background1" w:themeFillShade="BF"/>
          </w:tcPr>
          <w:p w:rsidR="004E119A" w:rsidRDefault="004E119A" w:rsidP="00B00B81">
            <w:pPr>
              <w:jc w:val="center"/>
              <w:rPr>
                <w:b/>
              </w:rPr>
            </w:pPr>
            <w:r>
              <w:rPr>
                <w:b/>
              </w:rPr>
              <w:t>Non Pupil Premium</w:t>
            </w:r>
          </w:p>
        </w:tc>
        <w:tc>
          <w:tcPr>
            <w:tcW w:w="1523" w:type="dxa"/>
            <w:shd w:val="clear" w:color="auto" w:fill="BFBFBF" w:themeFill="background1" w:themeFillShade="BF"/>
          </w:tcPr>
          <w:p w:rsidR="004E119A" w:rsidRDefault="004E119A" w:rsidP="00B00B81">
            <w:pPr>
              <w:jc w:val="center"/>
              <w:rPr>
                <w:b/>
              </w:rPr>
            </w:pPr>
            <w:r>
              <w:rPr>
                <w:b/>
              </w:rPr>
              <w:t xml:space="preserve"> Pupil Premium</w:t>
            </w:r>
          </w:p>
        </w:tc>
      </w:tr>
      <w:tr w:rsidR="004E119A" w:rsidTr="00B00B81">
        <w:tc>
          <w:tcPr>
            <w:tcW w:w="1846" w:type="dxa"/>
            <w:tcBorders>
              <w:top w:val="single" w:sz="4" w:space="0" w:color="auto"/>
            </w:tcBorders>
          </w:tcPr>
          <w:p w:rsidR="004E119A" w:rsidRDefault="004E119A" w:rsidP="00B00B81">
            <w:pPr>
              <w:jc w:val="center"/>
            </w:pPr>
            <w:r>
              <w:t>Not On Track</w:t>
            </w:r>
          </w:p>
        </w:tc>
        <w:tc>
          <w:tcPr>
            <w:tcW w:w="1523" w:type="dxa"/>
          </w:tcPr>
          <w:p w:rsidR="004E119A" w:rsidRDefault="00A84825" w:rsidP="007659B5">
            <w:pPr>
              <w:jc w:val="center"/>
            </w:pPr>
            <w:r>
              <w:t>14.</w:t>
            </w:r>
            <w:r w:rsidR="007659B5">
              <w:t>6</w:t>
            </w:r>
            <w:r w:rsidR="004E119A">
              <w:t>%</w:t>
            </w:r>
          </w:p>
        </w:tc>
        <w:tc>
          <w:tcPr>
            <w:tcW w:w="1523" w:type="dxa"/>
          </w:tcPr>
          <w:p w:rsidR="004E119A" w:rsidRDefault="007659B5" w:rsidP="007659B5">
            <w:pPr>
              <w:jc w:val="center"/>
            </w:pPr>
            <w:r>
              <w:t>15.4%</w:t>
            </w:r>
          </w:p>
        </w:tc>
      </w:tr>
      <w:tr w:rsidR="004E119A" w:rsidTr="00B00B81">
        <w:tc>
          <w:tcPr>
            <w:tcW w:w="1846" w:type="dxa"/>
          </w:tcPr>
          <w:p w:rsidR="004E119A" w:rsidRDefault="004E119A" w:rsidP="00B00B81">
            <w:pPr>
              <w:jc w:val="center"/>
            </w:pPr>
            <w:r>
              <w:t>On Track</w:t>
            </w:r>
          </w:p>
        </w:tc>
        <w:tc>
          <w:tcPr>
            <w:tcW w:w="1523" w:type="dxa"/>
          </w:tcPr>
          <w:p w:rsidR="004E119A" w:rsidRDefault="007659B5" w:rsidP="00B00B81">
            <w:pPr>
              <w:jc w:val="center"/>
            </w:pPr>
            <w:r>
              <w:t>85.4%</w:t>
            </w:r>
          </w:p>
        </w:tc>
        <w:tc>
          <w:tcPr>
            <w:tcW w:w="1523" w:type="dxa"/>
          </w:tcPr>
          <w:p w:rsidR="004E119A" w:rsidRDefault="007659B5" w:rsidP="00B00B81">
            <w:pPr>
              <w:jc w:val="center"/>
            </w:pPr>
            <w:r>
              <w:t>84.6%</w:t>
            </w:r>
          </w:p>
        </w:tc>
      </w:tr>
    </w:tbl>
    <w:p w:rsidR="004E119A" w:rsidRDefault="004E119A">
      <w:pPr>
        <w:jc w:val="center"/>
        <w:rPr>
          <w:u w:val="single"/>
        </w:rPr>
      </w:pPr>
    </w:p>
    <w:p w:rsidR="00BD5934" w:rsidRDefault="004E119A">
      <w:pPr>
        <w:rPr>
          <w:u w:val="single"/>
        </w:rPr>
      </w:pPr>
      <w:r>
        <w:rPr>
          <w:u w:val="single"/>
        </w:rPr>
        <w:t>Summer</w:t>
      </w:r>
      <w:r w:rsidR="00CF4FA7">
        <w:rPr>
          <w:u w:val="single"/>
        </w:rPr>
        <w:t xml:space="preserve"> 20/21 Domain Breakdown</w:t>
      </w:r>
    </w:p>
    <w:tbl>
      <w:tblPr>
        <w:tblStyle w:val="TableGrid"/>
        <w:tblW w:w="0" w:type="auto"/>
        <w:tblLook w:val="04A0" w:firstRow="1" w:lastRow="0" w:firstColumn="1" w:lastColumn="0" w:noHBand="0" w:noVBand="1"/>
      </w:tblPr>
      <w:tblGrid>
        <w:gridCol w:w="1972"/>
        <w:gridCol w:w="1761"/>
        <w:gridCol w:w="1761"/>
        <w:gridCol w:w="1761"/>
        <w:gridCol w:w="1761"/>
      </w:tblGrid>
      <w:tr w:rsidR="00BD5934">
        <w:tc>
          <w:tcPr>
            <w:tcW w:w="1972" w:type="dxa"/>
            <w:tcBorders>
              <w:top w:val="nil"/>
              <w:left w:val="nil"/>
              <w:bottom w:val="nil"/>
              <w:right w:val="single" w:sz="4" w:space="0" w:color="auto"/>
            </w:tcBorders>
          </w:tcPr>
          <w:p w:rsidR="00BD5934" w:rsidRDefault="00BD5934">
            <w:pPr>
              <w:jc w:val="center"/>
            </w:pPr>
          </w:p>
        </w:tc>
        <w:tc>
          <w:tcPr>
            <w:tcW w:w="3522" w:type="dxa"/>
            <w:gridSpan w:val="2"/>
            <w:tcBorders>
              <w:left w:val="single" w:sz="4" w:space="0" w:color="auto"/>
            </w:tcBorders>
            <w:shd w:val="clear" w:color="auto" w:fill="BFBFBF" w:themeFill="background1" w:themeFillShade="BF"/>
          </w:tcPr>
          <w:p w:rsidR="00BD5934" w:rsidRDefault="00CF4FA7">
            <w:pPr>
              <w:jc w:val="center"/>
              <w:rPr>
                <w:b/>
              </w:rPr>
            </w:pPr>
            <w:r>
              <w:rPr>
                <w:b/>
              </w:rPr>
              <w:t>Non Pupil Premium</w:t>
            </w:r>
          </w:p>
        </w:tc>
        <w:tc>
          <w:tcPr>
            <w:tcW w:w="3522" w:type="dxa"/>
            <w:gridSpan w:val="2"/>
            <w:shd w:val="clear" w:color="auto" w:fill="BFBFBF" w:themeFill="background1" w:themeFillShade="BF"/>
          </w:tcPr>
          <w:p w:rsidR="00BD5934" w:rsidRDefault="00CF4FA7">
            <w:pPr>
              <w:jc w:val="center"/>
              <w:rPr>
                <w:b/>
              </w:rPr>
            </w:pPr>
            <w:r>
              <w:rPr>
                <w:b/>
              </w:rPr>
              <w:t>Pupil Premium</w:t>
            </w:r>
          </w:p>
        </w:tc>
      </w:tr>
      <w:tr w:rsidR="00BD5934">
        <w:tc>
          <w:tcPr>
            <w:tcW w:w="1972" w:type="dxa"/>
            <w:tcBorders>
              <w:top w:val="nil"/>
              <w:left w:val="nil"/>
              <w:bottom w:val="single" w:sz="4" w:space="0" w:color="auto"/>
              <w:right w:val="single" w:sz="4" w:space="0" w:color="auto"/>
            </w:tcBorders>
          </w:tcPr>
          <w:p w:rsidR="00BD5934" w:rsidRDefault="00BD5934">
            <w:pPr>
              <w:jc w:val="center"/>
            </w:pPr>
          </w:p>
        </w:tc>
        <w:tc>
          <w:tcPr>
            <w:tcW w:w="1761" w:type="dxa"/>
            <w:tcBorders>
              <w:left w:val="single" w:sz="4" w:space="0" w:color="auto"/>
            </w:tcBorders>
            <w:shd w:val="clear" w:color="auto" w:fill="BFBFBF" w:themeFill="background1" w:themeFillShade="BF"/>
          </w:tcPr>
          <w:p w:rsidR="00BD5934" w:rsidRDefault="00CF4FA7">
            <w:pPr>
              <w:jc w:val="center"/>
              <w:rPr>
                <w:b/>
              </w:rPr>
            </w:pPr>
            <w:r>
              <w:rPr>
                <w:b/>
              </w:rPr>
              <w:t>On Track</w:t>
            </w:r>
          </w:p>
        </w:tc>
        <w:tc>
          <w:tcPr>
            <w:tcW w:w="1761" w:type="dxa"/>
            <w:shd w:val="clear" w:color="auto" w:fill="BFBFBF" w:themeFill="background1" w:themeFillShade="BF"/>
          </w:tcPr>
          <w:p w:rsidR="00BD5934" w:rsidRDefault="00CF4FA7">
            <w:pPr>
              <w:jc w:val="center"/>
              <w:rPr>
                <w:b/>
              </w:rPr>
            </w:pPr>
            <w:r>
              <w:rPr>
                <w:b/>
              </w:rPr>
              <w:t>Not On Track</w:t>
            </w:r>
          </w:p>
        </w:tc>
        <w:tc>
          <w:tcPr>
            <w:tcW w:w="1761" w:type="dxa"/>
            <w:shd w:val="clear" w:color="auto" w:fill="BFBFBF" w:themeFill="background1" w:themeFillShade="BF"/>
          </w:tcPr>
          <w:p w:rsidR="00BD5934" w:rsidRDefault="00CF4FA7">
            <w:pPr>
              <w:jc w:val="center"/>
              <w:rPr>
                <w:b/>
              </w:rPr>
            </w:pPr>
            <w:r>
              <w:rPr>
                <w:b/>
              </w:rPr>
              <w:t>On Track</w:t>
            </w:r>
          </w:p>
        </w:tc>
        <w:tc>
          <w:tcPr>
            <w:tcW w:w="1761" w:type="dxa"/>
            <w:shd w:val="clear" w:color="auto" w:fill="BFBFBF" w:themeFill="background1" w:themeFillShade="BF"/>
          </w:tcPr>
          <w:p w:rsidR="00BD5934" w:rsidRDefault="00CF4FA7">
            <w:pPr>
              <w:jc w:val="center"/>
              <w:rPr>
                <w:b/>
              </w:rPr>
            </w:pPr>
            <w:r>
              <w:rPr>
                <w:b/>
              </w:rPr>
              <w:t>Not On Track</w:t>
            </w:r>
          </w:p>
        </w:tc>
      </w:tr>
      <w:tr w:rsidR="00BD5934">
        <w:tc>
          <w:tcPr>
            <w:tcW w:w="1972" w:type="dxa"/>
            <w:tcBorders>
              <w:top w:val="single" w:sz="4" w:space="0" w:color="auto"/>
            </w:tcBorders>
          </w:tcPr>
          <w:p w:rsidR="00BD5934" w:rsidRDefault="00CF4FA7">
            <w:pPr>
              <w:jc w:val="center"/>
            </w:pPr>
            <w:r>
              <w:t>CL</w:t>
            </w:r>
          </w:p>
        </w:tc>
        <w:tc>
          <w:tcPr>
            <w:tcW w:w="1761" w:type="dxa"/>
          </w:tcPr>
          <w:p w:rsidR="00BD5934" w:rsidRDefault="00E16AE1">
            <w:pPr>
              <w:jc w:val="center"/>
            </w:pPr>
            <w:r>
              <w:t>89.1%</w:t>
            </w:r>
          </w:p>
        </w:tc>
        <w:tc>
          <w:tcPr>
            <w:tcW w:w="1761" w:type="dxa"/>
          </w:tcPr>
          <w:p w:rsidR="00BD5934" w:rsidRDefault="00E16AE1">
            <w:pPr>
              <w:jc w:val="center"/>
            </w:pPr>
            <w:r>
              <w:t>10.9%</w:t>
            </w:r>
          </w:p>
        </w:tc>
        <w:tc>
          <w:tcPr>
            <w:tcW w:w="1761" w:type="dxa"/>
          </w:tcPr>
          <w:p w:rsidR="00BD5934" w:rsidRDefault="00E16AE1">
            <w:pPr>
              <w:jc w:val="center"/>
            </w:pPr>
            <w:r>
              <w:t>90.2%</w:t>
            </w:r>
          </w:p>
        </w:tc>
        <w:tc>
          <w:tcPr>
            <w:tcW w:w="1761" w:type="dxa"/>
          </w:tcPr>
          <w:p w:rsidR="00BD5934" w:rsidRDefault="00E16AE1">
            <w:pPr>
              <w:jc w:val="center"/>
            </w:pPr>
            <w:r>
              <w:t>9.8%</w:t>
            </w:r>
          </w:p>
        </w:tc>
      </w:tr>
      <w:tr w:rsidR="00BD5934">
        <w:tc>
          <w:tcPr>
            <w:tcW w:w="1972" w:type="dxa"/>
          </w:tcPr>
          <w:p w:rsidR="00BD5934" w:rsidRDefault="00CF4FA7">
            <w:pPr>
              <w:jc w:val="center"/>
            </w:pPr>
            <w:r>
              <w:t>I</w:t>
            </w:r>
          </w:p>
        </w:tc>
        <w:tc>
          <w:tcPr>
            <w:tcW w:w="1761" w:type="dxa"/>
          </w:tcPr>
          <w:p w:rsidR="00BD5934" w:rsidRDefault="00E16AE1" w:rsidP="00F96941">
            <w:pPr>
              <w:jc w:val="center"/>
            </w:pPr>
            <w:r>
              <w:t>75.9%</w:t>
            </w:r>
          </w:p>
        </w:tc>
        <w:tc>
          <w:tcPr>
            <w:tcW w:w="1761" w:type="dxa"/>
          </w:tcPr>
          <w:p w:rsidR="00BD5934" w:rsidRDefault="00E16AE1" w:rsidP="00F96941">
            <w:pPr>
              <w:jc w:val="center"/>
            </w:pPr>
            <w:r>
              <w:t>24.1%</w:t>
            </w:r>
          </w:p>
        </w:tc>
        <w:tc>
          <w:tcPr>
            <w:tcW w:w="1761" w:type="dxa"/>
          </w:tcPr>
          <w:p w:rsidR="00BD5934" w:rsidRDefault="00E16AE1">
            <w:pPr>
              <w:jc w:val="center"/>
            </w:pPr>
            <w:r>
              <w:t>84%</w:t>
            </w:r>
          </w:p>
        </w:tc>
        <w:tc>
          <w:tcPr>
            <w:tcW w:w="1761" w:type="dxa"/>
          </w:tcPr>
          <w:p w:rsidR="00BD5934" w:rsidRDefault="00E16AE1">
            <w:pPr>
              <w:jc w:val="center"/>
            </w:pPr>
            <w:r>
              <w:t>16%</w:t>
            </w:r>
          </w:p>
        </w:tc>
      </w:tr>
      <w:tr w:rsidR="00BD5934">
        <w:tc>
          <w:tcPr>
            <w:tcW w:w="1972" w:type="dxa"/>
          </w:tcPr>
          <w:p w:rsidR="00BD5934" w:rsidRDefault="00CF4FA7">
            <w:pPr>
              <w:jc w:val="center"/>
            </w:pPr>
            <w:r>
              <w:t>PS</w:t>
            </w:r>
          </w:p>
        </w:tc>
        <w:tc>
          <w:tcPr>
            <w:tcW w:w="1761" w:type="dxa"/>
          </w:tcPr>
          <w:p w:rsidR="00BD5934" w:rsidRDefault="00E16AE1">
            <w:pPr>
              <w:jc w:val="center"/>
            </w:pPr>
            <w:r>
              <w:t>92.9%</w:t>
            </w:r>
          </w:p>
        </w:tc>
        <w:tc>
          <w:tcPr>
            <w:tcW w:w="1761" w:type="dxa"/>
          </w:tcPr>
          <w:p w:rsidR="00BD5934" w:rsidRDefault="00E16AE1">
            <w:pPr>
              <w:jc w:val="center"/>
            </w:pPr>
            <w:r>
              <w:t>7.1%</w:t>
            </w:r>
          </w:p>
        </w:tc>
        <w:tc>
          <w:tcPr>
            <w:tcW w:w="1761" w:type="dxa"/>
          </w:tcPr>
          <w:p w:rsidR="00BD5934" w:rsidRDefault="00E16AE1">
            <w:pPr>
              <w:jc w:val="center"/>
            </w:pPr>
            <w:r>
              <w:t>82.6%</w:t>
            </w:r>
          </w:p>
        </w:tc>
        <w:tc>
          <w:tcPr>
            <w:tcW w:w="1761" w:type="dxa"/>
          </w:tcPr>
          <w:p w:rsidR="00BD5934" w:rsidRDefault="00E16AE1">
            <w:pPr>
              <w:jc w:val="center"/>
            </w:pPr>
            <w:r>
              <w:t>17.4%</w:t>
            </w:r>
          </w:p>
        </w:tc>
      </w:tr>
      <w:tr w:rsidR="00BD5934">
        <w:tc>
          <w:tcPr>
            <w:tcW w:w="1972" w:type="dxa"/>
          </w:tcPr>
          <w:p w:rsidR="00BD5934" w:rsidRDefault="00CF4FA7">
            <w:pPr>
              <w:jc w:val="center"/>
            </w:pPr>
            <w:r>
              <w:t>SEW</w:t>
            </w:r>
          </w:p>
        </w:tc>
        <w:tc>
          <w:tcPr>
            <w:tcW w:w="1761" w:type="dxa"/>
          </w:tcPr>
          <w:p w:rsidR="00BD5934" w:rsidRDefault="00E16AE1">
            <w:pPr>
              <w:jc w:val="center"/>
            </w:pPr>
            <w:r>
              <w:t>88.7%</w:t>
            </w:r>
          </w:p>
        </w:tc>
        <w:tc>
          <w:tcPr>
            <w:tcW w:w="1761" w:type="dxa"/>
          </w:tcPr>
          <w:p w:rsidR="00BD5934" w:rsidRDefault="00E16AE1">
            <w:pPr>
              <w:jc w:val="center"/>
            </w:pPr>
            <w:r>
              <w:t>11.3%</w:t>
            </w:r>
          </w:p>
        </w:tc>
        <w:tc>
          <w:tcPr>
            <w:tcW w:w="1761" w:type="dxa"/>
          </w:tcPr>
          <w:p w:rsidR="00BD5934" w:rsidRDefault="00E16AE1">
            <w:pPr>
              <w:jc w:val="center"/>
            </w:pPr>
            <w:r>
              <w:t>84.8%</w:t>
            </w:r>
          </w:p>
        </w:tc>
        <w:tc>
          <w:tcPr>
            <w:tcW w:w="1761" w:type="dxa"/>
          </w:tcPr>
          <w:p w:rsidR="00BD5934" w:rsidRDefault="00E16AE1">
            <w:pPr>
              <w:jc w:val="center"/>
            </w:pPr>
            <w:r>
              <w:t>15.2%</w:t>
            </w:r>
          </w:p>
        </w:tc>
      </w:tr>
      <w:tr w:rsidR="00BD5934">
        <w:tc>
          <w:tcPr>
            <w:tcW w:w="1972" w:type="dxa"/>
          </w:tcPr>
          <w:p w:rsidR="00BD5934" w:rsidRDefault="00CF4FA7">
            <w:pPr>
              <w:jc w:val="center"/>
            </w:pPr>
            <w:r>
              <w:t>SLC</w:t>
            </w:r>
          </w:p>
        </w:tc>
        <w:tc>
          <w:tcPr>
            <w:tcW w:w="1761" w:type="dxa"/>
          </w:tcPr>
          <w:p w:rsidR="00BD5934" w:rsidRDefault="00E16AE1">
            <w:pPr>
              <w:jc w:val="center"/>
            </w:pPr>
            <w:r>
              <w:t>78.6%</w:t>
            </w:r>
          </w:p>
        </w:tc>
        <w:tc>
          <w:tcPr>
            <w:tcW w:w="1761" w:type="dxa"/>
          </w:tcPr>
          <w:p w:rsidR="00BD5934" w:rsidRDefault="00E16AE1">
            <w:pPr>
              <w:jc w:val="center"/>
            </w:pPr>
            <w:r>
              <w:t>21.4%</w:t>
            </w:r>
          </w:p>
        </w:tc>
        <w:tc>
          <w:tcPr>
            <w:tcW w:w="1761" w:type="dxa"/>
          </w:tcPr>
          <w:p w:rsidR="00BD5934" w:rsidRDefault="00E16AE1">
            <w:pPr>
              <w:jc w:val="center"/>
            </w:pPr>
            <w:r>
              <w:t>84.6%</w:t>
            </w:r>
          </w:p>
        </w:tc>
        <w:tc>
          <w:tcPr>
            <w:tcW w:w="1761" w:type="dxa"/>
          </w:tcPr>
          <w:p w:rsidR="00BD5934" w:rsidRDefault="00E16AE1">
            <w:pPr>
              <w:jc w:val="center"/>
            </w:pPr>
            <w:r>
              <w:t>15.4%</w:t>
            </w:r>
          </w:p>
        </w:tc>
      </w:tr>
    </w:tbl>
    <w:p w:rsidR="00BD5934" w:rsidRDefault="00BD5934"/>
    <w:p w:rsidR="00BD5934" w:rsidRDefault="00CF4FA7">
      <w:r>
        <w:t xml:space="preserve">In Autumn, the </w:t>
      </w:r>
      <w:r w:rsidR="005011D2">
        <w:t xml:space="preserve">difference in </w:t>
      </w:r>
      <w:r>
        <w:t>attainment gap between the two cohorts was 4.7 %, in favour of non-Pupil Premium</w:t>
      </w:r>
      <w:r w:rsidR="005011D2">
        <w:t>, this</w:t>
      </w:r>
      <w:r>
        <w:t xml:space="preserve"> increase</w:t>
      </w:r>
      <w:r w:rsidR="005011D2">
        <w:t>d</w:t>
      </w:r>
      <w:r>
        <w:t xml:space="preserve"> to 7.5 % </w:t>
      </w:r>
      <w:r w:rsidR="005011D2">
        <w:t>in Spring</w:t>
      </w:r>
      <w:r>
        <w:t xml:space="preserve">. </w:t>
      </w:r>
      <w:r w:rsidR="005011D2">
        <w:t xml:space="preserve">In the summer term the difference in attainment gap is </w:t>
      </w:r>
      <w:r w:rsidR="00E16AE1">
        <w:t xml:space="preserve">less than 1%. </w:t>
      </w:r>
    </w:p>
    <w:p w:rsidR="005011D2" w:rsidRDefault="005011D2">
      <w:r>
        <w:t xml:space="preserve">This demonstrates the positive impact that pupil premium spend has had on </w:t>
      </w:r>
      <w:r w:rsidR="00E16AE1">
        <w:t>closing the gap</w:t>
      </w:r>
      <w:r>
        <w:t>. There is</w:t>
      </w:r>
      <w:r w:rsidR="00E16AE1">
        <w:t xml:space="preserve"> a</w:t>
      </w:r>
      <w:r>
        <w:t xml:space="preserve"> correlation between the reduction in absences – </w:t>
      </w:r>
      <w:r w:rsidR="00E10298">
        <w:t>C</w:t>
      </w:r>
      <w:r>
        <w:t>ovid related</w:t>
      </w:r>
      <w:r w:rsidR="00E16AE1">
        <w:t xml:space="preserve"> and the reduced attainment gap between pupil premium and non-pupil premium students. This supports the evidence collection and rationale </w:t>
      </w:r>
      <w:r w:rsidR="00160E36">
        <w:t>in the</w:t>
      </w:r>
      <w:r w:rsidR="00E16AE1">
        <w:t xml:space="preserve"> </w:t>
      </w:r>
      <w:r w:rsidR="00160E36">
        <w:t>Autumn and Spring’s</w:t>
      </w:r>
      <w:r w:rsidR="00E16AE1">
        <w:t xml:space="preserve"> data drop</w:t>
      </w:r>
      <w:r w:rsidR="00160E36">
        <w:t xml:space="preserve">, stating the negative impact of </w:t>
      </w:r>
      <w:r w:rsidR="00C84F5C">
        <w:t>C</w:t>
      </w:r>
      <w:r w:rsidR="00160E36">
        <w:t xml:space="preserve">ovid related absences on pupil premium students. </w:t>
      </w:r>
    </w:p>
    <w:p w:rsidR="00160E36" w:rsidRDefault="00160E36">
      <w:pPr>
        <w:rPr>
          <w:u w:val="single"/>
        </w:rPr>
      </w:pPr>
    </w:p>
    <w:p w:rsidR="00BD5934" w:rsidRDefault="00CF4FA7">
      <w:pPr>
        <w:rPr>
          <w:u w:val="single"/>
        </w:rPr>
      </w:pPr>
      <w:r>
        <w:rPr>
          <w:u w:val="single"/>
        </w:rPr>
        <w:t>LAC Students v non-LAC</w:t>
      </w:r>
    </w:p>
    <w:tbl>
      <w:tblPr>
        <w:tblW w:w="9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074"/>
        <w:gridCol w:w="2410"/>
        <w:gridCol w:w="1843"/>
        <w:gridCol w:w="1984"/>
      </w:tblGrid>
      <w:tr w:rsidR="00BD5934">
        <w:trPr>
          <w:trHeight w:val="283"/>
        </w:trPr>
        <w:tc>
          <w:tcPr>
            <w:tcW w:w="1838" w:type="dxa"/>
            <w:shd w:val="clear" w:color="auto" w:fill="D9D9D9" w:themeFill="background1" w:themeFillShade="D9"/>
            <w:noWrap/>
            <w:vAlign w:val="bottom"/>
            <w:hideMark/>
          </w:tcPr>
          <w:p w:rsidR="00BD5934" w:rsidRDefault="00BD5934">
            <w:pPr>
              <w:spacing w:after="0" w:line="240" w:lineRule="auto"/>
              <w:rPr>
                <w:rFonts w:eastAsia="Times New Roman" w:cs="Calibri"/>
                <w:b/>
                <w:sz w:val="22"/>
                <w:lang w:eastAsia="en-GB"/>
              </w:rPr>
            </w:pPr>
          </w:p>
        </w:tc>
        <w:tc>
          <w:tcPr>
            <w:tcW w:w="1074" w:type="dxa"/>
            <w:shd w:val="clear" w:color="auto" w:fill="D9D9D9" w:themeFill="background1" w:themeFillShade="D9"/>
          </w:tcPr>
          <w:p w:rsidR="00BD5934" w:rsidRDefault="00CF4FA7">
            <w:pPr>
              <w:spacing w:after="0" w:line="240" w:lineRule="auto"/>
              <w:jc w:val="center"/>
              <w:rPr>
                <w:rFonts w:eastAsia="Times New Roman" w:cs="Calibri"/>
                <w:b/>
                <w:sz w:val="22"/>
                <w:lang w:eastAsia="en-GB"/>
              </w:rPr>
            </w:pPr>
            <w:r>
              <w:rPr>
                <w:rFonts w:eastAsia="Times New Roman" w:cs="Calibri"/>
                <w:b/>
                <w:sz w:val="22"/>
                <w:lang w:eastAsia="en-GB"/>
              </w:rPr>
              <w:t>Number</w:t>
            </w:r>
          </w:p>
        </w:tc>
        <w:tc>
          <w:tcPr>
            <w:tcW w:w="2410" w:type="dxa"/>
            <w:shd w:val="clear" w:color="auto" w:fill="D9D9D9" w:themeFill="background1" w:themeFillShade="D9"/>
            <w:noWrap/>
            <w:vAlign w:val="bottom"/>
            <w:hideMark/>
          </w:tcPr>
          <w:p w:rsidR="00BD5934" w:rsidRDefault="00CF4FA7">
            <w:pPr>
              <w:spacing w:after="0" w:line="240" w:lineRule="auto"/>
              <w:jc w:val="center"/>
              <w:rPr>
                <w:rFonts w:eastAsia="Times New Roman" w:cs="Calibri"/>
                <w:b/>
                <w:sz w:val="22"/>
                <w:lang w:eastAsia="en-GB"/>
              </w:rPr>
            </w:pPr>
            <w:r>
              <w:rPr>
                <w:rFonts w:eastAsia="Times New Roman" w:cs="Calibri"/>
                <w:b/>
                <w:sz w:val="22"/>
                <w:lang w:eastAsia="en-GB"/>
              </w:rPr>
              <w:t>Not on T</w:t>
            </w:r>
            <w:r>
              <w:rPr>
                <w:b/>
                <w:sz w:val="22"/>
              </w:rPr>
              <w:t>rack</w:t>
            </w:r>
          </w:p>
        </w:tc>
        <w:tc>
          <w:tcPr>
            <w:tcW w:w="1843" w:type="dxa"/>
            <w:shd w:val="clear" w:color="auto" w:fill="D9D9D9" w:themeFill="background1" w:themeFillShade="D9"/>
            <w:noWrap/>
            <w:vAlign w:val="bottom"/>
            <w:hideMark/>
          </w:tcPr>
          <w:p w:rsidR="00BD5934" w:rsidRDefault="00CF4FA7">
            <w:pPr>
              <w:spacing w:after="0" w:line="240" w:lineRule="auto"/>
              <w:jc w:val="center"/>
              <w:rPr>
                <w:rFonts w:eastAsia="Times New Roman" w:cs="Calibri"/>
                <w:b/>
                <w:sz w:val="22"/>
                <w:lang w:eastAsia="en-GB"/>
              </w:rPr>
            </w:pPr>
            <w:r>
              <w:rPr>
                <w:rFonts w:eastAsia="Times New Roman" w:cs="Calibri"/>
                <w:b/>
                <w:sz w:val="22"/>
                <w:lang w:eastAsia="en-GB"/>
              </w:rPr>
              <w:t>On T</w:t>
            </w:r>
            <w:r>
              <w:rPr>
                <w:b/>
                <w:sz w:val="22"/>
              </w:rPr>
              <w:t>rack</w:t>
            </w:r>
          </w:p>
        </w:tc>
        <w:tc>
          <w:tcPr>
            <w:tcW w:w="1984" w:type="dxa"/>
            <w:shd w:val="clear" w:color="auto" w:fill="D9D9D9" w:themeFill="background1" w:themeFillShade="D9"/>
            <w:noWrap/>
            <w:vAlign w:val="bottom"/>
            <w:hideMark/>
          </w:tcPr>
          <w:p w:rsidR="00BD5934" w:rsidRDefault="00CF4FA7">
            <w:pPr>
              <w:spacing w:after="0" w:line="240" w:lineRule="auto"/>
              <w:jc w:val="center"/>
              <w:rPr>
                <w:rFonts w:eastAsia="Times New Roman" w:cs="Calibri"/>
                <w:b/>
                <w:sz w:val="22"/>
                <w:lang w:eastAsia="en-GB"/>
              </w:rPr>
            </w:pPr>
            <w:r>
              <w:rPr>
                <w:rFonts w:eastAsia="Times New Roman" w:cs="Calibri"/>
                <w:b/>
                <w:sz w:val="22"/>
                <w:lang w:eastAsia="en-GB"/>
              </w:rPr>
              <w:t>Grand Total</w:t>
            </w:r>
          </w:p>
        </w:tc>
      </w:tr>
      <w:tr w:rsidR="00BD5934">
        <w:trPr>
          <w:trHeight w:val="283"/>
        </w:trPr>
        <w:tc>
          <w:tcPr>
            <w:tcW w:w="1838" w:type="dxa"/>
            <w:shd w:val="clear" w:color="auto" w:fill="auto"/>
            <w:noWrap/>
            <w:vAlign w:val="bottom"/>
            <w:hideMark/>
          </w:tcPr>
          <w:p w:rsidR="00BD5934" w:rsidRDefault="00CF4FA7">
            <w:pPr>
              <w:spacing w:after="0" w:line="240" w:lineRule="auto"/>
              <w:rPr>
                <w:rFonts w:eastAsia="Times New Roman" w:cs="Calibri"/>
                <w:sz w:val="22"/>
                <w:lang w:eastAsia="en-GB"/>
              </w:rPr>
            </w:pPr>
            <w:r>
              <w:rPr>
                <w:rFonts w:eastAsia="Times New Roman" w:cs="Calibri"/>
                <w:sz w:val="22"/>
                <w:lang w:eastAsia="en-GB"/>
              </w:rPr>
              <w:t>Non LAC</w:t>
            </w:r>
          </w:p>
        </w:tc>
        <w:tc>
          <w:tcPr>
            <w:tcW w:w="1074" w:type="dxa"/>
          </w:tcPr>
          <w:p w:rsidR="00BD5934" w:rsidRDefault="00160E36">
            <w:pPr>
              <w:spacing w:after="0" w:line="240" w:lineRule="auto"/>
              <w:jc w:val="center"/>
              <w:rPr>
                <w:rFonts w:eastAsia="Times New Roman" w:cs="Calibri"/>
                <w:sz w:val="22"/>
                <w:lang w:eastAsia="en-GB"/>
              </w:rPr>
            </w:pPr>
            <w:r>
              <w:rPr>
                <w:rFonts w:eastAsia="Times New Roman" w:cs="Calibri"/>
                <w:sz w:val="22"/>
                <w:lang w:eastAsia="en-GB"/>
              </w:rPr>
              <w:t>163</w:t>
            </w:r>
          </w:p>
        </w:tc>
        <w:tc>
          <w:tcPr>
            <w:tcW w:w="2410" w:type="dxa"/>
            <w:shd w:val="clear" w:color="auto" w:fill="auto"/>
            <w:noWrap/>
            <w:vAlign w:val="bottom"/>
            <w:hideMark/>
          </w:tcPr>
          <w:p w:rsidR="00BD5934" w:rsidRDefault="00972B22">
            <w:pPr>
              <w:spacing w:after="0" w:line="240" w:lineRule="auto"/>
              <w:jc w:val="center"/>
              <w:rPr>
                <w:rFonts w:eastAsia="Times New Roman" w:cs="Calibri"/>
                <w:sz w:val="22"/>
                <w:lang w:eastAsia="en-GB"/>
              </w:rPr>
            </w:pPr>
            <w:r>
              <w:rPr>
                <w:rFonts w:eastAsia="Times New Roman" w:cs="Calibri"/>
                <w:sz w:val="22"/>
                <w:lang w:eastAsia="en-GB"/>
              </w:rPr>
              <w:t>14.05%</w:t>
            </w:r>
          </w:p>
        </w:tc>
        <w:tc>
          <w:tcPr>
            <w:tcW w:w="1843" w:type="dxa"/>
            <w:shd w:val="clear" w:color="auto" w:fill="auto"/>
            <w:noWrap/>
            <w:vAlign w:val="bottom"/>
            <w:hideMark/>
          </w:tcPr>
          <w:p w:rsidR="00BD5934" w:rsidRDefault="00972B22">
            <w:pPr>
              <w:spacing w:after="0" w:line="240" w:lineRule="auto"/>
              <w:jc w:val="center"/>
              <w:rPr>
                <w:rFonts w:eastAsia="Times New Roman" w:cs="Calibri"/>
                <w:sz w:val="22"/>
                <w:lang w:eastAsia="en-GB"/>
              </w:rPr>
            </w:pPr>
            <w:r>
              <w:rPr>
                <w:rFonts w:eastAsia="Times New Roman" w:cs="Calibri"/>
                <w:sz w:val="22"/>
                <w:lang w:eastAsia="en-GB"/>
              </w:rPr>
              <w:t>85.95%</w:t>
            </w:r>
          </w:p>
        </w:tc>
        <w:tc>
          <w:tcPr>
            <w:tcW w:w="1984" w:type="dxa"/>
            <w:shd w:val="clear" w:color="auto" w:fill="auto"/>
            <w:noWrap/>
            <w:vAlign w:val="bottom"/>
            <w:hideMark/>
          </w:tcPr>
          <w:p w:rsidR="00BD5934" w:rsidRDefault="00972B22">
            <w:pPr>
              <w:spacing w:after="0" w:line="240" w:lineRule="auto"/>
              <w:jc w:val="center"/>
              <w:rPr>
                <w:rFonts w:eastAsia="Times New Roman" w:cs="Calibri"/>
                <w:sz w:val="22"/>
                <w:lang w:eastAsia="en-GB"/>
              </w:rPr>
            </w:pPr>
            <w:r>
              <w:rPr>
                <w:rFonts w:eastAsia="Times New Roman" w:cs="Calibri"/>
                <w:sz w:val="22"/>
                <w:lang w:eastAsia="en-GB"/>
              </w:rPr>
              <w:t>100%</w:t>
            </w:r>
          </w:p>
        </w:tc>
      </w:tr>
      <w:tr w:rsidR="00BD5934">
        <w:trPr>
          <w:trHeight w:val="283"/>
        </w:trPr>
        <w:tc>
          <w:tcPr>
            <w:tcW w:w="1838" w:type="dxa"/>
            <w:shd w:val="clear" w:color="auto" w:fill="auto"/>
            <w:noWrap/>
            <w:vAlign w:val="bottom"/>
            <w:hideMark/>
          </w:tcPr>
          <w:p w:rsidR="00BD5934" w:rsidRDefault="00CF4FA7">
            <w:pPr>
              <w:spacing w:after="0" w:line="240" w:lineRule="auto"/>
              <w:rPr>
                <w:rFonts w:eastAsia="Times New Roman" w:cs="Calibri"/>
                <w:sz w:val="22"/>
                <w:lang w:eastAsia="en-GB"/>
              </w:rPr>
            </w:pPr>
            <w:r>
              <w:rPr>
                <w:rFonts w:eastAsia="Times New Roman" w:cs="Calibri"/>
                <w:sz w:val="22"/>
                <w:lang w:eastAsia="en-GB"/>
              </w:rPr>
              <w:t>LAC Students</w:t>
            </w:r>
          </w:p>
        </w:tc>
        <w:tc>
          <w:tcPr>
            <w:tcW w:w="1074" w:type="dxa"/>
          </w:tcPr>
          <w:p w:rsidR="00BD5934" w:rsidRDefault="00CF4FA7">
            <w:pPr>
              <w:spacing w:after="0" w:line="240" w:lineRule="auto"/>
              <w:jc w:val="center"/>
              <w:rPr>
                <w:rFonts w:eastAsia="Times New Roman" w:cs="Calibri"/>
                <w:sz w:val="22"/>
                <w:lang w:eastAsia="en-GB"/>
              </w:rPr>
            </w:pPr>
            <w:r>
              <w:rPr>
                <w:rFonts w:eastAsia="Times New Roman" w:cs="Calibri"/>
                <w:sz w:val="22"/>
                <w:lang w:eastAsia="en-GB"/>
              </w:rPr>
              <w:t>9</w:t>
            </w:r>
          </w:p>
        </w:tc>
        <w:tc>
          <w:tcPr>
            <w:tcW w:w="2410" w:type="dxa"/>
            <w:shd w:val="clear" w:color="auto" w:fill="auto"/>
            <w:noWrap/>
            <w:vAlign w:val="bottom"/>
            <w:hideMark/>
          </w:tcPr>
          <w:p w:rsidR="00BD5934" w:rsidRDefault="00972B22">
            <w:pPr>
              <w:spacing w:after="0" w:line="240" w:lineRule="auto"/>
              <w:jc w:val="center"/>
              <w:rPr>
                <w:rFonts w:eastAsia="Times New Roman" w:cs="Calibri"/>
                <w:sz w:val="22"/>
                <w:lang w:eastAsia="en-GB"/>
              </w:rPr>
            </w:pPr>
            <w:r>
              <w:rPr>
                <w:rFonts w:eastAsia="Times New Roman" w:cs="Calibri"/>
                <w:sz w:val="22"/>
                <w:lang w:eastAsia="en-GB"/>
              </w:rPr>
              <w:t>18.27%</w:t>
            </w:r>
          </w:p>
        </w:tc>
        <w:tc>
          <w:tcPr>
            <w:tcW w:w="1843" w:type="dxa"/>
            <w:shd w:val="clear" w:color="auto" w:fill="auto"/>
            <w:noWrap/>
            <w:vAlign w:val="bottom"/>
            <w:hideMark/>
          </w:tcPr>
          <w:p w:rsidR="00BD5934" w:rsidRDefault="00972B22">
            <w:pPr>
              <w:spacing w:after="0" w:line="240" w:lineRule="auto"/>
              <w:jc w:val="center"/>
              <w:rPr>
                <w:rFonts w:eastAsia="Times New Roman" w:cs="Calibri"/>
                <w:sz w:val="22"/>
                <w:lang w:eastAsia="en-GB"/>
              </w:rPr>
            </w:pPr>
            <w:r>
              <w:rPr>
                <w:rFonts w:eastAsia="Times New Roman" w:cs="Calibri"/>
                <w:sz w:val="22"/>
                <w:lang w:eastAsia="en-GB"/>
              </w:rPr>
              <w:t>81.73%</w:t>
            </w:r>
          </w:p>
        </w:tc>
        <w:tc>
          <w:tcPr>
            <w:tcW w:w="1984" w:type="dxa"/>
            <w:shd w:val="clear" w:color="auto" w:fill="auto"/>
            <w:noWrap/>
            <w:vAlign w:val="bottom"/>
            <w:hideMark/>
          </w:tcPr>
          <w:p w:rsidR="00BD5934" w:rsidRDefault="00972B22">
            <w:pPr>
              <w:spacing w:after="0" w:line="240" w:lineRule="auto"/>
              <w:jc w:val="center"/>
              <w:rPr>
                <w:rFonts w:eastAsia="Times New Roman" w:cs="Calibri"/>
                <w:sz w:val="22"/>
                <w:lang w:eastAsia="en-GB"/>
              </w:rPr>
            </w:pPr>
            <w:r>
              <w:rPr>
                <w:rFonts w:eastAsia="Times New Roman" w:cs="Calibri"/>
                <w:sz w:val="22"/>
                <w:lang w:eastAsia="en-GB"/>
              </w:rPr>
              <w:t>100%</w:t>
            </w:r>
          </w:p>
        </w:tc>
      </w:tr>
    </w:tbl>
    <w:p w:rsidR="00BD5934" w:rsidRDefault="00BD5934">
      <w:pPr>
        <w:rPr>
          <w:b/>
          <w:u w:val="single"/>
        </w:rPr>
      </w:pPr>
    </w:p>
    <w:p w:rsidR="00BD5934" w:rsidRDefault="00CF4FA7">
      <w:pPr>
        <w:rPr>
          <w:b/>
          <w:u w:val="single"/>
        </w:rPr>
      </w:pPr>
      <w:r>
        <w:rPr>
          <w:b/>
          <w:u w:val="single"/>
        </w:rPr>
        <w:t xml:space="preserve">  </w:t>
      </w:r>
    </w:p>
    <w:p w:rsidR="00E10298" w:rsidRDefault="00E10298">
      <w:r>
        <w:t xml:space="preserve">  </w:t>
      </w:r>
      <w:r>
        <w:rPr>
          <w:noProof/>
          <w:lang w:eastAsia="en-GB"/>
        </w:rPr>
        <w:drawing>
          <wp:inline distT="0" distB="0" distL="0" distR="0" wp14:anchorId="0F1E4C83" wp14:editId="783FD80D">
            <wp:extent cx="2924175" cy="2257425"/>
            <wp:effectExtent l="0" t="0" r="9525" b="95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Pr>
          <w:noProof/>
          <w:lang w:eastAsia="en-GB"/>
        </w:rPr>
        <w:drawing>
          <wp:inline distT="0" distB="0" distL="0" distR="0" wp14:anchorId="7AC22E57" wp14:editId="5F2A1F17">
            <wp:extent cx="2695575" cy="2266950"/>
            <wp:effectExtent l="0" t="0" r="952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D5934" w:rsidRDefault="00BD5934">
      <w:pPr>
        <w:rPr>
          <w:b/>
          <w:u w:val="single"/>
        </w:rPr>
      </w:pPr>
    </w:p>
    <w:p w:rsidR="00BD5934" w:rsidRDefault="00BD5934">
      <w:pPr>
        <w:rPr>
          <w:b/>
          <w:u w:val="single"/>
        </w:rPr>
      </w:pPr>
    </w:p>
    <w:p w:rsidR="00E10298" w:rsidRDefault="00E10298">
      <w:pPr>
        <w:rPr>
          <w:b/>
          <w:u w:val="single"/>
        </w:rPr>
      </w:pPr>
    </w:p>
    <w:p w:rsidR="00E10298" w:rsidRDefault="00E10298">
      <w:pPr>
        <w:rPr>
          <w:b/>
          <w:u w:val="single"/>
        </w:rPr>
      </w:pPr>
    </w:p>
    <w:p w:rsidR="00BD5934" w:rsidRDefault="00BD5934">
      <w:pPr>
        <w:rPr>
          <w:b/>
          <w:u w:val="single"/>
        </w:rPr>
      </w:pPr>
    </w:p>
    <w:p w:rsidR="00BD5934" w:rsidRDefault="00BD5934">
      <w:pPr>
        <w:rPr>
          <w:b/>
          <w:u w:val="single"/>
        </w:rPr>
      </w:pPr>
    </w:p>
    <w:p w:rsidR="00BD5934" w:rsidRDefault="00BD5934">
      <w:pPr>
        <w:rPr>
          <w:b/>
          <w:u w:val="single"/>
        </w:rPr>
      </w:pPr>
    </w:p>
    <w:p w:rsidR="00741485" w:rsidRDefault="00741485">
      <w:pPr>
        <w:rPr>
          <w:b/>
          <w:u w:val="single"/>
        </w:rPr>
      </w:pPr>
    </w:p>
    <w:p w:rsidR="00741485" w:rsidRDefault="00741485">
      <w:pPr>
        <w:rPr>
          <w:b/>
          <w:u w:val="single"/>
        </w:rPr>
      </w:pPr>
    </w:p>
    <w:p w:rsidR="00741485" w:rsidRDefault="00741485">
      <w:pPr>
        <w:rPr>
          <w:b/>
          <w:u w:val="single"/>
        </w:rPr>
      </w:pPr>
    </w:p>
    <w:p w:rsidR="00741485" w:rsidRDefault="00741485">
      <w:pPr>
        <w:rPr>
          <w:b/>
          <w:u w:val="single"/>
        </w:rPr>
      </w:pPr>
    </w:p>
    <w:p w:rsidR="00741485" w:rsidRDefault="00741485">
      <w:pPr>
        <w:rPr>
          <w:b/>
          <w:u w:val="single"/>
        </w:rPr>
      </w:pPr>
    </w:p>
    <w:p w:rsidR="00741485" w:rsidRDefault="00741485">
      <w:pPr>
        <w:rPr>
          <w:b/>
          <w:u w:val="single"/>
        </w:rPr>
      </w:pPr>
    </w:p>
    <w:p w:rsidR="00741485" w:rsidRDefault="00741485">
      <w:pPr>
        <w:rPr>
          <w:b/>
          <w:u w:val="single"/>
        </w:rPr>
      </w:pPr>
    </w:p>
    <w:p w:rsidR="00BD5934" w:rsidRDefault="00BD5934">
      <w:pPr>
        <w:rPr>
          <w:b/>
          <w:u w:val="single"/>
        </w:rPr>
      </w:pPr>
    </w:p>
    <w:p w:rsidR="00BD5934" w:rsidRDefault="00BD5934">
      <w:pPr>
        <w:rPr>
          <w:b/>
          <w:u w:val="single"/>
        </w:rPr>
      </w:pPr>
    </w:p>
    <w:p w:rsidR="00BD5934" w:rsidRDefault="00BD5934">
      <w:pPr>
        <w:rPr>
          <w:b/>
          <w:u w:val="single"/>
        </w:rPr>
      </w:pPr>
    </w:p>
    <w:p w:rsidR="00BD5934" w:rsidRDefault="00BD5934">
      <w:pPr>
        <w:rPr>
          <w:b/>
          <w:u w:val="single"/>
        </w:rPr>
      </w:pPr>
    </w:p>
    <w:p w:rsidR="00160E36" w:rsidRDefault="00160E36">
      <w:pPr>
        <w:rPr>
          <w:b/>
          <w:u w:val="single"/>
        </w:rPr>
      </w:pPr>
    </w:p>
    <w:p w:rsidR="00BD5934" w:rsidRDefault="00CF4FA7">
      <w:pPr>
        <w:rPr>
          <w:b/>
          <w:u w:val="single"/>
        </w:rPr>
      </w:pPr>
      <w:r>
        <w:rPr>
          <w:b/>
          <w:u w:val="single"/>
        </w:rPr>
        <w:t>Section 3: Pathways</w:t>
      </w:r>
    </w:p>
    <w:p w:rsidR="00BD5934" w:rsidRDefault="00CF4FA7">
      <w:pPr>
        <w:jc w:val="center"/>
        <w:rPr>
          <w:b/>
        </w:rPr>
      </w:pPr>
      <w:r>
        <w:rPr>
          <w:b/>
        </w:rPr>
        <w:t xml:space="preserve">   </w:t>
      </w:r>
      <w:r>
        <w:rPr>
          <w:noProof/>
          <w:lang w:eastAsia="en-GB"/>
        </w:rPr>
        <w:drawing>
          <wp:inline distT="0" distB="0" distL="0" distR="0">
            <wp:extent cx="2416810" cy="2350135"/>
            <wp:effectExtent l="0" t="0" r="2540" b="1206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Pr>
          <w:b/>
        </w:rPr>
        <w:t xml:space="preserve">   </w:t>
      </w:r>
      <w:r>
        <w:rPr>
          <w:noProof/>
          <w:lang w:eastAsia="en-GB"/>
        </w:rPr>
        <w:drawing>
          <wp:inline distT="0" distB="0" distL="0" distR="0">
            <wp:extent cx="2415600" cy="2340000"/>
            <wp:effectExtent l="0" t="0" r="3810" b="317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60E36" w:rsidRDefault="00160E36">
      <w:pPr>
        <w:jc w:val="center"/>
        <w:rPr>
          <w:b/>
        </w:rPr>
      </w:pPr>
      <w:r>
        <w:rPr>
          <w:noProof/>
          <w:lang w:eastAsia="en-GB"/>
        </w:rPr>
        <w:drawing>
          <wp:inline distT="0" distB="0" distL="0" distR="0" wp14:anchorId="353F455B" wp14:editId="5DDAF002">
            <wp:extent cx="2886075" cy="2266950"/>
            <wp:effectExtent l="0" t="0" r="9525"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D5934" w:rsidRDefault="00CF4FA7">
      <w:pPr>
        <w:rPr>
          <w:b/>
        </w:rPr>
      </w:pPr>
      <w:r>
        <w:rPr>
          <w:b/>
        </w:rPr>
        <w:t>Comparison by Pathway</w:t>
      </w:r>
    </w:p>
    <w:p w:rsidR="00BD5934" w:rsidRDefault="00BD5934">
      <w:pPr>
        <w:rPr>
          <w:b/>
        </w:rPr>
      </w:pPr>
    </w:p>
    <w:tbl>
      <w:tblPr>
        <w:tblW w:w="8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0"/>
        <w:gridCol w:w="1720"/>
        <w:gridCol w:w="1720"/>
        <w:gridCol w:w="1720"/>
        <w:gridCol w:w="1858"/>
      </w:tblGrid>
      <w:tr w:rsidR="00BD5934">
        <w:trPr>
          <w:trHeight w:val="300"/>
        </w:trPr>
        <w:tc>
          <w:tcPr>
            <w:tcW w:w="1520" w:type="dxa"/>
            <w:tcBorders>
              <w:top w:val="nil"/>
              <w:left w:val="nil"/>
              <w:bottom w:val="nil"/>
              <w:right w:val="single" w:sz="4" w:space="0" w:color="auto"/>
            </w:tcBorders>
            <w:shd w:val="clear" w:color="auto" w:fill="auto"/>
            <w:noWrap/>
            <w:vAlign w:val="bottom"/>
          </w:tcPr>
          <w:p w:rsidR="00BD5934" w:rsidRDefault="00BD5934">
            <w:pPr>
              <w:spacing w:after="0" w:line="240" w:lineRule="auto"/>
              <w:rPr>
                <w:rFonts w:eastAsia="Times New Roman" w:cs="Calibri"/>
                <w:b/>
                <w:bCs/>
                <w:color w:val="000000"/>
                <w:sz w:val="22"/>
                <w:lang w:eastAsia="en-GB"/>
              </w:rPr>
            </w:pPr>
          </w:p>
        </w:tc>
        <w:tc>
          <w:tcPr>
            <w:tcW w:w="3440" w:type="dxa"/>
            <w:gridSpan w:val="2"/>
            <w:tcBorders>
              <w:left w:val="single" w:sz="4" w:space="0" w:color="auto"/>
              <w:bottom w:val="single" w:sz="4" w:space="0" w:color="auto"/>
            </w:tcBorders>
            <w:shd w:val="clear" w:color="auto" w:fill="BFBFBF" w:themeFill="background1" w:themeFillShade="BF"/>
            <w:vAlign w:val="bottom"/>
          </w:tcPr>
          <w:p w:rsidR="00BD5934" w:rsidRDefault="00CF4FA7">
            <w:pPr>
              <w:spacing w:after="0" w:line="240" w:lineRule="auto"/>
              <w:jc w:val="center"/>
              <w:rPr>
                <w:rFonts w:eastAsia="Times New Roman" w:cs="Calibri"/>
                <w:b/>
                <w:sz w:val="22"/>
                <w:lang w:eastAsia="en-GB"/>
              </w:rPr>
            </w:pPr>
            <w:r>
              <w:rPr>
                <w:rFonts w:eastAsia="Times New Roman" w:cs="Calibri"/>
                <w:b/>
                <w:sz w:val="22"/>
                <w:lang w:eastAsia="en-GB"/>
              </w:rPr>
              <w:t>Autumn 2020-2021</w:t>
            </w:r>
          </w:p>
        </w:tc>
        <w:tc>
          <w:tcPr>
            <w:tcW w:w="3578" w:type="dxa"/>
            <w:gridSpan w:val="2"/>
            <w:shd w:val="clear" w:color="auto" w:fill="BFBFBF" w:themeFill="background1" w:themeFillShade="BF"/>
            <w:noWrap/>
            <w:vAlign w:val="bottom"/>
          </w:tcPr>
          <w:p w:rsidR="00BD5934" w:rsidRDefault="00CF4FA7">
            <w:pPr>
              <w:spacing w:after="0" w:line="240" w:lineRule="auto"/>
              <w:jc w:val="center"/>
              <w:rPr>
                <w:rFonts w:eastAsia="Times New Roman" w:cs="Calibri"/>
                <w:b/>
                <w:sz w:val="22"/>
                <w:lang w:eastAsia="en-GB"/>
              </w:rPr>
            </w:pPr>
            <w:r>
              <w:rPr>
                <w:rFonts w:eastAsia="Times New Roman" w:cs="Calibri"/>
                <w:b/>
                <w:sz w:val="22"/>
                <w:lang w:eastAsia="en-GB"/>
              </w:rPr>
              <w:t>Spring 2020-2021</w:t>
            </w:r>
          </w:p>
        </w:tc>
      </w:tr>
      <w:tr w:rsidR="00BD5934">
        <w:trPr>
          <w:trHeight w:val="300"/>
        </w:trPr>
        <w:tc>
          <w:tcPr>
            <w:tcW w:w="1520" w:type="dxa"/>
            <w:tcBorders>
              <w:top w:val="nil"/>
              <w:left w:val="nil"/>
              <w:bottom w:val="single" w:sz="4" w:space="0" w:color="auto"/>
              <w:right w:val="single" w:sz="4" w:space="0" w:color="auto"/>
            </w:tcBorders>
            <w:shd w:val="clear" w:color="auto" w:fill="auto"/>
            <w:noWrap/>
            <w:vAlign w:val="bottom"/>
            <w:hideMark/>
          </w:tcPr>
          <w:p w:rsidR="00BD5934" w:rsidRDefault="00BD5934">
            <w:pPr>
              <w:spacing w:after="0" w:line="240" w:lineRule="auto"/>
              <w:rPr>
                <w:rFonts w:eastAsia="Times New Roman" w:cs="Calibri"/>
                <w:b/>
                <w:bCs/>
                <w:color w:val="000000"/>
                <w:sz w:val="22"/>
                <w:lang w:eastAsia="en-GB"/>
              </w:rPr>
            </w:pPr>
          </w:p>
        </w:tc>
        <w:tc>
          <w:tcPr>
            <w:tcW w:w="1720" w:type="dxa"/>
            <w:tcBorders>
              <w:top w:val="single" w:sz="4" w:space="0" w:color="auto"/>
              <w:left w:val="single" w:sz="4" w:space="0" w:color="auto"/>
            </w:tcBorders>
            <w:shd w:val="clear" w:color="auto" w:fill="BFBFBF" w:themeFill="background1" w:themeFillShade="BF"/>
            <w:vAlign w:val="bottom"/>
          </w:tcPr>
          <w:p w:rsidR="00BD5934" w:rsidRDefault="00CF4FA7">
            <w:pPr>
              <w:spacing w:after="0" w:line="240" w:lineRule="auto"/>
              <w:rPr>
                <w:rFonts w:eastAsia="Times New Roman" w:cs="Calibri"/>
                <w:b/>
                <w:bCs/>
                <w:color w:val="000000"/>
                <w:sz w:val="22"/>
                <w:lang w:eastAsia="en-GB"/>
              </w:rPr>
            </w:pPr>
            <w:r>
              <w:rPr>
                <w:rFonts w:eastAsia="Times New Roman" w:cs="Calibri"/>
                <w:b/>
                <w:bCs/>
                <w:color w:val="000000"/>
                <w:sz w:val="22"/>
                <w:lang w:eastAsia="en-GB"/>
              </w:rPr>
              <w:t>Not on Track</w:t>
            </w:r>
          </w:p>
        </w:tc>
        <w:tc>
          <w:tcPr>
            <w:tcW w:w="1720" w:type="dxa"/>
            <w:shd w:val="clear" w:color="auto" w:fill="BFBFBF" w:themeFill="background1" w:themeFillShade="BF"/>
            <w:vAlign w:val="bottom"/>
          </w:tcPr>
          <w:p w:rsidR="00BD5934" w:rsidRDefault="00CF4FA7">
            <w:pPr>
              <w:spacing w:after="0" w:line="240" w:lineRule="auto"/>
              <w:rPr>
                <w:rFonts w:eastAsia="Times New Roman" w:cs="Calibri"/>
                <w:b/>
                <w:bCs/>
                <w:color w:val="000000"/>
                <w:sz w:val="22"/>
                <w:lang w:eastAsia="en-GB"/>
              </w:rPr>
            </w:pPr>
            <w:r>
              <w:rPr>
                <w:rFonts w:eastAsia="Times New Roman" w:cs="Calibri"/>
                <w:b/>
                <w:bCs/>
                <w:color w:val="000000"/>
                <w:sz w:val="22"/>
                <w:lang w:eastAsia="en-GB"/>
              </w:rPr>
              <w:t>On Track</w:t>
            </w:r>
          </w:p>
        </w:tc>
        <w:tc>
          <w:tcPr>
            <w:tcW w:w="1720" w:type="dxa"/>
            <w:shd w:val="clear" w:color="auto" w:fill="BFBFBF" w:themeFill="background1" w:themeFillShade="BF"/>
            <w:noWrap/>
            <w:vAlign w:val="bottom"/>
            <w:hideMark/>
          </w:tcPr>
          <w:p w:rsidR="00BD5934" w:rsidRDefault="00CF4FA7">
            <w:pPr>
              <w:spacing w:after="0" w:line="240" w:lineRule="auto"/>
              <w:rPr>
                <w:rFonts w:eastAsia="Times New Roman" w:cs="Calibri"/>
                <w:b/>
                <w:bCs/>
                <w:color w:val="000000"/>
                <w:sz w:val="22"/>
                <w:lang w:eastAsia="en-GB"/>
              </w:rPr>
            </w:pPr>
            <w:r>
              <w:rPr>
                <w:rFonts w:eastAsia="Times New Roman" w:cs="Calibri"/>
                <w:b/>
                <w:bCs/>
                <w:color w:val="000000"/>
                <w:sz w:val="22"/>
                <w:lang w:eastAsia="en-GB"/>
              </w:rPr>
              <w:t>Not on Track</w:t>
            </w:r>
          </w:p>
        </w:tc>
        <w:tc>
          <w:tcPr>
            <w:tcW w:w="1858" w:type="dxa"/>
            <w:shd w:val="clear" w:color="auto" w:fill="BFBFBF" w:themeFill="background1" w:themeFillShade="BF"/>
            <w:noWrap/>
            <w:vAlign w:val="bottom"/>
            <w:hideMark/>
          </w:tcPr>
          <w:p w:rsidR="00BD5934" w:rsidRDefault="00CF4FA7">
            <w:pPr>
              <w:spacing w:after="0" w:line="240" w:lineRule="auto"/>
              <w:rPr>
                <w:rFonts w:eastAsia="Times New Roman" w:cs="Calibri"/>
                <w:b/>
                <w:bCs/>
                <w:color w:val="000000"/>
                <w:sz w:val="22"/>
                <w:lang w:eastAsia="en-GB"/>
              </w:rPr>
            </w:pPr>
            <w:r>
              <w:rPr>
                <w:rFonts w:eastAsia="Times New Roman" w:cs="Calibri"/>
                <w:b/>
                <w:bCs/>
                <w:color w:val="000000"/>
                <w:sz w:val="22"/>
                <w:lang w:eastAsia="en-GB"/>
              </w:rPr>
              <w:t>On Track</w:t>
            </w:r>
          </w:p>
        </w:tc>
      </w:tr>
      <w:tr w:rsidR="00BD5934">
        <w:trPr>
          <w:trHeight w:val="300"/>
        </w:trPr>
        <w:tc>
          <w:tcPr>
            <w:tcW w:w="1520" w:type="dxa"/>
            <w:tcBorders>
              <w:top w:val="single" w:sz="4" w:space="0" w:color="auto"/>
            </w:tcBorders>
            <w:shd w:val="clear" w:color="auto" w:fill="auto"/>
            <w:noWrap/>
            <w:vAlign w:val="bottom"/>
            <w:hideMark/>
          </w:tcPr>
          <w:p w:rsidR="00BD5934" w:rsidRDefault="00CF4FA7">
            <w:pPr>
              <w:spacing w:after="0" w:line="240" w:lineRule="auto"/>
              <w:rPr>
                <w:rFonts w:eastAsia="Times New Roman" w:cs="Calibri"/>
                <w:color w:val="000000"/>
                <w:sz w:val="22"/>
                <w:lang w:eastAsia="en-GB"/>
              </w:rPr>
            </w:pPr>
            <w:r>
              <w:rPr>
                <w:rFonts w:eastAsia="Times New Roman" w:cs="Calibri"/>
                <w:color w:val="000000"/>
                <w:sz w:val="22"/>
                <w:lang w:eastAsia="en-GB"/>
              </w:rPr>
              <w:t>Formal</w:t>
            </w:r>
          </w:p>
        </w:tc>
        <w:tc>
          <w:tcPr>
            <w:tcW w:w="1720" w:type="dxa"/>
            <w:vAlign w:val="bottom"/>
          </w:tcPr>
          <w:p w:rsidR="00BD5934" w:rsidRDefault="00CF4FA7">
            <w:pPr>
              <w:spacing w:after="0" w:line="240" w:lineRule="auto"/>
              <w:jc w:val="right"/>
              <w:rPr>
                <w:rFonts w:eastAsia="Times New Roman" w:cs="Calibri"/>
                <w:color w:val="000000"/>
                <w:sz w:val="22"/>
                <w:lang w:eastAsia="en-GB"/>
              </w:rPr>
            </w:pPr>
            <w:r>
              <w:rPr>
                <w:rFonts w:eastAsia="Times New Roman" w:cs="Calibri"/>
                <w:color w:val="000000"/>
                <w:sz w:val="22"/>
                <w:lang w:eastAsia="en-GB"/>
              </w:rPr>
              <w:t>18.1%</w:t>
            </w:r>
          </w:p>
        </w:tc>
        <w:tc>
          <w:tcPr>
            <w:tcW w:w="1720" w:type="dxa"/>
            <w:vAlign w:val="bottom"/>
          </w:tcPr>
          <w:p w:rsidR="00BD5934" w:rsidRDefault="00CF4FA7">
            <w:pPr>
              <w:spacing w:after="0" w:line="240" w:lineRule="auto"/>
              <w:jc w:val="right"/>
              <w:rPr>
                <w:rFonts w:eastAsia="Times New Roman" w:cs="Calibri"/>
                <w:color w:val="000000"/>
                <w:sz w:val="22"/>
                <w:lang w:eastAsia="en-GB"/>
              </w:rPr>
            </w:pPr>
            <w:r>
              <w:rPr>
                <w:rFonts w:eastAsia="Times New Roman" w:cs="Calibri"/>
                <w:color w:val="000000"/>
                <w:sz w:val="22"/>
                <w:lang w:eastAsia="en-GB"/>
              </w:rPr>
              <w:t>81.9%</w:t>
            </w:r>
          </w:p>
        </w:tc>
        <w:tc>
          <w:tcPr>
            <w:tcW w:w="1720" w:type="dxa"/>
            <w:shd w:val="clear" w:color="auto" w:fill="auto"/>
            <w:noWrap/>
            <w:vAlign w:val="bottom"/>
          </w:tcPr>
          <w:p w:rsidR="00BD5934" w:rsidRDefault="00CF4FA7">
            <w:pPr>
              <w:spacing w:after="0" w:line="240" w:lineRule="auto"/>
              <w:jc w:val="right"/>
              <w:rPr>
                <w:rFonts w:eastAsia="Times New Roman" w:cs="Calibri"/>
                <w:color w:val="000000"/>
                <w:sz w:val="22"/>
                <w:lang w:eastAsia="en-GB"/>
              </w:rPr>
            </w:pPr>
            <w:r>
              <w:rPr>
                <w:rFonts w:eastAsia="Times New Roman" w:cs="Calibri"/>
                <w:color w:val="000000"/>
                <w:sz w:val="22"/>
                <w:lang w:eastAsia="en-GB"/>
              </w:rPr>
              <w:t>16.3%</w:t>
            </w:r>
          </w:p>
        </w:tc>
        <w:tc>
          <w:tcPr>
            <w:tcW w:w="1858" w:type="dxa"/>
            <w:shd w:val="clear" w:color="auto" w:fill="auto"/>
            <w:noWrap/>
            <w:vAlign w:val="bottom"/>
          </w:tcPr>
          <w:p w:rsidR="00BD5934" w:rsidRDefault="00CF4FA7">
            <w:pPr>
              <w:spacing w:after="0" w:line="240" w:lineRule="auto"/>
              <w:jc w:val="right"/>
              <w:rPr>
                <w:rFonts w:eastAsia="Times New Roman" w:cs="Calibri"/>
                <w:color w:val="000000"/>
                <w:sz w:val="22"/>
                <w:lang w:eastAsia="en-GB"/>
              </w:rPr>
            </w:pPr>
            <w:r>
              <w:rPr>
                <w:rFonts w:eastAsia="Times New Roman" w:cs="Calibri"/>
                <w:color w:val="000000"/>
                <w:sz w:val="22"/>
                <w:lang w:eastAsia="en-GB"/>
              </w:rPr>
              <w:t>83.8%</w:t>
            </w:r>
          </w:p>
        </w:tc>
      </w:tr>
      <w:tr w:rsidR="00BD5934">
        <w:trPr>
          <w:trHeight w:val="300"/>
        </w:trPr>
        <w:tc>
          <w:tcPr>
            <w:tcW w:w="1520" w:type="dxa"/>
            <w:shd w:val="clear" w:color="auto" w:fill="auto"/>
            <w:noWrap/>
            <w:vAlign w:val="bottom"/>
            <w:hideMark/>
          </w:tcPr>
          <w:p w:rsidR="00BD5934" w:rsidRDefault="00CF4FA7">
            <w:pPr>
              <w:spacing w:after="0" w:line="240" w:lineRule="auto"/>
              <w:rPr>
                <w:rFonts w:eastAsia="Times New Roman" w:cs="Calibri"/>
                <w:color w:val="000000"/>
                <w:sz w:val="22"/>
                <w:lang w:eastAsia="en-GB"/>
              </w:rPr>
            </w:pPr>
            <w:r>
              <w:rPr>
                <w:rFonts w:eastAsia="Times New Roman" w:cs="Calibri"/>
                <w:color w:val="000000"/>
                <w:sz w:val="22"/>
                <w:lang w:eastAsia="en-GB"/>
              </w:rPr>
              <w:t>Pre Formal</w:t>
            </w:r>
          </w:p>
        </w:tc>
        <w:tc>
          <w:tcPr>
            <w:tcW w:w="1720" w:type="dxa"/>
            <w:vAlign w:val="bottom"/>
          </w:tcPr>
          <w:p w:rsidR="00BD5934" w:rsidRDefault="00CF4FA7">
            <w:pPr>
              <w:spacing w:after="0" w:line="240" w:lineRule="auto"/>
              <w:jc w:val="right"/>
              <w:rPr>
                <w:rFonts w:eastAsia="Times New Roman" w:cs="Calibri"/>
                <w:color w:val="000000"/>
                <w:sz w:val="22"/>
                <w:lang w:eastAsia="en-GB"/>
              </w:rPr>
            </w:pPr>
            <w:r>
              <w:rPr>
                <w:rFonts w:eastAsia="Times New Roman" w:cs="Calibri"/>
                <w:color w:val="000000"/>
                <w:sz w:val="22"/>
                <w:lang w:eastAsia="en-GB"/>
              </w:rPr>
              <w:t>16.8%</w:t>
            </w:r>
          </w:p>
        </w:tc>
        <w:tc>
          <w:tcPr>
            <w:tcW w:w="1720" w:type="dxa"/>
            <w:vAlign w:val="bottom"/>
          </w:tcPr>
          <w:p w:rsidR="00BD5934" w:rsidRDefault="00CF4FA7">
            <w:pPr>
              <w:spacing w:after="0" w:line="240" w:lineRule="auto"/>
              <w:jc w:val="right"/>
              <w:rPr>
                <w:rFonts w:eastAsia="Times New Roman" w:cs="Calibri"/>
                <w:color w:val="000000"/>
                <w:sz w:val="22"/>
                <w:lang w:eastAsia="en-GB"/>
              </w:rPr>
            </w:pPr>
            <w:r>
              <w:rPr>
                <w:rFonts w:eastAsia="Times New Roman" w:cs="Calibri"/>
                <w:color w:val="000000"/>
                <w:sz w:val="22"/>
                <w:lang w:eastAsia="en-GB"/>
              </w:rPr>
              <w:t>83.2%</w:t>
            </w:r>
          </w:p>
        </w:tc>
        <w:tc>
          <w:tcPr>
            <w:tcW w:w="1720" w:type="dxa"/>
            <w:shd w:val="clear" w:color="auto" w:fill="auto"/>
            <w:noWrap/>
            <w:vAlign w:val="bottom"/>
          </w:tcPr>
          <w:p w:rsidR="00BD5934" w:rsidRDefault="00CF4FA7">
            <w:pPr>
              <w:spacing w:after="0" w:line="240" w:lineRule="auto"/>
              <w:jc w:val="right"/>
              <w:rPr>
                <w:rFonts w:eastAsia="Times New Roman" w:cs="Calibri"/>
                <w:color w:val="000000"/>
                <w:sz w:val="22"/>
                <w:lang w:eastAsia="en-GB"/>
              </w:rPr>
            </w:pPr>
            <w:r>
              <w:rPr>
                <w:rFonts w:eastAsia="Times New Roman" w:cs="Calibri"/>
                <w:color w:val="000000"/>
                <w:sz w:val="22"/>
                <w:lang w:eastAsia="en-GB"/>
              </w:rPr>
              <w:t>40.7%</w:t>
            </w:r>
          </w:p>
        </w:tc>
        <w:tc>
          <w:tcPr>
            <w:tcW w:w="1858" w:type="dxa"/>
            <w:shd w:val="clear" w:color="auto" w:fill="auto"/>
            <w:noWrap/>
            <w:vAlign w:val="bottom"/>
          </w:tcPr>
          <w:p w:rsidR="00BD5934" w:rsidRDefault="00CF4FA7">
            <w:pPr>
              <w:spacing w:after="0" w:line="240" w:lineRule="auto"/>
              <w:jc w:val="right"/>
              <w:rPr>
                <w:rFonts w:eastAsia="Times New Roman" w:cs="Calibri"/>
                <w:color w:val="000000"/>
                <w:sz w:val="22"/>
                <w:lang w:eastAsia="en-GB"/>
              </w:rPr>
            </w:pPr>
            <w:r>
              <w:rPr>
                <w:rFonts w:eastAsia="Times New Roman" w:cs="Calibri"/>
                <w:color w:val="000000"/>
                <w:sz w:val="22"/>
                <w:lang w:eastAsia="en-GB"/>
              </w:rPr>
              <w:t>59.3%</w:t>
            </w:r>
          </w:p>
        </w:tc>
      </w:tr>
      <w:tr w:rsidR="00BD5934">
        <w:trPr>
          <w:trHeight w:val="300"/>
        </w:trPr>
        <w:tc>
          <w:tcPr>
            <w:tcW w:w="1520" w:type="dxa"/>
            <w:shd w:val="clear" w:color="auto" w:fill="auto"/>
            <w:noWrap/>
            <w:vAlign w:val="bottom"/>
            <w:hideMark/>
          </w:tcPr>
          <w:p w:rsidR="00BD5934" w:rsidRDefault="00CF4FA7">
            <w:pPr>
              <w:spacing w:after="0" w:line="240" w:lineRule="auto"/>
              <w:rPr>
                <w:rFonts w:eastAsia="Times New Roman" w:cs="Calibri"/>
                <w:color w:val="000000"/>
                <w:sz w:val="22"/>
                <w:lang w:eastAsia="en-GB"/>
              </w:rPr>
            </w:pPr>
            <w:r>
              <w:rPr>
                <w:rFonts w:eastAsia="Times New Roman" w:cs="Calibri"/>
                <w:color w:val="000000"/>
                <w:sz w:val="22"/>
                <w:lang w:eastAsia="en-GB"/>
              </w:rPr>
              <w:t>Semi Formal</w:t>
            </w:r>
          </w:p>
        </w:tc>
        <w:tc>
          <w:tcPr>
            <w:tcW w:w="1720" w:type="dxa"/>
            <w:vAlign w:val="bottom"/>
          </w:tcPr>
          <w:p w:rsidR="00BD5934" w:rsidRDefault="00CF4FA7">
            <w:pPr>
              <w:spacing w:after="0" w:line="240" w:lineRule="auto"/>
              <w:jc w:val="right"/>
              <w:rPr>
                <w:rFonts w:eastAsia="Times New Roman" w:cs="Calibri"/>
                <w:color w:val="000000"/>
                <w:sz w:val="22"/>
                <w:lang w:eastAsia="en-GB"/>
              </w:rPr>
            </w:pPr>
            <w:r>
              <w:rPr>
                <w:rFonts w:eastAsia="Times New Roman" w:cs="Calibri"/>
                <w:color w:val="000000"/>
                <w:sz w:val="22"/>
                <w:lang w:eastAsia="en-GB"/>
              </w:rPr>
              <w:t>25.9%</w:t>
            </w:r>
          </w:p>
        </w:tc>
        <w:tc>
          <w:tcPr>
            <w:tcW w:w="1720" w:type="dxa"/>
            <w:vAlign w:val="bottom"/>
          </w:tcPr>
          <w:p w:rsidR="00BD5934" w:rsidRDefault="00CF4FA7">
            <w:pPr>
              <w:spacing w:after="0" w:line="240" w:lineRule="auto"/>
              <w:jc w:val="right"/>
              <w:rPr>
                <w:rFonts w:eastAsia="Times New Roman" w:cs="Calibri"/>
                <w:color w:val="000000"/>
                <w:sz w:val="22"/>
                <w:lang w:eastAsia="en-GB"/>
              </w:rPr>
            </w:pPr>
            <w:r>
              <w:rPr>
                <w:rFonts w:eastAsia="Times New Roman" w:cs="Calibri"/>
                <w:color w:val="000000"/>
                <w:sz w:val="22"/>
                <w:lang w:eastAsia="en-GB"/>
              </w:rPr>
              <w:t>74.1%</w:t>
            </w:r>
          </w:p>
        </w:tc>
        <w:tc>
          <w:tcPr>
            <w:tcW w:w="1720" w:type="dxa"/>
            <w:shd w:val="clear" w:color="auto" w:fill="auto"/>
            <w:noWrap/>
            <w:vAlign w:val="bottom"/>
          </w:tcPr>
          <w:p w:rsidR="00BD5934" w:rsidRDefault="00CF4FA7">
            <w:pPr>
              <w:spacing w:after="0" w:line="240" w:lineRule="auto"/>
              <w:jc w:val="right"/>
              <w:rPr>
                <w:rFonts w:eastAsia="Times New Roman" w:cs="Calibri"/>
                <w:color w:val="000000"/>
                <w:sz w:val="22"/>
                <w:lang w:eastAsia="en-GB"/>
              </w:rPr>
            </w:pPr>
            <w:r>
              <w:rPr>
                <w:rFonts w:eastAsia="Times New Roman" w:cs="Calibri"/>
                <w:color w:val="000000"/>
                <w:sz w:val="22"/>
                <w:lang w:eastAsia="en-GB"/>
              </w:rPr>
              <w:t>38.0%</w:t>
            </w:r>
          </w:p>
        </w:tc>
        <w:tc>
          <w:tcPr>
            <w:tcW w:w="1858" w:type="dxa"/>
            <w:shd w:val="clear" w:color="auto" w:fill="auto"/>
            <w:noWrap/>
            <w:vAlign w:val="bottom"/>
          </w:tcPr>
          <w:p w:rsidR="00BD5934" w:rsidRDefault="00CF4FA7">
            <w:pPr>
              <w:spacing w:after="0" w:line="240" w:lineRule="auto"/>
              <w:jc w:val="right"/>
              <w:rPr>
                <w:rFonts w:eastAsia="Times New Roman" w:cs="Calibri"/>
                <w:color w:val="000000"/>
                <w:sz w:val="22"/>
                <w:lang w:eastAsia="en-GB"/>
              </w:rPr>
            </w:pPr>
            <w:r>
              <w:rPr>
                <w:rFonts w:eastAsia="Times New Roman" w:cs="Calibri"/>
                <w:color w:val="000000"/>
                <w:sz w:val="22"/>
                <w:lang w:eastAsia="en-GB"/>
              </w:rPr>
              <w:t>62.0%</w:t>
            </w:r>
          </w:p>
        </w:tc>
      </w:tr>
      <w:tr w:rsidR="00BD5934">
        <w:trPr>
          <w:trHeight w:val="300"/>
        </w:trPr>
        <w:tc>
          <w:tcPr>
            <w:tcW w:w="1520" w:type="dxa"/>
            <w:shd w:val="clear" w:color="auto" w:fill="auto"/>
            <w:noWrap/>
            <w:vAlign w:val="bottom"/>
            <w:hideMark/>
          </w:tcPr>
          <w:p w:rsidR="00BD5934" w:rsidRDefault="00CF4FA7">
            <w:pPr>
              <w:spacing w:after="0" w:line="240" w:lineRule="auto"/>
              <w:rPr>
                <w:rFonts w:eastAsia="Times New Roman" w:cs="Calibri"/>
                <w:b/>
                <w:bCs/>
                <w:color w:val="000000"/>
                <w:sz w:val="22"/>
                <w:lang w:eastAsia="en-GB"/>
              </w:rPr>
            </w:pPr>
            <w:r>
              <w:rPr>
                <w:rFonts w:eastAsia="Times New Roman" w:cs="Calibri"/>
                <w:b/>
                <w:bCs/>
                <w:color w:val="000000"/>
                <w:sz w:val="22"/>
                <w:lang w:eastAsia="en-GB"/>
              </w:rPr>
              <w:t>Grand Total</w:t>
            </w:r>
          </w:p>
        </w:tc>
        <w:tc>
          <w:tcPr>
            <w:tcW w:w="1720" w:type="dxa"/>
            <w:vAlign w:val="bottom"/>
          </w:tcPr>
          <w:p w:rsidR="00BD5934" w:rsidRDefault="00CF4FA7">
            <w:pPr>
              <w:spacing w:after="0" w:line="240" w:lineRule="auto"/>
              <w:jc w:val="right"/>
              <w:rPr>
                <w:rFonts w:eastAsia="Times New Roman" w:cs="Calibri"/>
                <w:b/>
                <w:bCs/>
                <w:color w:val="000000"/>
                <w:sz w:val="22"/>
                <w:lang w:eastAsia="en-GB"/>
              </w:rPr>
            </w:pPr>
            <w:r>
              <w:rPr>
                <w:rFonts w:eastAsia="Times New Roman" w:cs="Calibri"/>
                <w:b/>
                <w:bCs/>
                <w:color w:val="000000"/>
                <w:sz w:val="22"/>
                <w:lang w:eastAsia="en-GB"/>
              </w:rPr>
              <w:t>22.4%</w:t>
            </w:r>
          </w:p>
        </w:tc>
        <w:tc>
          <w:tcPr>
            <w:tcW w:w="1720" w:type="dxa"/>
            <w:vAlign w:val="bottom"/>
          </w:tcPr>
          <w:p w:rsidR="00BD5934" w:rsidRDefault="00CF4FA7">
            <w:pPr>
              <w:spacing w:after="0" w:line="240" w:lineRule="auto"/>
              <w:jc w:val="right"/>
              <w:rPr>
                <w:rFonts w:eastAsia="Times New Roman" w:cs="Calibri"/>
                <w:b/>
                <w:bCs/>
                <w:color w:val="000000"/>
                <w:sz w:val="22"/>
                <w:lang w:eastAsia="en-GB"/>
              </w:rPr>
            </w:pPr>
            <w:r>
              <w:rPr>
                <w:rFonts w:eastAsia="Times New Roman" w:cs="Calibri"/>
                <w:b/>
                <w:bCs/>
                <w:color w:val="000000"/>
                <w:sz w:val="22"/>
                <w:lang w:eastAsia="en-GB"/>
              </w:rPr>
              <w:t>77.6%</w:t>
            </w:r>
          </w:p>
        </w:tc>
        <w:tc>
          <w:tcPr>
            <w:tcW w:w="1720" w:type="dxa"/>
            <w:shd w:val="clear" w:color="auto" w:fill="auto"/>
            <w:noWrap/>
            <w:vAlign w:val="bottom"/>
          </w:tcPr>
          <w:p w:rsidR="00BD5934" w:rsidRDefault="00CF4FA7">
            <w:pPr>
              <w:spacing w:after="0" w:line="240" w:lineRule="auto"/>
              <w:jc w:val="right"/>
              <w:rPr>
                <w:rFonts w:eastAsia="Times New Roman" w:cs="Calibri"/>
                <w:b/>
                <w:bCs/>
                <w:color w:val="000000"/>
                <w:sz w:val="22"/>
                <w:lang w:eastAsia="en-GB"/>
              </w:rPr>
            </w:pPr>
            <w:r>
              <w:rPr>
                <w:rFonts w:eastAsia="Times New Roman" w:cs="Calibri"/>
                <w:b/>
                <w:bCs/>
                <w:color w:val="000000"/>
                <w:sz w:val="22"/>
                <w:lang w:eastAsia="en-GB"/>
              </w:rPr>
              <w:t>32.0%</w:t>
            </w:r>
          </w:p>
        </w:tc>
        <w:tc>
          <w:tcPr>
            <w:tcW w:w="1858" w:type="dxa"/>
            <w:shd w:val="clear" w:color="auto" w:fill="auto"/>
            <w:noWrap/>
            <w:vAlign w:val="bottom"/>
          </w:tcPr>
          <w:p w:rsidR="00BD5934" w:rsidRDefault="00CF4FA7">
            <w:pPr>
              <w:spacing w:after="0" w:line="240" w:lineRule="auto"/>
              <w:jc w:val="right"/>
              <w:rPr>
                <w:rFonts w:eastAsia="Times New Roman" w:cs="Calibri"/>
                <w:b/>
                <w:bCs/>
                <w:color w:val="000000"/>
                <w:sz w:val="22"/>
                <w:lang w:eastAsia="en-GB"/>
              </w:rPr>
            </w:pPr>
            <w:r>
              <w:rPr>
                <w:rFonts w:eastAsia="Times New Roman" w:cs="Calibri"/>
                <w:b/>
                <w:bCs/>
                <w:color w:val="000000"/>
                <w:sz w:val="22"/>
                <w:lang w:eastAsia="en-GB"/>
              </w:rPr>
              <w:t>68.0%</w:t>
            </w:r>
          </w:p>
        </w:tc>
      </w:tr>
    </w:tbl>
    <w:p w:rsidR="00BD5934" w:rsidRDefault="00BD5934">
      <w:pPr>
        <w:jc w:val="center"/>
        <w:rPr>
          <w:u w:val="single"/>
        </w:rPr>
      </w:pPr>
    </w:p>
    <w:tbl>
      <w:tblPr>
        <w:tblW w:w="4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615"/>
        <w:gridCol w:w="1787"/>
      </w:tblGrid>
      <w:tr w:rsidR="00FC3071" w:rsidTr="00FC3071">
        <w:trPr>
          <w:trHeight w:val="270"/>
        </w:trPr>
        <w:tc>
          <w:tcPr>
            <w:tcW w:w="1560" w:type="dxa"/>
            <w:tcBorders>
              <w:top w:val="nil"/>
              <w:left w:val="nil"/>
              <w:bottom w:val="nil"/>
              <w:right w:val="single" w:sz="4" w:space="0" w:color="auto"/>
            </w:tcBorders>
            <w:shd w:val="clear" w:color="auto" w:fill="auto"/>
            <w:noWrap/>
            <w:vAlign w:val="bottom"/>
          </w:tcPr>
          <w:p w:rsidR="00FC3071" w:rsidRDefault="00FC3071" w:rsidP="00B00B81">
            <w:pPr>
              <w:spacing w:after="0" w:line="240" w:lineRule="auto"/>
              <w:rPr>
                <w:rFonts w:eastAsia="Times New Roman" w:cs="Calibri"/>
                <w:b/>
                <w:bCs/>
                <w:color w:val="000000"/>
                <w:sz w:val="22"/>
                <w:lang w:eastAsia="en-GB"/>
              </w:rPr>
            </w:pPr>
          </w:p>
        </w:tc>
        <w:tc>
          <w:tcPr>
            <w:tcW w:w="3402" w:type="dxa"/>
            <w:gridSpan w:val="2"/>
            <w:tcBorders>
              <w:left w:val="single" w:sz="4" w:space="0" w:color="auto"/>
              <w:bottom w:val="single" w:sz="4" w:space="0" w:color="auto"/>
            </w:tcBorders>
            <w:shd w:val="clear" w:color="auto" w:fill="BFBFBF" w:themeFill="background1" w:themeFillShade="BF"/>
            <w:vAlign w:val="bottom"/>
          </w:tcPr>
          <w:p w:rsidR="00FC3071" w:rsidRDefault="00FC3071" w:rsidP="00FC3071">
            <w:pPr>
              <w:spacing w:after="0" w:line="240" w:lineRule="auto"/>
              <w:jc w:val="center"/>
              <w:rPr>
                <w:rFonts w:eastAsia="Times New Roman" w:cs="Calibri"/>
                <w:b/>
                <w:sz w:val="22"/>
                <w:lang w:eastAsia="en-GB"/>
              </w:rPr>
            </w:pPr>
            <w:r>
              <w:rPr>
                <w:rFonts w:eastAsia="Times New Roman" w:cs="Calibri"/>
                <w:b/>
                <w:sz w:val="22"/>
                <w:lang w:eastAsia="en-GB"/>
              </w:rPr>
              <w:t>Summer 2020-2021</w:t>
            </w:r>
          </w:p>
        </w:tc>
      </w:tr>
      <w:tr w:rsidR="00FC3071" w:rsidTr="00FC3071">
        <w:trPr>
          <w:trHeight w:val="270"/>
        </w:trPr>
        <w:tc>
          <w:tcPr>
            <w:tcW w:w="1560" w:type="dxa"/>
            <w:tcBorders>
              <w:top w:val="nil"/>
              <w:left w:val="nil"/>
              <w:bottom w:val="single" w:sz="4" w:space="0" w:color="auto"/>
              <w:right w:val="single" w:sz="4" w:space="0" w:color="auto"/>
            </w:tcBorders>
            <w:shd w:val="clear" w:color="auto" w:fill="auto"/>
            <w:noWrap/>
            <w:vAlign w:val="bottom"/>
            <w:hideMark/>
          </w:tcPr>
          <w:p w:rsidR="00FC3071" w:rsidRDefault="00FC3071" w:rsidP="00B00B81">
            <w:pPr>
              <w:spacing w:after="0" w:line="240" w:lineRule="auto"/>
              <w:rPr>
                <w:rFonts w:eastAsia="Times New Roman" w:cs="Calibri"/>
                <w:b/>
                <w:bCs/>
                <w:color w:val="000000"/>
                <w:sz w:val="22"/>
                <w:lang w:eastAsia="en-GB"/>
              </w:rPr>
            </w:pPr>
          </w:p>
        </w:tc>
        <w:tc>
          <w:tcPr>
            <w:tcW w:w="1615" w:type="dxa"/>
            <w:tcBorders>
              <w:top w:val="single" w:sz="4" w:space="0" w:color="auto"/>
              <w:left w:val="single" w:sz="4" w:space="0" w:color="auto"/>
            </w:tcBorders>
            <w:shd w:val="clear" w:color="auto" w:fill="BFBFBF" w:themeFill="background1" w:themeFillShade="BF"/>
            <w:vAlign w:val="bottom"/>
          </w:tcPr>
          <w:p w:rsidR="00FC3071" w:rsidRDefault="00FC3071" w:rsidP="00B00B81">
            <w:pPr>
              <w:spacing w:after="0" w:line="240" w:lineRule="auto"/>
              <w:rPr>
                <w:rFonts w:eastAsia="Times New Roman" w:cs="Calibri"/>
                <w:b/>
                <w:bCs/>
                <w:color w:val="000000"/>
                <w:sz w:val="22"/>
                <w:lang w:eastAsia="en-GB"/>
              </w:rPr>
            </w:pPr>
            <w:r>
              <w:rPr>
                <w:rFonts w:eastAsia="Times New Roman" w:cs="Calibri"/>
                <w:b/>
                <w:bCs/>
                <w:color w:val="000000"/>
                <w:sz w:val="22"/>
                <w:lang w:eastAsia="en-GB"/>
              </w:rPr>
              <w:t>Not on Track</w:t>
            </w:r>
          </w:p>
        </w:tc>
        <w:tc>
          <w:tcPr>
            <w:tcW w:w="1787" w:type="dxa"/>
            <w:shd w:val="clear" w:color="auto" w:fill="BFBFBF" w:themeFill="background1" w:themeFillShade="BF"/>
            <w:vAlign w:val="bottom"/>
          </w:tcPr>
          <w:p w:rsidR="00FC3071" w:rsidRDefault="00FC3071" w:rsidP="00B00B81">
            <w:pPr>
              <w:spacing w:after="0" w:line="240" w:lineRule="auto"/>
              <w:rPr>
                <w:rFonts w:eastAsia="Times New Roman" w:cs="Calibri"/>
                <w:b/>
                <w:bCs/>
                <w:color w:val="000000"/>
                <w:sz w:val="22"/>
                <w:lang w:eastAsia="en-GB"/>
              </w:rPr>
            </w:pPr>
            <w:r>
              <w:rPr>
                <w:rFonts w:eastAsia="Times New Roman" w:cs="Calibri"/>
                <w:b/>
                <w:bCs/>
                <w:color w:val="000000"/>
                <w:sz w:val="22"/>
                <w:lang w:eastAsia="en-GB"/>
              </w:rPr>
              <w:t>On Track</w:t>
            </w:r>
          </w:p>
        </w:tc>
      </w:tr>
      <w:tr w:rsidR="00FC3071" w:rsidTr="00FC3071">
        <w:trPr>
          <w:trHeight w:val="270"/>
        </w:trPr>
        <w:tc>
          <w:tcPr>
            <w:tcW w:w="1560" w:type="dxa"/>
            <w:tcBorders>
              <w:top w:val="single" w:sz="4" w:space="0" w:color="auto"/>
            </w:tcBorders>
            <w:shd w:val="clear" w:color="auto" w:fill="auto"/>
            <w:noWrap/>
            <w:vAlign w:val="bottom"/>
            <w:hideMark/>
          </w:tcPr>
          <w:p w:rsidR="00FC3071" w:rsidRDefault="00FC3071" w:rsidP="00B00B81">
            <w:pPr>
              <w:spacing w:after="0" w:line="240" w:lineRule="auto"/>
              <w:rPr>
                <w:rFonts w:eastAsia="Times New Roman" w:cs="Calibri"/>
                <w:color w:val="000000"/>
                <w:sz w:val="22"/>
                <w:lang w:eastAsia="en-GB"/>
              </w:rPr>
            </w:pPr>
            <w:r>
              <w:rPr>
                <w:rFonts w:eastAsia="Times New Roman" w:cs="Calibri"/>
                <w:color w:val="000000"/>
                <w:sz w:val="22"/>
                <w:lang w:eastAsia="en-GB"/>
              </w:rPr>
              <w:t>Formal</w:t>
            </w:r>
          </w:p>
        </w:tc>
        <w:tc>
          <w:tcPr>
            <w:tcW w:w="1615" w:type="dxa"/>
            <w:vAlign w:val="bottom"/>
          </w:tcPr>
          <w:p w:rsidR="00FC3071" w:rsidRDefault="00FC3071" w:rsidP="00B00B81">
            <w:pPr>
              <w:spacing w:after="0" w:line="240" w:lineRule="auto"/>
              <w:jc w:val="right"/>
              <w:rPr>
                <w:rFonts w:eastAsia="Times New Roman" w:cs="Calibri"/>
                <w:color w:val="000000"/>
                <w:sz w:val="22"/>
                <w:lang w:eastAsia="en-GB"/>
              </w:rPr>
            </w:pPr>
            <w:r>
              <w:rPr>
                <w:rFonts w:eastAsia="Times New Roman" w:cs="Calibri"/>
                <w:color w:val="000000"/>
                <w:sz w:val="22"/>
                <w:lang w:eastAsia="en-GB"/>
              </w:rPr>
              <w:t>3.3%</w:t>
            </w:r>
          </w:p>
        </w:tc>
        <w:tc>
          <w:tcPr>
            <w:tcW w:w="1787" w:type="dxa"/>
            <w:vAlign w:val="bottom"/>
          </w:tcPr>
          <w:p w:rsidR="00FC3071" w:rsidRDefault="00FC3071" w:rsidP="00B00B81">
            <w:pPr>
              <w:spacing w:after="0" w:line="240" w:lineRule="auto"/>
              <w:jc w:val="right"/>
              <w:rPr>
                <w:rFonts w:eastAsia="Times New Roman" w:cs="Calibri"/>
                <w:color w:val="000000"/>
                <w:sz w:val="22"/>
                <w:lang w:eastAsia="en-GB"/>
              </w:rPr>
            </w:pPr>
            <w:r>
              <w:rPr>
                <w:rFonts w:eastAsia="Times New Roman" w:cs="Calibri"/>
                <w:color w:val="000000"/>
                <w:sz w:val="22"/>
                <w:lang w:eastAsia="en-GB"/>
              </w:rPr>
              <w:t>96.7%</w:t>
            </w:r>
          </w:p>
        </w:tc>
      </w:tr>
      <w:tr w:rsidR="00FC3071" w:rsidTr="00FC3071">
        <w:trPr>
          <w:trHeight w:val="270"/>
        </w:trPr>
        <w:tc>
          <w:tcPr>
            <w:tcW w:w="1560" w:type="dxa"/>
            <w:shd w:val="clear" w:color="auto" w:fill="auto"/>
            <w:noWrap/>
            <w:vAlign w:val="bottom"/>
            <w:hideMark/>
          </w:tcPr>
          <w:p w:rsidR="00FC3071" w:rsidRDefault="00FC3071" w:rsidP="00B00B81">
            <w:pPr>
              <w:spacing w:after="0" w:line="240" w:lineRule="auto"/>
              <w:rPr>
                <w:rFonts w:eastAsia="Times New Roman" w:cs="Calibri"/>
                <w:color w:val="000000"/>
                <w:sz w:val="22"/>
                <w:lang w:eastAsia="en-GB"/>
              </w:rPr>
            </w:pPr>
            <w:r>
              <w:rPr>
                <w:rFonts w:eastAsia="Times New Roman" w:cs="Calibri"/>
                <w:color w:val="000000"/>
                <w:sz w:val="22"/>
                <w:lang w:eastAsia="en-GB"/>
              </w:rPr>
              <w:t>Semi Formal</w:t>
            </w:r>
          </w:p>
        </w:tc>
        <w:tc>
          <w:tcPr>
            <w:tcW w:w="1615" w:type="dxa"/>
            <w:vAlign w:val="bottom"/>
          </w:tcPr>
          <w:p w:rsidR="00FC3071" w:rsidRDefault="00FC3071" w:rsidP="00B00B81">
            <w:pPr>
              <w:spacing w:after="0" w:line="240" w:lineRule="auto"/>
              <w:jc w:val="right"/>
              <w:rPr>
                <w:rFonts w:eastAsia="Times New Roman" w:cs="Calibri"/>
                <w:color w:val="000000"/>
                <w:sz w:val="22"/>
                <w:lang w:eastAsia="en-GB"/>
              </w:rPr>
            </w:pPr>
            <w:r>
              <w:rPr>
                <w:rFonts w:eastAsia="Times New Roman" w:cs="Calibri"/>
                <w:color w:val="000000"/>
                <w:sz w:val="22"/>
                <w:lang w:eastAsia="en-GB"/>
              </w:rPr>
              <w:t>20%</w:t>
            </w:r>
          </w:p>
        </w:tc>
        <w:tc>
          <w:tcPr>
            <w:tcW w:w="1787" w:type="dxa"/>
            <w:vAlign w:val="bottom"/>
          </w:tcPr>
          <w:p w:rsidR="00FC3071" w:rsidRDefault="00FC3071" w:rsidP="00B00B81">
            <w:pPr>
              <w:spacing w:after="0" w:line="240" w:lineRule="auto"/>
              <w:jc w:val="right"/>
              <w:rPr>
                <w:rFonts w:eastAsia="Times New Roman" w:cs="Calibri"/>
                <w:color w:val="000000"/>
                <w:sz w:val="22"/>
                <w:lang w:eastAsia="en-GB"/>
              </w:rPr>
            </w:pPr>
            <w:r>
              <w:rPr>
                <w:rFonts w:eastAsia="Times New Roman" w:cs="Calibri"/>
                <w:color w:val="000000"/>
                <w:sz w:val="22"/>
                <w:lang w:eastAsia="en-GB"/>
              </w:rPr>
              <w:t>80%</w:t>
            </w:r>
          </w:p>
        </w:tc>
      </w:tr>
      <w:tr w:rsidR="00FC3071" w:rsidTr="00FC3071">
        <w:trPr>
          <w:trHeight w:val="270"/>
        </w:trPr>
        <w:tc>
          <w:tcPr>
            <w:tcW w:w="1560" w:type="dxa"/>
            <w:shd w:val="clear" w:color="auto" w:fill="auto"/>
            <w:noWrap/>
            <w:vAlign w:val="bottom"/>
          </w:tcPr>
          <w:p w:rsidR="00FC3071" w:rsidRDefault="00FC3071" w:rsidP="00B00B81">
            <w:pPr>
              <w:spacing w:after="0" w:line="240" w:lineRule="auto"/>
              <w:rPr>
                <w:rFonts w:eastAsia="Times New Roman" w:cs="Calibri"/>
                <w:color w:val="000000"/>
                <w:sz w:val="22"/>
                <w:lang w:eastAsia="en-GB"/>
              </w:rPr>
            </w:pPr>
            <w:r>
              <w:rPr>
                <w:rFonts w:eastAsia="Times New Roman" w:cs="Calibri"/>
                <w:color w:val="000000"/>
                <w:sz w:val="22"/>
                <w:lang w:eastAsia="en-GB"/>
              </w:rPr>
              <w:t>Braided</w:t>
            </w:r>
          </w:p>
        </w:tc>
        <w:tc>
          <w:tcPr>
            <w:tcW w:w="1615" w:type="dxa"/>
            <w:vAlign w:val="bottom"/>
          </w:tcPr>
          <w:p w:rsidR="00FC3071" w:rsidRDefault="00FC3071" w:rsidP="00B00B81">
            <w:pPr>
              <w:spacing w:after="0" w:line="240" w:lineRule="auto"/>
              <w:jc w:val="right"/>
              <w:rPr>
                <w:rFonts w:eastAsia="Times New Roman" w:cs="Calibri"/>
                <w:color w:val="000000"/>
                <w:sz w:val="22"/>
                <w:lang w:eastAsia="en-GB"/>
              </w:rPr>
            </w:pPr>
            <w:r>
              <w:rPr>
                <w:rFonts w:eastAsia="Times New Roman" w:cs="Calibri"/>
                <w:color w:val="000000"/>
                <w:sz w:val="22"/>
                <w:lang w:eastAsia="en-GB"/>
              </w:rPr>
              <w:t>12.8%</w:t>
            </w:r>
          </w:p>
        </w:tc>
        <w:tc>
          <w:tcPr>
            <w:tcW w:w="1787" w:type="dxa"/>
            <w:vAlign w:val="bottom"/>
          </w:tcPr>
          <w:p w:rsidR="00FC3071" w:rsidRDefault="00FC3071" w:rsidP="00B00B81">
            <w:pPr>
              <w:spacing w:after="0" w:line="240" w:lineRule="auto"/>
              <w:jc w:val="right"/>
              <w:rPr>
                <w:rFonts w:eastAsia="Times New Roman" w:cs="Calibri"/>
                <w:color w:val="000000"/>
                <w:sz w:val="22"/>
                <w:lang w:eastAsia="en-GB"/>
              </w:rPr>
            </w:pPr>
            <w:r>
              <w:rPr>
                <w:rFonts w:eastAsia="Times New Roman" w:cs="Calibri"/>
                <w:color w:val="000000"/>
                <w:sz w:val="22"/>
                <w:lang w:eastAsia="en-GB"/>
              </w:rPr>
              <w:t>87.2%</w:t>
            </w:r>
          </w:p>
        </w:tc>
      </w:tr>
      <w:tr w:rsidR="00FC3071" w:rsidTr="00FC3071">
        <w:trPr>
          <w:trHeight w:val="270"/>
        </w:trPr>
        <w:tc>
          <w:tcPr>
            <w:tcW w:w="1560" w:type="dxa"/>
            <w:shd w:val="clear" w:color="auto" w:fill="auto"/>
            <w:noWrap/>
            <w:vAlign w:val="bottom"/>
            <w:hideMark/>
          </w:tcPr>
          <w:p w:rsidR="00FC3071" w:rsidRDefault="00FC3071" w:rsidP="00B00B81">
            <w:pPr>
              <w:spacing w:after="0" w:line="240" w:lineRule="auto"/>
              <w:rPr>
                <w:rFonts w:eastAsia="Times New Roman" w:cs="Calibri"/>
                <w:color w:val="000000"/>
                <w:sz w:val="22"/>
                <w:lang w:eastAsia="en-GB"/>
              </w:rPr>
            </w:pPr>
            <w:r>
              <w:rPr>
                <w:rFonts w:eastAsia="Times New Roman" w:cs="Calibri"/>
                <w:color w:val="000000"/>
                <w:sz w:val="22"/>
                <w:lang w:eastAsia="en-GB"/>
              </w:rPr>
              <w:t>Pre Formal</w:t>
            </w:r>
          </w:p>
        </w:tc>
        <w:tc>
          <w:tcPr>
            <w:tcW w:w="1615" w:type="dxa"/>
            <w:vAlign w:val="bottom"/>
          </w:tcPr>
          <w:p w:rsidR="00FC3071" w:rsidRDefault="00FC3071" w:rsidP="00B00B81">
            <w:pPr>
              <w:spacing w:after="0" w:line="240" w:lineRule="auto"/>
              <w:jc w:val="right"/>
              <w:rPr>
                <w:rFonts w:eastAsia="Times New Roman" w:cs="Calibri"/>
                <w:color w:val="000000"/>
                <w:sz w:val="22"/>
                <w:lang w:eastAsia="en-GB"/>
              </w:rPr>
            </w:pPr>
            <w:r>
              <w:rPr>
                <w:rFonts w:eastAsia="Times New Roman" w:cs="Calibri"/>
                <w:color w:val="000000"/>
                <w:sz w:val="22"/>
                <w:lang w:eastAsia="en-GB"/>
              </w:rPr>
              <w:t>21.1%</w:t>
            </w:r>
          </w:p>
        </w:tc>
        <w:tc>
          <w:tcPr>
            <w:tcW w:w="1787" w:type="dxa"/>
            <w:vAlign w:val="bottom"/>
          </w:tcPr>
          <w:p w:rsidR="00FC3071" w:rsidRDefault="00FC3071" w:rsidP="00B00B81">
            <w:pPr>
              <w:spacing w:after="0" w:line="240" w:lineRule="auto"/>
              <w:jc w:val="right"/>
              <w:rPr>
                <w:rFonts w:eastAsia="Times New Roman" w:cs="Calibri"/>
                <w:color w:val="000000"/>
                <w:sz w:val="22"/>
                <w:lang w:eastAsia="en-GB"/>
              </w:rPr>
            </w:pPr>
            <w:r>
              <w:rPr>
                <w:rFonts w:eastAsia="Times New Roman" w:cs="Calibri"/>
                <w:color w:val="000000"/>
                <w:sz w:val="22"/>
                <w:lang w:eastAsia="en-GB"/>
              </w:rPr>
              <w:t>78.9%</w:t>
            </w:r>
          </w:p>
        </w:tc>
      </w:tr>
      <w:tr w:rsidR="00FC3071" w:rsidTr="00FC3071">
        <w:trPr>
          <w:trHeight w:val="270"/>
        </w:trPr>
        <w:tc>
          <w:tcPr>
            <w:tcW w:w="1560" w:type="dxa"/>
            <w:shd w:val="clear" w:color="auto" w:fill="auto"/>
            <w:noWrap/>
            <w:vAlign w:val="bottom"/>
            <w:hideMark/>
          </w:tcPr>
          <w:p w:rsidR="00FC3071" w:rsidRDefault="00FC3071" w:rsidP="00B00B81">
            <w:pPr>
              <w:spacing w:after="0" w:line="240" w:lineRule="auto"/>
              <w:rPr>
                <w:rFonts w:eastAsia="Times New Roman" w:cs="Calibri"/>
                <w:b/>
                <w:bCs/>
                <w:color w:val="000000"/>
                <w:sz w:val="22"/>
                <w:lang w:eastAsia="en-GB"/>
              </w:rPr>
            </w:pPr>
            <w:r>
              <w:rPr>
                <w:rFonts w:eastAsia="Times New Roman" w:cs="Calibri"/>
                <w:b/>
                <w:bCs/>
                <w:color w:val="000000"/>
                <w:sz w:val="22"/>
                <w:lang w:eastAsia="en-GB"/>
              </w:rPr>
              <w:t>Grand Total</w:t>
            </w:r>
          </w:p>
        </w:tc>
        <w:tc>
          <w:tcPr>
            <w:tcW w:w="1615" w:type="dxa"/>
            <w:vAlign w:val="bottom"/>
          </w:tcPr>
          <w:p w:rsidR="00FC3071" w:rsidRDefault="00FC3071" w:rsidP="00B00B81">
            <w:pPr>
              <w:spacing w:after="0" w:line="240" w:lineRule="auto"/>
              <w:jc w:val="right"/>
              <w:rPr>
                <w:rFonts w:eastAsia="Times New Roman" w:cs="Calibri"/>
                <w:b/>
                <w:bCs/>
                <w:color w:val="000000"/>
                <w:sz w:val="22"/>
                <w:lang w:eastAsia="en-GB"/>
              </w:rPr>
            </w:pPr>
            <w:r>
              <w:rPr>
                <w:rFonts w:eastAsia="Times New Roman" w:cs="Calibri"/>
                <w:b/>
                <w:bCs/>
                <w:color w:val="000000"/>
                <w:sz w:val="22"/>
                <w:lang w:eastAsia="en-GB"/>
              </w:rPr>
              <w:t>14.3%</w:t>
            </w:r>
          </w:p>
        </w:tc>
        <w:tc>
          <w:tcPr>
            <w:tcW w:w="1787" w:type="dxa"/>
            <w:vAlign w:val="bottom"/>
          </w:tcPr>
          <w:p w:rsidR="00FC3071" w:rsidRDefault="00FC3071" w:rsidP="00B00B81">
            <w:pPr>
              <w:spacing w:after="0" w:line="240" w:lineRule="auto"/>
              <w:jc w:val="right"/>
              <w:rPr>
                <w:rFonts w:eastAsia="Times New Roman" w:cs="Calibri"/>
                <w:b/>
                <w:bCs/>
                <w:color w:val="000000"/>
                <w:sz w:val="22"/>
                <w:lang w:eastAsia="en-GB"/>
              </w:rPr>
            </w:pPr>
            <w:r>
              <w:rPr>
                <w:rFonts w:eastAsia="Times New Roman" w:cs="Calibri"/>
                <w:b/>
                <w:bCs/>
                <w:color w:val="000000"/>
                <w:sz w:val="22"/>
                <w:lang w:eastAsia="en-GB"/>
              </w:rPr>
              <w:t>85.7%</w:t>
            </w:r>
          </w:p>
        </w:tc>
      </w:tr>
    </w:tbl>
    <w:p w:rsidR="00DF332D" w:rsidRDefault="00CF4FA7">
      <w:r>
        <w:t>In Autumn, the best performing pathway was Pre-Formal (83.9%). In Spring, the least performing pathway is Pre-Formal (59.3%). This demonstrates the disproportionate impact of COVID on the educational outcomes of our most vulnerable and complex learners.</w:t>
      </w:r>
      <w:r w:rsidR="00DF332D">
        <w:t xml:space="preserve"> Data from the summer term suggests that pre-formal learners </w:t>
      </w:r>
      <w:r w:rsidR="008E6FDB">
        <w:t xml:space="preserve">are the least performing pathway. </w:t>
      </w:r>
    </w:p>
    <w:p w:rsidR="00BD5934" w:rsidRDefault="00ED6285">
      <w:r>
        <w:t xml:space="preserve">This is the first term that the ‘braided’ pathway have been recognised and analysed as a separate group of learners. This is a huge achievement at The Meadows School and one that must be celebrated. </w:t>
      </w:r>
    </w:p>
    <w:p w:rsidR="00BD5934" w:rsidRDefault="00BD5934"/>
    <w:p w:rsidR="00BD5934" w:rsidRDefault="00CF4FA7">
      <w:pPr>
        <w:rPr>
          <w:b/>
          <w:u w:val="single"/>
        </w:rPr>
      </w:pPr>
      <w:r>
        <w:rPr>
          <w:b/>
          <w:u w:val="single"/>
        </w:rPr>
        <w:t>Section 5: Visual impairment</w:t>
      </w:r>
    </w:p>
    <w:p w:rsidR="002B1410" w:rsidRDefault="00B02435">
      <w:r>
        <w:t>All three</w:t>
      </w:r>
      <w:r w:rsidR="00CF4FA7">
        <w:t xml:space="preserve"> report</w:t>
      </w:r>
      <w:r>
        <w:t xml:space="preserve">s for Autumn, </w:t>
      </w:r>
      <w:r w:rsidR="00CF4FA7">
        <w:t xml:space="preserve">Spring </w:t>
      </w:r>
      <w:r>
        <w:t xml:space="preserve">and the current Summer 20-21 </w:t>
      </w:r>
      <w:r w:rsidR="00CF4FA7">
        <w:t xml:space="preserve">report have identified the two domains of ‘Physical and Sensory’ and ‘Independence’ contain a higher proportion of ‘not on track’ targets, compared to the other three domains. Additionally, an action within the Autumn report was: ‘Pull out ‘areas/subjects’ (for example: emotional regulation, reading, maths…) from the data set, to support the implementation of ‘deep dives’. Visual Impairment (VI) directly related to these two domains, therefore an analysis was conducted regarding the students with VI. </w:t>
      </w:r>
    </w:p>
    <w:p w:rsidR="00BD5934" w:rsidRDefault="00CF4FA7">
      <w:pPr>
        <w:rPr>
          <w:b/>
          <w:u w:val="single"/>
        </w:rPr>
      </w:pPr>
      <w:r>
        <w:t>For the VI cohort a breakdown of their ‘on track’ compared to their ‘not on track’ targets was generated. This was compared to the cohort of students without VI.</w:t>
      </w:r>
    </w:p>
    <w:p w:rsidR="00BD5934" w:rsidRDefault="00BD5934"/>
    <w:p w:rsidR="00BD5934" w:rsidRDefault="00CF4FA7">
      <w:r>
        <w:t xml:space="preserve">                                                                    </w:t>
      </w:r>
      <w:r>
        <w:rPr>
          <w:noProof/>
          <w:lang w:eastAsia="en-GB"/>
        </w:rPr>
        <w:drawing>
          <wp:inline distT="0" distB="0" distL="0" distR="0">
            <wp:extent cx="2724150" cy="2162175"/>
            <wp:effectExtent l="0" t="0" r="0" b="952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Pr>
          <w:noProof/>
          <w:lang w:eastAsia="en-GB"/>
        </w:rPr>
        <w:drawing>
          <wp:anchor distT="0" distB="0" distL="114300" distR="114300" simplePos="0" relativeHeight="251665408" behindDoc="1" locked="0" layoutInCell="1" allowOverlap="1">
            <wp:simplePos x="0" y="0"/>
            <wp:positionH relativeFrom="column">
              <wp:posOffset>0</wp:posOffset>
            </wp:positionH>
            <wp:positionV relativeFrom="paragraph">
              <wp:posOffset>0</wp:posOffset>
            </wp:positionV>
            <wp:extent cx="2668270" cy="2162175"/>
            <wp:effectExtent l="0" t="0" r="17780" b="9525"/>
            <wp:wrapNone/>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rsidR="00BD5934" w:rsidRDefault="00BD5934"/>
    <w:p w:rsidR="00B02435" w:rsidRDefault="009427C0">
      <w:pPr>
        <w:rPr>
          <w:b/>
          <w:u w:val="single"/>
        </w:rPr>
      </w:pPr>
      <w:r>
        <w:rPr>
          <w:noProof/>
          <w:lang w:eastAsia="en-GB"/>
        </w:rPr>
        <w:drawing>
          <wp:inline distT="0" distB="0" distL="0" distR="0" wp14:anchorId="22C23C89" wp14:editId="10992B5D">
            <wp:extent cx="2762250" cy="2085975"/>
            <wp:effectExtent l="0" t="0" r="0" b="952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B02435">
        <w:rPr>
          <w:noProof/>
          <w:lang w:eastAsia="en-GB"/>
        </w:rPr>
        <w:drawing>
          <wp:inline distT="0" distB="0" distL="0" distR="0" wp14:anchorId="46C523FA" wp14:editId="2F5F53E0">
            <wp:extent cx="2619375" cy="2085975"/>
            <wp:effectExtent l="0" t="0" r="9525" b="952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02435" w:rsidRDefault="00B02435">
      <w:pPr>
        <w:rPr>
          <w:b/>
          <w:u w:val="single"/>
        </w:rPr>
      </w:pPr>
    </w:p>
    <w:p w:rsidR="00780388" w:rsidRDefault="00780388">
      <w:pPr>
        <w:rPr>
          <w:b/>
          <w:u w:val="single"/>
        </w:rPr>
      </w:pPr>
    </w:p>
    <w:p w:rsidR="00BD5934" w:rsidRDefault="00CF4FA7">
      <w:pPr>
        <w:rPr>
          <w:b/>
          <w:u w:val="single"/>
        </w:rPr>
      </w:pPr>
      <w:r>
        <w:rPr>
          <w:b/>
          <w:u w:val="single"/>
        </w:rPr>
        <w:t>Actions</w:t>
      </w:r>
    </w:p>
    <w:tbl>
      <w:tblPr>
        <w:tblStyle w:val="TableGrid"/>
        <w:tblW w:w="0" w:type="auto"/>
        <w:tblLook w:val="04A0" w:firstRow="1" w:lastRow="0" w:firstColumn="1" w:lastColumn="0" w:noHBand="0" w:noVBand="1"/>
      </w:tblPr>
      <w:tblGrid>
        <w:gridCol w:w="3005"/>
        <w:gridCol w:w="3005"/>
        <w:gridCol w:w="3006"/>
      </w:tblGrid>
      <w:tr w:rsidR="00BD5934">
        <w:tc>
          <w:tcPr>
            <w:tcW w:w="3005" w:type="dxa"/>
          </w:tcPr>
          <w:p w:rsidR="00BD5934" w:rsidRDefault="00205A93">
            <w:r>
              <w:t>Action from Spring</w:t>
            </w:r>
          </w:p>
        </w:tc>
        <w:tc>
          <w:tcPr>
            <w:tcW w:w="3005" w:type="dxa"/>
          </w:tcPr>
          <w:p w:rsidR="00BD5934" w:rsidRDefault="00CF4FA7">
            <w:r>
              <w:t>Update</w:t>
            </w:r>
          </w:p>
        </w:tc>
        <w:tc>
          <w:tcPr>
            <w:tcW w:w="3006" w:type="dxa"/>
          </w:tcPr>
          <w:p w:rsidR="00BD5934" w:rsidRDefault="00205A93">
            <w:r>
              <w:t>Actions from Summer</w:t>
            </w:r>
          </w:p>
        </w:tc>
      </w:tr>
      <w:tr w:rsidR="00BD5934">
        <w:tc>
          <w:tcPr>
            <w:tcW w:w="3005" w:type="dxa"/>
          </w:tcPr>
          <w:p w:rsidR="00BD5934" w:rsidRDefault="00CF4FA7">
            <w:r>
              <w:t>Target our deployment of the Pupil Premium Fund and the new COVID Catch-Up Fund on the promotion of Remote Education as well as high-quality on-site provision.</w:t>
            </w:r>
          </w:p>
          <w:p w:rsidR="00BD5934" w:rsidRDefault="00BD5934">
            <w:pPr>
              <w:rPr>
                <w:b/>
                <w:u w:val="single"/>
              </w:rPr>
            </w:pPr>
          </w:p>
        </w:tc>
        <w:tc>
          <w:tcPr>
            <w:tcW w:w="3005" w:type="dxa"/>
          </w:tcPr>
          <w:p w:rsidR="00BD5934" w:rsidRDefault="00CF4FA7" w:rsidP="00826D58">
            <w:r>
              <w:t xml:space="preserve">Lockdown delayed the </w:t>
            </w:r>
            <w:r w:rsidR="00205A93">
              <w:t xml:space="preserve">start of some initiatives. </w:t>
            </w:r>
            <w:r>
              <w:t>Sports Coach</w:t>
            </w:r>
            <w:r w:rsidR="00205A93">
              <w:t xml:space="preserve"> now started and on site provisions are underway e.g.</w:t>
            </w:r>
            <w:r>
              <w:t xml:space="preserve"> drama therapy, sensory packs, art therapy</w:t>
            </w:r>
          </w:p>
        </w:tc>
        <w:tc>
          <w:tcPr>
            <w:tcW w:w="3006" w:type="dxa"/>
          </w:tcPr>
          <w:p w:rsidR="00BD5934" w:rsidRDefault="00CF4FA7">
            <w:r>
              <w:t>Continuation</w:t>
            </w:r>
          </w:p>
        </w:tc>
      </w:tr>
      <w:tr w:rsidR="00BD5934">
        <w:tc>
          <w:tcPr>
            <w:tcW w:w="3005" w:type="dxa"/>
          </w:tcPr>
          <w:p w:rsidR="00BD5934" w:rsidRDefault="00CF4FA7">
            <w:r>
              <w:t>Work with our Multi-Agency colleagues to maximise their attendance and impact.</w:t>
            </w:r>
          </w:p>
          <w:p w:rsidR="00BD5934" w:rsidRDefault="00BD5934">
            <w:pPr>
              <w:rPr>
                <w:b/>
                <w:u w:val="single"/>
              </w:rPr>
            </w:pPr>
          </w:p>
        </w:tc>
        <w:tc>
          <w:tcPr>
            <w:tcW w:w="3005" w:type="dxa"/>
          </w:tcPr>
          <w:p w:rsidR="00BD5934" w:rsidRDefault="00826D58">
            <w:r w:rsidRPr="00826D58">
              <w:t>More engagement from multi-agency team, team are back in school and working within their service level agreement.</w:t>
            </w:r>
          </w:p>
        </w:tc>
        <w:tc>
          <w:tcPr>
            <w:tcW w:w="3006" w:type="dxa"/>
          </w:tcPr>
          <w:p w:rsidR="00BD5934" w:rsidRPr="008C0338" w:rsidRDefault="006E2962">
            <w:pPr>
              <w:rPr>
                <w:b/>
                <w:highlight w:val="yellow"/>
                <w:u w:val="single"/>
              </w:rPr>
            </w:pPr>
            <w:r>
              <w:t>Continuation</w:t>
            </w:r>
          </w:p>
        </w:tc>
      </w:tr>
      <w:tr w:rsidR="00BD5934">
        <w:tc>
          <w:tcPr>
            <w:tcW w:w="3005" w:type="dxa"/>
          </w:tcPr>
          <w:p w:rsidR="00BD5934" w:rsidRDefault="00CF4FA7">
            <w:r>
              <w:t>Monitor the comparative performance of the three pathways. Consider the development of a fourth pathway, separating SLD and Complex ASC.</w:t>
            </w:r>
          </w:p>
          <w:p w:rsidR="00BD5934" w:rsidRDefault="00BD5934">
            <w:pPr>
              <w:rPr>
                <w:b/>
                <w:u w:val="single"/>
              </w:rPr>
            </w:pPr>
          </w:p>
        </w:tc>
        <w:tc>
          <w:tcPr>
            <w:tcW w:w="3005" w:type="dxa"/>
          </w:tcPr>
          <w:p w:rsidR="006E2962" w:rsidRDefault="00573440" w:rsidP="00573440">
            <w:r w:rsidRPr="00573440">
              <w:t>Achieved</w:t>
            </w:r>
            <w:r>
              <w:t xml:space="preserve">. </w:t>
            </w:r>
          </w:p>
          <w:p w:rsidR="00BD5934" w:rsidRDefault="00573440" w:rsidP="00573440">
            <w:r>
              <w:t xml:space="preserve">Braided curriculum has now been implemented and data sets have been reported on.  </w:t>
            </w:r>
          </w:p>
        </w:tc>
        <w:tc>
          <w:tcPr>
            <w:tcW w:w="3006" w:type="dxa"/>
          </w:tcPr>
          <w:p w:rsidR="00BD5934" w:rsidRDefault="00EF1260">
            <w:r>
              <w:t xml:space="preserve">Explore the options for the Braided Pathway to ensure MAPP is the most effective tool for measuring progress. </w:t>
            </w:r>
          </w:p>
        </w:tc>
      </w:tr>
      <w:tr w:rsidR="00BD5934">
        <w:tc>
          <w:tcPr>
            <w:tcW w:w="3005" w:type="dxa"/>
          </w:tcPr>
          <w:p w:rsidR="009427C0" w:rsidRDefault="009427C0" w:rsidP="009427C0">
            <w:r>
              <w:t>Establish the new role of SENCo to improve oversight and co-ordination of colleagues from Sensory Support Service.</w:t>
            </w:r>
          </w:p>
          <w:p w:rsidR="00BD5934" w:rsidRDefault="009427C0" w:rsidP="009427C0">
            <w:pPr>
              <w:rPr>
                <w:b/>
                <w:u w:val="single"/>
              </w:rPr>
            </w:pPr>
            <w:r>
              <w:t>Release and task newly qualified QTVI, to improve provision for students with sensory impairment and monitor their progress</w:t>
            </w:r>
          </w:p>
        </w:tc>
        <w:tc>
          <w:tcPr>
            <w:tcW w:w="3005" w:type="dxa"/>
          </w:tcPr>
          <w:p w:rsidR="00BD5934" w:rsidRDefault="00CF4FA7">
            <w:r>
              <w:t>VI Analysis.</w:t>
            </w:r>
          </w:p>
          <w:p w:rsidR="00BD5934" w:rsidRDefault="009427C0" w:rsidP="009427C0">
            <w:pPr>
              <w:rPr>
                <w:b/>
                <w:u w:val="single"/>
              </w:rPr>
            </w:pPr>
            <w:r>
              <w:t xml:space="preserve">Spring term’s ‘alarming’ findings appears to be </w:t>
            </w:r>
            <w:r w:rsidR="00CF4FA7">
              <w:t>a blip (only one te</w:t>
            </w:r>
            <w:r>
              <w:t>rm within a very unusual year), as summer data demonstrates a reduction in 29%</w:t>
            </w:r>
            <w:r w:rsidR="006E2962">
              <w:t xml:space="preserve"> for ‘not on track’ VI students. However, compared to non-VI students this is still higher. </w:t>
            </w:r>
          </w:p>
        </w:tc>
        <w:tc>
          <w:tcPr>
            <w:tcW w:w="3006" w:type="dxa"/>
          </w:tcPr>
          <w:p w:rsidR="00BD5934" w:rsidRDefault="006E2962">
            <w:r>
              <w:t xml:space="preserve">Continue to analyse VI data sets this year to ensure the Gap in attainment continues to close. </w:t>
            </w:r>
          </w:p>
        </w:tc>
      </w:tr>
    </w:tbl>
    <w:p w:rsidR="00BD5934" w:rsidRDefault="00BD5934"/>
    <w:p w:rsidR="004B1DA2" w:rsidRDefault="00CF4FA7">
      <w:pPr>
        <w:rPr>
          <w:u w:val="single"/>
        </w:rPr>
      </w:pPr>
      <w:r>
        <w:rPr>
          <w:u w:val="single"/>
        </w:rPr>
        <w:t>Additional Actions</w:t>
      </w:r>
    </w:p>
    <w:p w:rsidR="004B1DA2" w:rsidRDefault="00BB755D">
      <w:r>
        <w:t xml:space="preserve">AHT’s to work alongside the ‘independence’ and ‘physical and sensory’ bubble leaders to </w:t>
      </w:r>
      <w:r w:rsidR="00783D07">
        <w:t xml:space="preserve">improve provision and ultimately close the gap in attainment within these areas. </w:t>
      </w:r>
      <w:r w:rsidR="004B1DA2">
        <w:t xml:space="preserve">This will include; SLT to look at the current bubble structure </w:t>
      </w:r>
      <w:r w:rsidR="00874FF9">
        <w:t>and responsibility areas, specifically ‘physical and sensory</w:t>
      </w:r>
      <w:r w:rsidR="00932E45">
        <w:t>’.</w:t>
      </w:r>
      <w:r w:rsidR="00874FF9">
        <w:t xml:space="preserve"> </w:t>
      </w:r>
    </w:p>
    <w:p w:rsidR="004B1DA2" w:rsidRDefault="004B1DA2"/>
    <w:sectPr w:rsidR="004B1DA2">
      <w:footerReference w:type="default" r:id="rId28"/>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D5934" w:rsidRDefault="00CF4FA7">
      <w:pPr>
        <w:spacing w:after="0" w:line="240" w:lineRule="auto"/>
      </w:pPr>
      <w:r>
        <w:separator/>
      </w:r>
    </w:p>
  </w:endnote>
  <w:endnote w:type="continuationSeparator" w:id="0">
    <w:p w:rsidR="00BD5934" w:rsidRDefault="00CF4F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6594277"/>
      <w:docPartObj>
        <w:docPartGallery w:val="Page Numbers (Bottom of Page)"/>
        <w:docPartUnique/>
      </w:docPartObj>
    </w:sdtPr>
    <w:sdtEndPr>
      <w:rPr>
        <w:noProof/>
      </w:rPr>
    </w:sdtEndPr>
    <w:sdtContent>
      <w:p w:rsidR="00BD5934" w:rsidRDefault="00CF4FA7">
        <w:pPr>
          <w:pStyle w:val="Footer"/>
          <w:jc w:val="center"/>
        </w:pPr>
        <w:r>
          <w:fldChar w:fldCharType="begin"/>
        </w:r>
        <w:r>
          <w:instrText xml:space="preserve"> PAGE   \* MERGEFORMAT </w:instrText>
        </w:r>
        <w:r>
          <w:fldChar w:fldCharType="separate"/>
        </w:r>
        <w:r w:rsidR="001C3F22">
          <w:rPr>
            <w:noProof/>
          </w:rPr>
          <w:t>1</w:t>
        </w:r>
        <w:r>
          <w:rPr>
            <w:noProof/>
          </w:rPr>
          <w:fldChar w:fldCharType="end"/>
        </w:r>
      </w:p>
    </w:sdtContent>
  </w:sdt>
  <w:p w:rsidR="00BD5934" w:rsidRDefault="00BD593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D5934" w:rsidRDefault="00CF4FA7">
      <w:pPr>
        <w:spacing w:after="0" w:line="240" w:lineRule="auto"/>
      </w:pPr>
      <w:r>
        <w:separator/>
      </w:r>
    </w:p>
  </w:footnote>
  <w:footnote w:type="continuationSeparator" w:id="0">
    <w:p w:rsidR="00BD5934" w:rsidRDefault="00CF4FA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2104FE"/>
    <w:multiLevelType w:val="hybridMultilevel"/>
    <w:tmpl w:val="0916D8F0"/>
    <w:lvl w:ilvl="0" w:tplc="33BC04AE">
      <w:start w:val="10"/>
      <w:numFmt w:val="bullet"/>
      <w:lvlText w:val="-"/>
      <w:lvlJc w:val="left"/>
      <w:pPr>
        <w:ind w:left="1440" w:hanging="360"/>
      </w:pPr>
      <w:rPr>
        <w:rFonts w:ascii="Century Gothic" w:eastAsiaTheme="minorHAnsi" w:hAnsi="Century Gothic" w:cstheme="minorBid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F9C0B5D"/>
    <w:multiLevelType w:val="hybridMultilevel"/>
    <w:tmpl w:val="3782CD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90847E9"/>
    <w:multiLevelType w:val="hybridMultilevel"/>
    <w:tmpl w:val="FFD89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C446660"/>
    <w:multiLevelType w:val="hybridMultilevel"/>
    <w:tmpl w:val="68C4C4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F157CC2"/>
    <w:multiLevelType w:val="hybridMultilevel"/>
    <w:tmpl w:val="8362DC6A"/>
    <w:lvl w:ilvl="0" w:tplc="08090001">
      <w:start w:val="1"/>
      <w:numFmt w:val="bullet"/>
      <w:lvlText w:val=""/>
      <w:lvlJc w:val="left"/>
      <w:pPr>
        <w:ind w:left="720" w:hanging="360"/>
      </w:pPr>
      <w:rPr>
        <w:rFonts w:ascii="Symbol" w:hAnsi="Symbol" w:hint="default"/>
      </w:rPr>
    </w:lvl>
    <w:lvl w:ilvl="1" w:tplc="33BC04AE">
      <w:start w:val="10"/>
      <w:numFmt w:val="bullet"/>
      <w:lvlText w:val="-"/>
      <w:lvlJc w:val="left"/>
      <w:pPr>
        <w:ind w:left="1440" w:hanging="360"/>
      </w:pPr>
      <w:rPr>
        <w:rFonts w:ascii="Century Gothic" w:eastAsiaTheme="minorHAnsi" w:hAnsi="Century Gothic"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30671C1"/>
    <w:multiLevelType w:val="hybridMultilevel"/>
    <w:tmpl w:val="08CA768A"/>
    <w:lvl w:ilvl="0" w:tplc="08090001">
      <w:start w:val="1"/>
      <w:numFmt w:val="bullet"/>
      <w:lvlText w:val=""/>
      <w:lvlJc w:val="left"/>
      <w:pPr>
        <w:ind w:left="720" w:hanging="360"/>
      </w:pPr>
      <w:rPr>
        <w:rFonts w:ascii="Symbol" w:hAnsi="Symbol" w:hint="default"/>
      </w:rPr>
    </w:lvl>
    <w:lvl w:ilvl="1" w:tplc="33BC04AE">
      <w:start w:val="10"/>
      <w:numFmt w:val="bullet"/>
      <w:lvlText w:val="-"/>
      <w:lvlJc w:val="left"/>
      <w:pPr>
        <w:ind w:left="1440" w:hanging="360"/>
      </w:pPr>
      <w:rPr>
        <w:rFonts w:ascii="Century Gothic" w:eastAsiaTheme="minorHAnsi" w:hAnsi="Century Gothic"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99747A4"/>
    <w:multiLevelType w:val="hybridMultilevel"/>
    <w:tmpl w:val="55B2F3DE"/>
    <w:lvl w:ilvl="0" w:tplc="33BC04AE">
      <w:start w:val="10"/>
      <w:numFmt w:val="bullet"/>
      <w:lvlText w:val="-"/>
      <w:lvlJc w:val="left"/>
      <w:pPr>
        <w:ind w:left="1080" w:hanging="360"/>
      </w:pPr>
      <w:rPr>
        <w:rFonts w:ascii="Century Gothic" w:eastAsiaTheme="minorHAnsi" w:hAnsi="Century Gothic" w:cstheme="minorBidi"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7012208D"/>
    <w:multiLevelType w:val="hybridMultilevel"/>
    <w:tmpl w:val="395E16AE"/>
    <w:lvl w:ilvl="0" w:tplc="F98C2978">
      <w:start w:val="2019"/>
      <w:numFmt w:val="bullet"/>
      <w:lvlText w:val="-"/>
      <w:lvlJc w:val="left"/>
      <w:pPr>
        <w:ind w:left="1080" w:hanging="360"/>
      </w:pPr>
      <w:rPr>
        <w:rFonts w:ascii="Century Gothic" w:eastAsiaTheme="minorHAnsi" w:hAnsi="Century Gothic"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7AC07243"/>
    <w:multiLevelType w:val="hybridMultilevel"/>
    <w:tmpl w:val="FF24C5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D586E2C"/>
    <w:multiLevelType w:val="hybridMultilevel"/>
    <w:tmpl w:val="F70666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0"/>
  </w:num>
  <w:num w:numId="4">
    <w:abstractNumId w:val="8"/>
  </w:num>
  <w:num w:numId="5">
    <w:abstractNumId w:val="3"/>
  </w:num>
  <w:num w:numId="6">
    <w:abstractNumId w:val="1"/>
  </w:num>
  <w:num w:numId="7">
    <w:abstractNumId w:val="2"/>
  </w:num>
  <w:num w:numId="8">
    <w:abstractNumId w:val="6"/>
  </w:num>
  <w:num w:numId="9">
    <w:abstractNumId w:val="5"/>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5934"/>
    <w:rsid w:val="0007683A"/>
    <w:rsid w:val="0009637C"/>
    <w:rsid w:val="00160E36"/>
    <w:rsid w:val="001C3F22"/>
    <w:rsid w:val="00200700"/>
    <w:rsid w:val="00205A93"/>
    <w:rsid w:val="002B1410"/>
    <w:rsid w:val="003D3516"/>
    <w:rsid w:val="003E286A"/>
    <w:rsid w:val="004566D1"/>
    <w:rsid w:val="00472AF6"/>
    <w:rsid w:val="00474CD2"/>
    <w:rsid w:val="004B1DA2"/>
    <w:rsid w:val="004E119A"/>
    <w:rsid w:val="005011D2"/>
    <w:rsid w:val="00573440"/>
    <w:rsid w:val="005F0618"/>
    <w:rsid w:val="006661FB"/>
    <w:rsid w:val="006B65D5"/>
    <w:rsid w:val="006C5273"/>
    <w:rsid w:val="006E2962"/>
    <w:rsid w:val="00741485"/>
    <w:rsid w:val="00760947"/>
    <w:rsid w:val="007659B5"/>
    <w:rsid w:val="00780388"/>
    <w:rsid w:val="00781C56"/>
    <w:rsid w:val="00783D07"/>
    <w:rsid w:val="00813B28"/>
    <w:rsid w:val="00826D58"/>
    <w:rsid w:val="00874FF9"/>
    <w:rsid w:val="008B45F1"/>
    <w:rsid w:val="008B4B8C"/>
    <w:rsid w:val="008C0338"/>
    <w:rsid w:val="008C6DF9"/>
    <w:rsid w:val="008E6FDB"/>
    <w:rsid w:val="00932E45"/>
    <w:rsid w:val="009427C0"/>
    <w:rsid w:val="00952764"/>
    <w:rsid w:val="00972B22"/>
    <w:rsid w:val="0098668B"/>
    <w:rsid w:val="00A033CE"/>
    <w:rsid w:val="00A84825"/>
    <w:rsid w:val="00AB1EDD"/>
    <w:rsid w:val="00B02435"/>
    <w:rsid w:val="00BA3BC4"/>
    <w:rsid w:val="00BB755D"/>
    <w:rsid w:val="00BD5934"/>
    <w:rsid w:val="00C84F5C"/>
    <w:rsid w:val="00CF4FA7"/>
    <w:rsid w:val="00D01E9E"/>
    <w:rsid w:val="00D357A2"/>
    <w:rsid w:val="00D62365"/>
    <w:rsid w:val="00DF332D"/>
    <w:rsid w:val="00E01EE2"/>
    <w:rsid w:val="00E10298"/>
    <w:rsid w:val="00E16AE1"/>
    <w:rsid w:val="00E45408"/>
    <w:rsid w:val="00E53063"/>
    <w:rsid w:val="00E922D2"/>
    <w:rsid w:val="00EA2B76"/>
    <w:rsid w:val="00ED6285"/>
    <w:rsid w:val="00EF1260"/>
    <w:rsid w:val="00F129B6"/>
    <w:rsid w:val="00F478D0"/>
    <w:rsid w:val="00F63ADC"/>
    <w:rsid w:val="00F96941"/>
    <w:rsid w:val="00FC3071"/>
    <w:rsid w:val="00FE64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7862B96-1905-4C0E-97FD-E3DAD08B0E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Gothic" w:eastAsiaTheme="minorHAnsi" w:hAnsi="Century Gothic" w:cstheme="minorBidi"/>
        <w:sz w:val="24"/>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ListParagraph">
    <w:name w:val="List Paragraph"/>
    <w:basedOn w:val="Normal"/>
    <w:uiPriority w:val="34"/>
    <w:qFormat/>
    <w:pPr>
      <w:ind w:left="720"/>
      <w:contextualSpacing/>
    </w:p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113297">
      <w:bodyDiv w:val="1"/>
      <w:marLeft w:val="0"/>
      <w:marRight w:val="0"/>
      <w:marTop w:val="0"/>
      <w:marBottom w:val="0"/>
      <w:divBdr>
        <w:top w:val="none" w:sz="0" w:space="0" w:color="auto"/>
        <w:left w:val="none" w:sz="0" w:space="0" w:color="auto"/>
        <w:bottom w:val="none" w:sz="0" w:space="0" w:color="auto"/>
        <w:right w:val="none" w:sz="0" w:space="0" w:color="auto"/>
      </w:divBdr>
    </w:div>
    <w:div w:id="287472477">
      <w:bodyDiv w:val="1"/>
      <w:marLeft w:val="0"/>
      <w:marRight w:val="0"/>
      <w:marTop w:val="0"/>
      <w:marBottom w:val="0"/>
      <w:divBdr>
        <w:top w:val="none" w:sz="0" w:space="0" w:color="auto"/>
        <w:left w:val="none" w:sz="0" w:space="0" w:color="auto"/>
        <w:bottom w:val="none" w:sz="0" w:space="0" w:color="auto"/>
        <w:right w:val="none" w:sz="0" w:space="0" w:color="auto"/>
      </w:divBdr>
    </w:div>
    <w:div w:id="305403584">
      <w:bodyDiv w:val="1"/>
      <w:marLeft w:val="0"/>
      <w:marRight w:val="0"/>
      <w:marTop w:val="0"/>
      <w:marBottom w:val="0"/>
      <w:divBdr>
        <w:top w:val="none" w:sz="0" w:space="0" w:color="auto"/>
        <w:left w:val="none" w:sz="0" w:space="0" w:color="auto"/>
        <w:bottom w:val="none" w:sz="0" w:space="0" w:color="auto"/>
        <w:right w:val="none" w:sz="0" w:space="0" w:color="auto"/>
      </w:divBdr>
    </w:div>
    <w:div w:id="372658449">
      <w:bodyDiv w:val="1"/>
      <w:marLeft w:val="0"/>
      <w:marRight w:val="0"/>
      <w:marTop w:val="0"/>
      <w:marBottom w:val="0"/>
      <w:divBdr>
        <w:top w:val="none" w:sz="0" w:space="0" w:color="auto"/>
        <w:left w:val="none" w:sz="0" w:space="0" w:color="auto"/>
        <w:bottom w:val="none" w:sz="0" w:space="0" w:color="auto"/>
        <w:right w:val="none" w:sz="0" w:space="0" w:color="auto"/>
      </w:divBdr>
    </w:div>
    <w:div w:id="539321987">
      <w:bodyDiv w:val="1"/>
      <w:marLeft w:val="0"/>
      <w:marRight w:val="0"/>
      <w:marTop w:val="0"/>
      <w:marBottom w:val="0"/>
      <w:divBdr>
        <w:top w:val="none" w:sz="0" w:space="0" w:color="auto"/>
        <w:left w:val="none" w:sz="0" w:space="0" w:color="auto"/>
        <w:bottom w:val="none" w:sz="0" w:space="0" w:color="auto"/>
        <w:right w:val="none" w:sz="0" w:space="0" w:color="auto"/>
      </w:divBdr>
    </w:div>
    <w:div w:id="872230558">
      <w:bodyDiv w:val="1"/>
      <w:marLeft w:val="0"/>
      <w:marRight w:val="0"/>
      <w:marTop w:val="0"/>
      <w:marBottom w:val="0"/>
      <w:divBdr>
        <w:top w:val="none" w:sz="0" w:space="0" w:color="auto"/>
        <w:left w:val="none" w:sz="0" w:space="0" w:color="auto"/>
        <w:bottom w:val="none" w:sz="0" w:space="0" w:color="auto"/>
        <w:right w:val="none" w:sz="0" w:space="0" w:color="auto"/>
      </w:divBdr>
    </w:div>
    <w:div w:id="1240287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chart" Target="charts/chart7.xml"/><Relationship Id="rId18" Type="http://schemas.openxmlformats.org/officeDocument/2006/relationships/chart" Target="charts/chart12.xml"/><Relationship Id="rId26" Type="http://schemas.openxmlformats.org/officeDocument/2006/relationships/chart" Target="charts/chart20.xml"/><Relationship Id="rId3" Type="http://schemas.openxmlformats.org/officeDocument/2006/relationships/settings" Target="settings.xml"/><Relationship Id="rId21" Type="http://schemas.openxmlformats.org/officeDocument/2006/relationships/chart" Target="charts/chart15.xml"/><Relationship Id="rId7" Type="http://schemas.openxmlformats.org/officeDocument/2006/relationships/chart" Target="charts/chart1.xml"/><Relationship Id="rId12" Type="http://schemas.openxmlformats.org/officeDocument/2006/relationships/chart" Target="charts/chart6.xml"/><Relationship Id="rId17" Type="http://schemas.openxmlformats.org/officeDocument/2006/relationships/chart" Target="charts/chart11.xml"/><Relationship Id="rId25" Type="http://schemas.openxmlformats.org/officeDocument/2006/relationships/chart" Target="charts/chart19.xml"/><Relationship Id="rId2" Type="http://schemas.openxmlformats.org/officeDocument/2006/relationships/styles" Target="styles.xml"/><Relationship Id="rId16" Type="http://schemas.openxmlformats.org/officeDocument/2006/relationships/chart" Target="charts/chart10.xml"/><Relationship Id="rId20" Type="http://schemas.openxmlformats.org/officeDocument/2006/relationships/chart" Target="charts/chart14.xm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5.xml"/><Relationship Id="rId24" Type="http://schemas.openxmlformats.org/officeDocument/2006/relationships/chart" Target="charts/chart18.xml"/><Relationship Id="rId5" Type="http://schemas.openxmlformats.org/officeDocument/2006/relationships/footnotes" Target="footnotes.xml"/><Relationship Id="rId15" Type="http://schemas.openxmlformats.org/officeDocument/2006/relationships/chart" Target="charts/chart9.xml"/><Relationship Id="rId23" Type="http://schemas.openxmlformats.org/officeDocument/2006/relationships/chart" Target="charts/chart17.xml"/><Relationship Id="rId28" Type="http://schemas.openxmlformats.org/officeDocument/2006/relationships/footer" Target="footer1.xml"/><Relationship Id="rId10" Type="http://schemas.openxmlformats.org/officeDocument/2006/relationships/chart" Target="charts/chart4.xml"/><Relationship Id="rId19" Type="http://schemas.openxmlformats.org/officeDocument/2006/relationships/chart" Target="charts/chart13.xml"/><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chart" Target="charts/chart8.xml"/><Relationship Id="rId22" Type="http://schemas.openxmlformats.org/officeDocument/2006/relationships/chart" Target="charts/chart16.xml"/><Relationship Id="rId27" Type="http://schemas.openxmlformats.org/officeDocument/2006/relationships/chart" Target="charts/chart21.xml"/><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ad.meadows.sandwell.sch.uk\File%20Server$\Admin%20Shares$\Senior%20Team\SPENCER%20Graham\January%2021%20Assessment\DATA%20JAN2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3.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4.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5.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6.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7.xlsx"/></Relationships>
</file>

<file path=word/charts/_rels/chart15.xml.rels><?xml version="1.0" encoding="UTF-8" standalone="yes"?>
<Relationships xmlns="http://schemas.openxmlformats.org/package/2006/relationships"><Relationship Id="rId3" Type="http://schemas.openxmlformats.org/officeDocument/2006/relationships/oleObject" Target="file:///\\ad.meadows.sandwell.sch.uk\File%20Server$\Admin%20Shares$\Senior%20Team\SPENCER%20Graham\January%2021%20Assessment\DATA%20JAN21.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ad.meadows.sandwell.sch.uk\File%20Server$\Admin%20Shares$\Senior%20Team\SPENCER%20Graham\April%2021%20Assessment\DATA%20APR21.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8.xlsx"/></Relationships>
</file>

<file path=word/charts/_rels/chart18.xml.rels><?xml version="1.0" encoding="UTF-8" standalone="yes"?>
<Relationships xmlns="http://schemas.openxmlformats.org/package/2006/relationships"><Relationship Id="rId3" Type="http://schemas.openxmlformats.org/officeDocument/2006/relationships/oleObject" Target="file:///\\ad.meadows.sandwell.sch.uk\File%20Server$\Admin%20Shares$\Senior%20Team\SPENCER%20Graham\April%2021%20Assessment\VI%20Students.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ad.meadows.sandwell.sch.uk\File%20Server$\Admin%20Shares$\Senior%20Team\SPENCER%20Graham\April%2021%20Assessment\VI%20Student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ad.meadows.sandwell.sch.uk\File%20Server$\Admin%20Shares$\Senior%20Team\SPENCER%20Graham\April%2021%20Assessment\DATA%20APR21.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10.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ad.meadows.sandwell.sch.uk\File%20Server$\Admin%20Shares$\Senior%20Team\SPENCER%20Graham\January%2021%20Assessment\DATA%20JAN2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ad.meadows.sandwell.sch.uk\File%20Server$\Admin%20Shares$\Senior%20Team\SPENCER%20Graham\April%2021%20Assessment\DATA%20APR2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ad.meadows.sandwell.sch.uk\File%20Server$\Admin%20Shares$\Senior%20Team\SPENCER%20Graham\July%2021%20Assessment\DATA%20Jul21.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ad.meadows.sandwell.sch.uk\File%20Server$\Admin%20Shares$\Senior%20Team\SPENCER%20Graham\July%2021%20Assessment\DATA%20Jul21.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Autumn 20/21-All EHCP Targets On Track Vs Not On Track</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Sheet1!$N$4</c:f>
              <c:strCache>
                <c:ptCount val="1"/>
                <c:pt idx="0">
                  <c:v>All EHCP Targets, On Track Vs Not On Track</c:v>
                </c:pt>
              </c:strCache>
            </c:strRef>
          </c:tx>
          <c:dPt>
            <c:idx val="0"/>
            <c:bubble3D val="0"/>
            <c:spPr>
              <a:solidFill>
                <a:srgbClr val="92D050"/>
              </a:solidFill>
              <a:ln w="19050">
                <a:solidFill>
                  <a:schemeClr val="lt1"/>
                </a:solidFill>
              </a:ln>
              <a:effectLst/>
            </c:spPr>
            <c:extLst>
              <c:ext xmlns:c16="http://schemas.microsoft.com/office/drawing/2014/chart" uri="{C3380CC4-5D6E-409C-BE32-E72D297353CC}">
                <c16:uniqueId val="{00000001-44E2-42E0-9687-86A52B39FAA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4E2-42E0-9687-86A52B39FAAB}"/>
              </c:ext>
            </c:extLst>
          </c:dPt>
          <c:dLbls>
            <c:dLbl>
              <c:idx val="0"/>
              <c:layout/>
              <c:tx>
                <c:rich>
                  <a:bodyPr/>
                  <a:lstStyle/>
                  <a:p>
                    <a:r>
                      <a:rPr lang="en-US"/>
                      <a:t>77.6%</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44E2-42E0-9687-86A52B39FAAB}"/>
                </c:ext>
              </c:extLst>
            </c:dLbl>
            <c:dLbl>
              <c:idx val="1"/>
              <c:layout/>
              <c:tx>
                <c:rich>
                  <a:bodyPr/>
                  <a:lstStyle/>
                  <a:p>
                    <a:r>
                      <a:rPr lang="en-US"/>
                      <a:t>22.4%</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44E2-42E0-9687-86A52B39FAAB}"/>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Sheet1!$M$5:$M$6</c:f>
              <c:strCache>
                <c:ptCount val="2"/>
                <c:pt idx="0">
                  <c:v>On Track</c:v>
                </c:pt>
                <c:pt idx="1">
                  <c:v>Not on Track</c:v>
                </c:pt>
              </c:strCache>
            </c:strRef>
          </c:cat>
          <c:val>
            <c:numRef>
              <c:f>Sheet1!$N$5:$N$6</c:f>
              <c:numCache>
                <c:formatCode>General</c:formatCode>
                <c:ptCount val="2"/>
                <c:pt idx="0">
                  <c:v>1465</c:v>
                </c:pt>
                <c:pt idx="1">
                  <c:v>422</c:v>
                </c:pt>
              </c:numCache>
            </c:numRef>
          </c:val>
          <c:extLst>
            <c:ext xmlns:c16="http://schemas.microsoft.com/office/drawing/2014/chart" uri="{C3380CC4-5D6E-409C-BE32-E72D297353CC}">
              <c16:uniqueId val="{00000004-44E2-42E0-9687-86A52B39FAAB}"/>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[DATA Jul21.xlsx]Chart 1 Domain!PivotTable3</c:name>
    <c:fmtId val="-1"/>
  </c:pivotSource>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pivotFmt>
      <c:pivotFmt>
        <c:idx val="1"/>
        <c:spPr>
          <a:solidFill>
            <a:schemeClr val="accent1"/>
          </a:solidFill>
          <a:ln w="19050">
            <a:solidFill>
              <a:schemeClr val="lt1"/>
            </a:solidFill>
          </a:ln>
          <a:effectLst/>
        </c:spPr>
        <c:marker>
          <c:symbol val="none"/>
        </c:marker>
      </c:pivotFmt>
      <c:pivotFmt>
        <c:idx val="2"/>
        <c:spPr>
          <a:solidFill>
            <a:schemeClr val="accent1"/>
          </a:solidFill>
          <a:ln w="19050">
            <a:solidFill>
              <a:schemeClr val="lt1"/>
            </a:solidFill>
          </a:ln>
          <a:effectLst/>
        </c:spPr>
        <c:marker>
          <c:symbol val="none"/>
        </c:marker>
      </c:pivotFmt>
      <c:pivotFmt>
        <c:idx val="3"/>
        <c:spPr>
          <a:solidFill>
            <a:schemeClr val="accent1"/>
          </a:solidFill>
          <a:ln w="19050">
            <a:solidFill>
              <a:schemeClr val="lt1"/>
            </a:solidFill>
          </a:ln>
          <a:effectLst/>
        </c:spPr>
        <c:marker>
          <c:symbol val="none"/>
        </c:marker>
      </c:pivotFmt>
      <c:pivotFmt>
        <c:idx val="4"/>
        <c:spPr>
          <a:solidFill>
            <a:schemeClr val="accent1"/>
          </a:solidFill>
          <a:ln w="19050">
            <a:solidFill>
              <a:schemeClr val="lt1"/>
            </a:solidFill>
          </a:ln>
          <a:effectLst/>
        </c:spPr>
        <c:marker>
          <c:symbol val="none"/>
        </c:marker>
      </c:pivotFmt>
      <c:pivotFmt>
        <c:idx val="5"/>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6"/>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
        <c:idx val="15"/>
        <c:spPr>
          <a:solidFill>
            <a:schemeClr val="accent1"/>
          </a:solidFill>
          <a:ln w="19050">
            <a:solidFill>
              <a:schemeClr val="lt1"/>
            </a:solidFill>
          </a:ln>
          <a:effectLst/>
        </c:spPr>
      </c:pivotFmt>
      <c:pivotFmt>
        <c:idx val="16"/>
        <c:spPr>
          <a:solidFill>
            <a:schemeClr val="accent1"/>
          </a:solidFill>
          <a:ln w="19050">
            <a:solidFill>
              <a:schemeClr val="lt1"/>
            </a:solidFill>
          </a:ln>
          <a:effectLst/>
        </c:spPr>
      </c:pivotFmt>
      <c:pivotFmt>
        <c:idx val="17"/>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8"/>
        <c:spPr>
          <a:solidFill>
            <a:schemeClr val="accent1"/>
          </a:solidFill>
          <a:ln w="19050">
            <a:solidFill>
              <a:schemeClr val="lt1"/>
            </a:solidFill>
          </a:ln>
          <a:effectLst/>
        </c:spPr>
      </c:pivotFmt>
      <c:pivotFmt>
        <c:idx val="19"/>
        <c:spPr>
          <a:solidFill>
            <a:schemeClr val="accent1"/>
          </a:solidFill>
          <a:ln w="19050">
            <a:solidFill>
              <a:schemeClr val="lt1"/>
            </a:solidFill>
          </a:ln>
          <a:effectLst/>
        </c:spPr>
      </c:pivotFmt>
      <c:pivotFmt>
        <c:idx val="20"/>
        <c:spPr>
          <a:solidFill>
            <a:schemeClr val="accent1"/>
          </a:solidFill>
          <a:ln w="19050">
            <a:solidFill>
              <a:schemeClr val="lt1"/>
            </a:solidFill>
          </a:ln>
          <a:effectLst/>
        </c:spPr>
      </c:pivotFmt>
      <c:pivotFmt>
        <c:idx val="21"/>
        <c:spPr>
          <a:solidFill>
            <a:schemeClr val="accent1"/>
          </a:solidFill>
          <a:ln w="19050">
            <a:solidFill>
              <a:schemeClr val="lt1"/>
            </a:solidFill>
          </a:ln>
          <a:effectLst/>
        </c:spPr>
      </c:pivotFmt>
      <c:pivotFmt>
        <c:idx val="22"/>
        <c:spPr>
          <a:solidFill>
            <a:schemeClr val="accent1"/>
          </a:solidFill>
          <a:ln w="19050">
            <a:solidFill>
              <a:schemeClr val="lt1"/>
            </a:solidFill>
          </a:ln>
          <a:effectLst/>
        </c:spPr>
      </c:pivotFmt>
      <c:pivotFmt>
        <c:idx val="23"/>
        <c:spPr>
          <a:solidFill>
            <a:schemeClr val="accent1"/>
          </a:solidFill>
          <a:ln w="19050">
            <a:solidFill>
              <a:schemeClr val="lt1"/>
            </a:solidFill>
          </a:ln>
          <a:effectLst/>
        </c:spPr>
      </c:pivotFmt>
      <c:pivotFmt>
        <c:idx val="24"/>
        <c:spPr>
          <a:solidFill>
            <a:schemeClr val="accent1"/>
          </a:solidFill>
          <a:ln w="19050">
            <a:solidFill>
              <a:schemeClr val="lt1"/>
            </a:solidFill>
          </a:ln>
          <a:effectLst/>
        </c:spPr>
      </c:pivotFmt>
      <c:pivotFmt>
        <c:idx val="25"/>
        <c:spPr>
          <a:solidFill>
            <a:schemeClr val="accent1"/>
          </a:solidFill>
          <a:ln w="19050">
            <a:solidFill>
              <a:schemeClr val="lt1"/>
            </a:solidFill>
          </a:ln>
          <a:effectLst/>
        </c:spPr>
      </c:pivotFmt>
    </c:pivotFmts>
    <c:plotArea>
      <c:layout/>
      <c:pieChart>
        <c:varyColors val="1"/>
        <c:ser>
          <c:idx val="0"/>
          <c:order val="0"/>
          <c:tx>
            <c:strRef>
              <c:f>'Chart 1 Domain'!$T$2:$T$3</c:f>
              <c:strCache>
                <c:ptCount val="1"/>
                <c:pt idx="0">
                  <c:v>PS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F0D-4B60-B1B6-6A949621D40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F0D-4B60-B1B6-6A949621D40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F0D-4B60-B1B6-6A949621D40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F0D-4B60-B1B6-6A949621D40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F0D-4B60-B1B6-6A949621D40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F0D-4B60-B1B6-6A949621D40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9F0D-4B60-B1B6-6A949621D405}"/>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9F0D-4B60-B1B6-6A949621D40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'Chart 1 Domain'!$S$4:$S$12</c:f>
              <c:strCache>
                <c:ptCount val="8"/>
                <c:pt idx="0">
                  <c:v>1-Attendance (Non-Covid)</c:v>
                </c:pt>
                <c:pt idx="1">
                  <c:v>2-Attendance (Covid)</c:v>
                </c:pt>
                <c:pt idx="2">
                  <c:v>3-Medical (Non-Covid)</c:v>
                </c:pt>
                <c:pt idx="3">
                  <c:v>4-Emotional (Non-Covid)</c:v>
                </c:pt>
                <c:pt idx="4">
                  <c:v>5-Emotional (Covid)</c:v>
                </c:pt>
                <c:pt idx="5">
                  <c:v>6-Resources/Training</c:v>
                </c:pt>
                <c:pt idx="6">
                  <c:v>7-Innapropriate Expectations</c:v>
                </c:pt>
                <c:pt idx="7">
                  <c:v>8-Other</c:v>
                </c:pt>
              </c:strCache>
            </c:strRef>
          </c:cat>
          <c:val>
            <c:numRef>
              <c:f>'Chart 1 Domain'!$T$4:$T$12</c:f>
              <c:numCache>
                <c:formatCode>General</c:formatCode>
                <c:ptCount val="8"/>
                <c:pt idx="0">
                  <c:v>4</c:v>
                </c:pt>
                <c:pt idx="1">
                  <c:v>6</c:v>
                </c:pt>
                <c:pt idx="2">
                  <c:v>2</c:v>
                </c:pt>
                <c:pt idx="3">
                  <c:v>2</c:v>
                </c:pt>
                <c:pt idx="4">
                  <c:v>4</c:v>
                </c:pt>
                <c:pt idx="5">
                  <c:v>3</c:v>
                </c:pt>
                <c:pt idx="6">
                  <c:v>1</c:v>
                </c:pt>
                <c:pt idx="7">
                  <c:v>5</c:v>
                </c:pt>
              </c:numCache>
            </c:numRef>
          </c:val>
          <c:extLst>
            <c:ext xmlns:c16="http://schemas.microsoft.com/office/drawing/2014/chart" uri="{C3380CC4-5D6E-409C-BE32-E72D297353CC}">
              <c16:uniqueId val="{00000010-9F0D-4B60-B1B6-6A949621D405}"/>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[DATA Jul21.xlsx]Chart 1 Domain!PivotTable4</c:name>
    <c:fmtId val="35"/>
  </c:pivotSource>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pivotFmt>
      <c:pivotFmt>
        <c:idx val="1"/>
        <c:spPr>
          <a:solidFill>
            <a:schemeClr val="accent1"/>
          </a:solidFill>
          <a:ln w="19050">
            <a:solidFill>
              <a:schemeClr val="lt1"/>
            </a:solidFill>
          </a:ln>
          <a:effectLst/>
        </c:spPr>
        <c:marker>
          <c:symbol val="none"/>
        </c:marker>
      </c:pivotFmt>
      <c:pivotFmt>
        <c:idx val="2"/>
        <c:spPr>
          <a:solidFill>
            <a:schemeClr val="accent1"/>
          </a:solidFill>
          <a:ln w="19050">
            <a:solidFill>
              <a:schemeClr val="lt1"/>
            </a:solidFill>
          </a:ln>
          <a:effectLst/>
        </c:spPr>
        <c:marker>
          <c:symbol val="none"/>
        </c:marker>
      </c:pivotFmt>
      <c:pivotFmt>
        <c:idx val="3"/>
        <c:spPr>
          <a:solidFill>
            <a:schemeClr val="accent1"/>
          </a:solidFill>
          <a:ln w="19050">
            <a:solidFill>
              <a:schemeClr val="lt1"/>
            </a:solidFill>
          </a:ln>
          <a:effectLst/>
        </c:spPr>
        <c:marker>
          <c:symbol val="none"/>
        </c:marker>
      </c:pivotFmt>
      <c:pivotFmt>
        <c:idx val="4"/>
        <c:spPr>
          <a:solidFill>
            <a:schemeClr val="accent1"/>
          </a:solidFill>
          <a:ln w="19050">
            <a:solidFill>
              <a:schemeClr val="lt1"/>
            </a:solidFill>
          </a:ln>
          <a:effectLst/>
        </c:spPr>
        <c:marker>
          <c:symbol val="none"/>
        </c:marker>
      </c:pivotFmt>
      <c:pivotFmt>
        <c:idx val="5"/>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6"/>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
        <c:idx val="15"/>
        <c:spPr>
          <a:solidFill>
            <a:schemeClr val="accent1"/>
          </a:solidFill>
          <a:ln w="19050">
            <a:solidFill>
              <a:schemeClr val="lt1"/>
            </a:solidFill>
          </a:ln>
          <a:effectLst/>
        </c:spPr>
      </c:pivotFmt>
      <c:pivotFmt>
        <c:idx val="16"/>
        <c:spPr>
          <a:solidFill>
            <a:schemeClr val="accent1"/>
          </a:solidFill>
          <a:ln w="19050">
            <a:solidFill>
              <a:schemeClr val="lt1"/>
            </a:solidFill>
          </a:ln>
          <a:effectLst/>
        </c:spPr>
      </c:pivotFmt>
      <c:pivotFmt>
        <c:idx val="17"/>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8"/>
        <c:spPr>
          <a:solidFill>
            <a:schemeClr val="accent1"/>
          </a:solidFill>
          <a:ln w="19050">
            <a:solidFill>
              <a:schemeClr val="lt1"/>
            </a:solidFill>
          </a:ln>
          <a:effectLst/>
        </c:spPr>
      </c:pivotFmt>
      <c:pivotFmt>
        <c:idx val="19"/>
        <c:spPr>
          <a:solidFill>
            <a:schemeClr val="accent1"/>
          </a:solidFill>
          <a:ln w="19050">
            <a:solidFill>
              <a:schemeClr val="lt1"/>
            </a:solidFill>
          </a:ln>
          <a:effectLst/>
        </c:spPr>
      </c:pivotFmt>
      <c:pivotFmt>
        <c:idx val="20"/>
        <c:spPr>
          <a:solidFill>
            <a:schemeClr val="accent1"/>
          </a:solidFill>
          <a:ln w="19050">
            <a:solidFill>
              <a:schemeClr val="lt1"/>
            </a:solidFill>
          </a:ln>
          <a:effectLst/>
        </c:spPr>
      </c:pivotFmt>
      <c:pivotFmt>
        <c:idx val="21"/>
        <c:spPr>
          <a:solidFill>
            <a:schemeClr val="accent1"/>
          </a:solidFill>
          <a:ln w="19050">
            <a:solidFill>
              <a:schemeClr val="lt1"/>
            </a:solidFill>
          </a:ln>
          <a:effectLst/>
        </c:spPr>
      </c:pivotFmt>
      <c:pivotFmt>
        <c:idx val="22"/>
        <c:spPr>
          <a:solidFill>
            <a:schemeClr val="accent1"/>
          </a:solidFill>
          <a:ln w="19050">
            <a:solidFill>
              <a:schemeClr val="lt1"/>
            </a:solidFill>
          </a:ln>
          <a:effectLst/>
        </c:spPr>
      </c:pivotFmt>
      <c:pivotFmt>
        <c:idx val="23"/>
        <c:spPr>
          <a:solidFill>
            <a:schemeClr val="accent1"/>
          </a:solidFill>
          <a:ln w="19050">
            <a:solidFill>
              <a:schemeClr val="lt1"/>
            </a:solidFill>
          </a:ln>
          <a:effectLst/>
        </c:spPr>
      </c:pivotFmt>
      <c:pivotFmt>
        <c:idx val="24"/>
        <c:spPr>
          <a:solidFill>
            <a:schemeClr val="accent1"/>
          </a:solidFill>
          <a:ln w="19050">
            <a:solidFill>
              <a:schemeClr val="lt1"/>
            </a:solidFill>
          </a:ln>
          <a:effectLst/>
        </c:spPr>
      </c:pivotFmt>
      <c:pivotFmt>
        <c:idx val="25"/>
        <c:spPr>
          <a:solidFill>
            <a:schemeClr val="accent1"/>
          </a:solidFill>
          <a:ln w="19050">
            <a:solidFill>
              <a:schemeClr val="lt1"/>
            </a:solidFill>
          </a:ln>
          <a:effectLst/>
        </c:spPr>
      </c:pivotFmt>
    </c:pivotFmts>
    <c:plotArea>
      <c:layout/>
      <c:pieChart>
        <c:varyColors val="1"/>
        <c:ser>
          <c:idx val="0"/>
          <c:order val="0"/>
          <c:tx>
            <c:strRef>
              <c:f>'Chart 1 Domain'!$AB$2:$AB$3</c:f>
              <c:strCache>
                <c:ptCount val="1"/>
                <c:pt idx="0">
                  <c:v>SEW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9B3-4CBE-BC8C-2FBDF0086C7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9B3-4CBE-BC8C-2FBDF0086C7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9B3-4CBE-BC8C-2FBDF0086C7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9B3-4CBE-BC8C-2FBDF0086C7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9B3-4CBE-BC8C-2FBDF0086C7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9B3-4CBE-BC8C-2FBDF0086C7F}"/>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79B3-4CBE-BC8C-2FBDF0086C7F}"/>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79B3-4CBE-BC8C-2FBDF0086C7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'Chart 1 Domain'!$AA$4:$AA$12</c:f>
              <c:strCache>
                <c:ptCount val="8"/>
                <c:pt idx="0">
                  <c:v>1-Attendance (Non-Covid)</c:v>
                </c:pt>
                <c:pt idx="1">
                  <c:v>2-Attendance (Covid)</c:v>
                </c:pt>
                <c:pt idx="2">
                  <c:v>3-Medical (Non-Covid)</c:v>
                </c:pt>
                <c:pt idx="3">
                  <c:v>4-Emotional (Non-Covid)</c:v>
                </c:pt>
                <c:pt idx="4">
                  <c:v>5-Emotional (Covid)</c:v>
                </c:pt>
                <c:pt idx="5">
                  <c:v>6-Resources/Training</c:v>
                </c:pt>
                <c:pt idx="6">
                  <c:v>7-Innapropriate Expectations</c:v>
                </c:pt>
                <c:pt idx="7">
                  <c:v>8-Other</c:v>
                </c:pt>
              </c:strCache>
            </c:strRef>
          </c:cat>
          <c:val>
            <c:numRef>
              <c:f>'Chart 1 Domain'!$AB$4:$AB$12</c:f>
              <c:numCache>
                <c:formatCode>General</c:formatCode>
                <c:ptCount val="8"/>
                <c:pt idx="0">
                  <c:v>7</c:v>
                </c:pt>
                <c:pt idx="1">
                  <c:v>15</c:v>
                </c:pt>
                <c:pt idx="2">
                  <c:v>2</c:v>
                </c:pt>
                <c:pt idx="3">
                  <c:v>5</c:v>
                </c:pt>
                <c:pt idx="4">
                  <c:v>5</c:v>
                </c:pt>
                <c:pt idx="5">
                  <c:v>1</c:v>
                </c:pt>
                <c:pt idx="6">
                  <c:v>2</c:v>
                </c:pt>
                <c:pt idx="7">
                  <c:v>5</c:v>
                </c:pt>
              </c:numCache>
            </c:numRef>
          </c:val>
          <c:extLst>
            <c:ext xmlns:c16="http://schemas.microsoft.com/office/drawing/2014/chart" uri="{C3380CC4-5D6E-409C-BE32-E72D297353CC}">
              <c16:uniqueId val="{00000010-79B3-4CBE-BC8C-2FBDF0086C7F}"/>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[DATA Jul21.xlsx]Chart 1 Domain!PivotTable5</c:name>
    <c:fmtId val="39"/>
  </c:pivotSource>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pivotFmt>
      <c:pivotFmt>
        <c:idx val="1"/>
        <c:spPr>
          <a:solidFill>
            <a:schemeClr val="accent1"/>
          </a:solidFill>
          <a:ln w="19050">
            <a:solidFill>
              <a:schemeClr val="lt1"/>
            </a:solidFill>
          </a:ln>
          <a:effectLst/>
        </c:spPr>
        <c:marker>
          <c:symbol val="none"/>
        </c:marker>
      </c:pivotFmt>
      <c:pivotFmt>
        <c:idx val="2"/>
        <c:spPr>
          <a:solidFill>
            <a:schemeClr val="accent1"/>
          </a:solidFill>
          <a:ln w="19050">
            <a:solidFill>
              <a:schemeClr val="lt1"/>
            </a:solidFill>
          </a:ln>
          <a:effectLst/>
        </c:spPr>
        <c:marker>
          <c:symbol val="none"/>
        </c:marker>
      </c:pivotFmt>
      <c:pivotFmt>
        <c:idx val="3"/>
        <c:spPr>
          <a:solidFill>
            <a:schemeClr val="accent1"/>
          </a:solidFill>
          <a:ln w="19050">
            <a:solidFill>
              <a:schemeClr val="lt1"/>
            </a:solidFill>
          </a:ln>
          <a:effectLst/>
        </c:spPr>
        <c:marker>
          <c:symbol val="none"/>
        </c:marker>
      </c:pivotFmt>
      <c:pivotFmt>
        <c:idx val="4"/>
        <c:spPr>
          <a:solidFill>
            <a:schemeClr val="accent1"/>
          </a:solidFill>
          <a:ln w="19050">
            <a:solidFill>
              <a:schemeClr val="lt1"/>
            </a:solidFill>
          </a:ln>
          <a:effectLst/>
        </c:spPr>
        <c:marker>
          <c:symbol val="none"/>
        </c:marker>
      </c:pivotFmt>
      <c:pivotFmt>
        <c:idx val="5"/>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6"/>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marker>
          <c:symbol val="none"/>
        </c:marker>
      </c:pivotFmt>
      <c:pivotFmt>
        <c:idx val="9"/>
        <c:spPr>
          <a:solidFill>
            <a:schemeClr val="accent1"/>
          </a:solidFill>
          <a:ln w="19050">
            <a:solidFill>
              <a:schemeClr val="lt1"/>
            </a:solidFill>
          </a:ln>
          <a:effectLst/>
        </c:spPr>
        <c:marker>
          <c:symbol val="none"/>
        </c:marker>
      </c:pivotFmt>
      <c:pivotFmt>
        <c:idx val="10"/>
        <c:spPr>
          <a:solidFill>
            <a:schemeClr val="accent1"/>
          </a:solidFill>
          <a:ln w="19050">
            <a:solidFill>
              <a:schemeClr val="lt1"/>
            </a:solidFill>
          </a:ln>
          <a:effectLst/>
        </c:spPr>
        <c:marker>
          <c:symbol val="none"/>
        </c:marker>
      </c:pivotFmt>
      <c:pivotFmt>
        <c:idx val="11"/>
        <c:spPr>
          <a:solidFill>
            <a:schemeClr val="accent1"/>
          </a:solidFill>
          <a:ln w="19050">
            <a:solidFill>
              <a:schemeClr val="lt1"/>
            </a:solidFill>
          </a:ln>
          <a:effectLst/>
        </c:spPr>
        <c:marker>
          <c:symbol val="none"/>
        </c:marker>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
        <c:idx val="15"/>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6"/>
        <c:spPr>
          <a:solidFill>
            <a:schemeClr val="accent1"/>
          </a:solidFill>
          <a:ln w="19050">
            <a:solidFill>
              <a:schemeClr val="lt1"/>
            </a:solidFill>
          </a:ln>
          <a:effectLst/>
        </c:spPr>
      </c:pivotFmt>
      <c:pivotFmt>
        <c:idx val="17"/>
        <c:spPr>
          <a:solidFill>
            <a:schemeClr val="accent1"/>
          </a:solidFill>
          <a:ln w="19050">
            <a:solidFill>
              <a:schemeClr val="lt1"/>
            </a:solidFill>
          </a:ln>
          <a:effectLst/>
        </c:spPr>
      </c:pivotFmt>
      <c:pivotFmt>
        <c:idx val="18"/>
        <c:spPr>
          <a:solidFill>
            <a:schemeClr val="accent1"/>
          </a:solidFill>
          <a:ln w="19050">
            <a:solidFill>
              <a:schemeClr val="lt1"/>
            </a:solidFill>
          </a:ln>
          <a:effectLst/>
        </c:spPr>
      </c:pivotFmt>
      <c:pivotFmt>
        <c:idx val="19"/>
        <c:spPr>
          <a:solidFill>
            <a:schemeClr val="accent1"/>
          </a:solidFill>
          <a:ln w="19050">
            <a:solidFill>
              <a:schemeClr val="lt1"/>
            </a:solidFill>
          </a:ln>
          <a:effectLst/>
        </c:spPr>
      </c:pivotFmt>
      <c:pivotFmt>
        <c:idx val="20"/>
        <c:spPr>
          <a:solidFill>
            <a:schemeClr val="accent1"/>
          </a:solidFill>
          <a:ln w="19050">
            <a:solidFill>
              <a:schemeClr val="lt1"/>
            </a:solidFill>
          </a:ln>
          <a:effectLst/>
        </c:spPr>
      </c:pivotFmt>
      <c:pivotFmt>
        <c:idx val="21"/>
        <c:spPr>
          <a:solidFill>
            <a:schemeClr val="accent1"/>
          </a:solidFill>
          <a:ln w="19050">
            <a:solidFill>
              <a:schemeClr val="lt1"/>
            </a:solidFill>
          </a:ln>
          <a:effectLst/>
        </c:spPr>
      </c:pivotFmt>
      <c:pivotFmt>
        <c:idx val="22"/>
        <c:spPr>
          <a:solidFill>
            <a:schemeClr val="accent1"/>
          </a:solidFill>
          <a:ln w="19050">
            <a:solidFill>
              <a:schemeClr val="lt1"/>
            </a:solidFill>
          </a:ln>
          <a:effectLst/>
        </c:spPr>
      </c:pivotFmt>
      <c:pivotFmt>
        <c:idx val="23"/>
        <c:spPr>
          <a:solidFill>
            <a:schemeClr val="accent1"/>
          </a:solidFill>
          <a:ln w="19050">
            <a:solidFill>
              <a:schemeClr val="lt1"/>
            </a:solidFill>
          </a:ln>
          <a:effectLst/>
        </c:spPr>
      </c:pivotFmt>
      <c:pivotFmt>
        <c:idx val="24"/>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25"/>
        <c:spPr>
          <a:solidFill>
            <a:schemeClr val="accent1"/>
          </a:solidFill>
          <a:ln w="19050">
            <a:solidFill>
              <a:schemeClr val="lt1"/>
            </a:solidFill>
          </a:ln>
          <a:effectLst/>
        </c:spPr>
      </c:pivotFmt>
      <c:pivotFmt>
        <c:idx val="26"/>
        <c:spPr>
          <a:solidFill>
            <a:schemeClr val="accent1"/>
          </a:solidFill>
          <a:ln w="19050">
            <a:solidFill>
              <a:schemeClr val="lt1"/>
            </a:solidFill>
          </a:ln>
          <a:effectLst/>
        </c:spPr>
      </c:pivotFmt>
      <c:pivotFmt>
        <c:idx val="27"/>
        <c:spPr>
          <a:solidFill>
            <a:schemeClr val="accent1"/>
          </a:solidFill>
          <a:ln w="19050">
            <a:solidFill>
              <a:schemeClr val="lt1"/>
            </a:solidFill>
          </a:ln>
          <a:effectLst/>
        </c:spPr>
      </c:pivotFmt>
      <c:pivotFmt>
        <c:idx val="28"/>
        <c:spPr>
          <a:solidFill>
            <a:schemeClr val="accent1"/>
          </a:solidFill>
          <a:ln w="19050">
            <a:solidFill>
              <a:schemeClr val="lt1"/>
            </a:solidFill>
          </a:ln>
          <a:effectLst/>
        </c:spPr>
      </c:pivotFmt>
      <c:pivotFmt>
        <c:idx val="29"/>
        <c:spPr>
          <a:solidFill>
            <a:schemeClr val="accent1"/>
          </a:solidFill>
          <a:ln w="19050">
            <a:solidFill>
              <a:schemeClr val="lt1"/>
            </a:solidFill>
          </a:ln>
          <a:effectLst/>
        </c:spPr>
      </c:pivotFmt>
      <c:pivotFmt>
        <c:idx val="30"/>
        <c:spPr>
          <a:solidFill>
            <a:schemeClr val="accent1"/>
          </a:solidFill>
          <a:ln w="19050">
            <a:solidFill>
              <a:schemeClr val="lt1"/>
            </a:solidFill>
          </a:ln>
          <a:effectLst/>
        </c:spPr>
      </c:pivotFmt>
      <c:pivotFmt>
        <c:idx val="31"/>
        <c:spPr>
          <a:solidFill>
            <a:schemeClr val="accent1"/>
          </a:solidFill>
          <a:ln w="19050">
            <a:solidFill>
              <a:schemeClr val="lt1"/>
            </a:solidFill>
          </a:ln>
          <a:effectLst/>
        </c:spPr>
      </c:pivotFmt>
      <c:pivotFmt>
        <c:idx val="32"/>
        <c:spPr>
          <a:solidFill>
            <a:schemeClr val="accent1"/>
          </a:solidFill>
          <a:ln w="19050">
            <a:solidFill>
              <a:schemeClr val="lt1"/>
            </a:solidFill>
          </a:ln>
          <a:effectLst/>
        </c:spPr>
      </c:pivotFmt>
    </c:pivotFmts>
    <c:plotArea>
      <c:layout/>
      <c:pieChart>
        <c:varyColors val="1"/>
        <c:ser>
          <c:idx val="0"/>
          <c:order val="0"/>
          <c:tx>
            <c:strRef>
              <c:f>'Chart 1 Domain'!$AJ$2:$AJ$3</c:f>
              <c:strCache>
                <c:ptCount val="1"/>
                <c:pt idx="0">
                  <c:v>SLC</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5B9-4EB3-A7D0-0F6ED720356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5B9-4EB3-A7D0-0F6ED720356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5B9-4EB3-A7D0-0F6ED720356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5B9-4EB3-A7D0-0F6ED720356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5B9-4EB3-A7D0-0F6ED720356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5B9-4EB3-A7D0-0F6ED720356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B5B9-4EB3-A7D0-0F6ED720356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B5B9-4EB3-A7D0-0F6ED720356C}"/>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B5B9-4EB3-A7D0-0F6ED720356C}"/>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B5B9-4EB3-A7D0-0F6ED720356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'Chart 1 Domain'!$AI$4:$AI$12</c:f>
              <c:strCache>
                <c:ptCount val="8"/>
                <c:pt idx="0">
                  <c:v>1-Attendance (Non-Covid)</c:v>
                </c:pt>
                <c:pt idx="1">
                  <c:v>2-Attendance (Covid)</c:v>
                </c:pt>
                <c:pt idx="2">
                  <c:v>3-Medical (Non-Covid)</c:v>
                </c:pt>
                <c:pt idx="3">
                  <c:v>4-Emotional (Non-Covid)</c:v>
                </c:pt>
                <c:pt idx="4">
                  <c:v>5-Emotional (Covid)</c:v>
                </c:pt>
                <c:pt idx="5">
                  <c:v>6-Resources/Training</c:v>
                </c:pt>
                <c:pt idx="6">
                  <c:v>7-Innapropriate Expectations</c:v>
                </c:pt>
                <c:pt idx="7">
                  <c:v>8-Other</c:v>
                </c:pt>
              </c:strCache>
            </c:strRef>
          </c:cat>
          <c:val>
            <c:numRef>
              <c:f>'Chart 1 Domain'!$AJ$4:$AJ$12</c:f>
              <c:numCache>
                <c:formatCode>General</c:formatCode>
                <c:ptCount val="8"/>
                <c:pt idx="0">
                  <c:v>4</c:v>
                </c:pt>
                <c:pt idx="1">
                  <c:v>23</c:v>
                </c:pt>
                <c:pt idx="2">
                  <c:v>2</c:v>
                </c:pt>
                <c:pt idx="3">
                  <c:v>1</c:v>
                </c:pt>
                <c:pt idx="4">
                  <c:v>6</c:v>
                </c:pt>
                <c:pt idx="5">
                  <c:v>4</c:v>
                </c:pt>
                <c:pt idx="6">
                  <c:v>6</c:v>
                </c:pt>
                <c:pt idx="7">
                  <c:v>12</c:v>
                </c:pt>
              </c:numCache>
            </c:numRef>
          </c:val>
          <c:extLst>
            <c:ext xmlns:c16="http://schemas.microsoft.com/office/drawing/2014/chart" uri="{C3380CC4-5D6E-409C-BE32-E72D297353CC}">
              <c16:uniqueId val="{00000014-B5B9-4EB3-A7D0-0F6ED720356C}"/>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Summer 20/21 - Non LAC Students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Sheet3!$A$12</c:f>
              <c:strCache>
                <c:ptCount val="1"/>
                <c:pt idx="0">
                  <c:v>Non Lac</c:v>
                </c:pt>
              </c:strCache>
            </c:strRef>
          </c:tx>
          <c:dPt>
            <c:idx val="0"/>
            <c:bubble3D val="0"/>
            <c:spPr>
              <a:solidFill>
                <a:srgbClr val="9BBB59"/>
              </a:solidFill>
              <a:ln w="19050">
                <a:solidFill>
                  <a:schemeClr val="lt1"/>
                </a:solidFill>
              </a:ln>
              <a:effectLst/>
            </c:spPr>
            <c:extLst>
              <c:ext xmlns:c16="http://schemas.microsoft.com/office/drawing/2014/chart" uri="{C3380CC4-5D6E-409C-BE32-E72D297353CC}">
                <c16:uniqueId val="{00000001-D181-441C-BA22-597435A78D85}"/>
              </c:ext>
            </c:extLst>
          </c:dPt>
          <c:dPt>
            <c:idx val="1"/>
            <c:bubble3D val="0"/>
            <c:spPr>
              <a:solidFill>
                <a:srgbClr val="C0504D"/>
              </a:solidFill>
              <a:ln w="19050">
                <a:solidFill>
                  <a:schemeClr val="lt1"/>
                </a:solidFill>
              </a:ln>
              <a:effectLst/>
            </c:spPr>
            <c:extLst>
              <c:ext xmlns:c16="http://schemas.microsoft.com/office/drawing/2014/chart" uri="{C3380CC4-5D6E-409C-BE32-E72D297353CC}">
                <c16:uniqueId val="{00000003-D181-441C-BA22-597435A78D8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Sheet3!$B$11:$C$11</c:f>
              <c:strCache>
                <c:ptCount val="2"/>
                <c:pt idx="0">
                  <c:v>On Track</c:v>
                </c:pt>
                <c:pt idx="1">
                  <c:v>Not On Track</c:v>
                </c:pt>
              </c:strCache>
            </c:strRef>
          </c:cat>
          <c:val>
            <c:numRef>
              <c:f>Sheet3!$B$12:$C$12</c:f>
              <c:numCache>
                <c:formatCode>General</c:formatCode>
                <c:ptCount val="2"/>
                <c:pt idx="0">
                  <c:v>1505</c:v>
                </c:pt>
                <c:pt idx="1">
                  <c:v>246</c:v>
                </c:pt>
              </c:numCache>
            </c:numRef>
          </c:val>
          <c:extLst>
            <c:ext xmlns:c16="http://schemas.microsoft.com/office/drawing/2014/chart" uri="{C3380CC4-5D6E-409C-BE32-E72D297353CC}">
              <c16:uniqueId val="{00000004-D181-441C-BA22-597435A78D85}"/>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2435019595153346"/>
          <c:y val="0.79984707391028187"/>
          <c:w val="0.54952540179052956"/>
          <c:h val="0.1149170052373590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Summer 20/21 - LAC</a:t>
            </a:r>
            <a:r>
              <a:rPr lang="en-US" baseline="0"/>
              <a:t> Students</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Sheet3!$A$13</c:f>
              <c:strCache>
                <c:ptCount val="1"/>
                <c:pt idx="0">
                  <c:v>Lac</c:v>
                </c:pt>
              </c:strCache>
            </c:strRef>
          </c:tx>
          <c:dPt>
            <c:idx val="0"/>
            <c:bubble3D val="0"/>
            <c:spPr>
              <a:solidFill>
                <a:srgbClr val="9BBB59"/>
              </a:solidFill>
              <a:ln w="19050">
                <a:solidFill>
                  <a:schemeClr val="lt1"/>
                </a:solidFill>
              </a:ln>
              <a:effectLst/>
            </c:spPr>
            <c:extLst>
              <c:ext xmlns:c16="http://schemas.microsoft.com/office/drawing/2014/chart" uri="{C3380CC4-5D6E-409C-BE32-E72D297353CC}">
                <c16:uniqueId val="{00000001-8AEA-4213-AA6F-50F05F4BAE56}"/>
              </c:ext>
            </c:extLst>
          </c:dPt>
          <c:dPt>
            <c:idx val="1"/>
            <c:bubble3D val="0"/>
            <c:spPr>
              <a:solidFill>
                <a:srgbClr val="C0504D"/>
              </a:solidFill>
              <a:ln w="19050">
                <a:solidFill>
                  <a:schemeClr val="lt1"/>
                </a:solidFill>
              </a:ln>
              <a:effectLst/>
            </c:spPr>
            <c:extLst>
              <c:ext xmlns:c16="http://schemas.microsoft.com/office/drawing/2014/chart" uri="{C3380CC4-5D6E-409C-BE32-E72D297353CC}">
                <c16:uniqueId val="{00000003-8AEA-4213-AA6F-50F05F4BAE5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Sheet3!$B$11:$C$11</c:f>
              <c:strCache>
                <c:ptCount val="2"/>
                <c:pt idx="0">
                  <c:v>On Track</c:v>
                </c:pt>
                <c:pt idx="1">
                  <c:v>Not On Track</c:v>
                </c:pt>
              </c:strCache>
            </c:strRef>
          </c:cat>
          <c:val>
            <c:numRef>
              <c:f>Sheet3!$B$13:$C$13</c:f>
              <c:numCache>
                <c:formatCode>General</c:formatCode>
                <c:ptCount val="2"/>
                <c:pt idx="0">
                  <c:v>85</c:v>
                </c:pt>
                <c:pt idx="1">
                  <c:v>19</c:v>
                </c:pt>
              </c:numCache>
            </c:numRef>
          </c:val>
          <c:extLst>
            <c:ext xmlns:c16="http://schemas.microsoft.com/office/drawing/2014/chart" uri="{C3380CC4-5D6E-409C-BE32-E72D297353CC}">
              <c16:uniqueId val="{00000004-8AEA-4213-AA6F-50F05F4BAE56}"/>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400" b="0" i="0" u="none" strike="noStrike" baseline="0">
                <a:effectLst/>
              </a:rPr>
              <a:t>Autumn 20/21 - All EHCP Targets by Pathways</a:t>
            </a:r>
            <a:endParaRPr lang="en-US"/>
          </a:p>
        </c:rich>
      </c:tx>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Pathways!$I$10</c:f>
              <c:strCache>
                <c:ptCount val="1"/>
                <c:pt idx="0">
                  <c:v>%</c:v>
                </c:pt>
              </c:strCache>
            </c:strRef>
          </c:tx>
          <c:dPt>
            <c:idx val="0"/>
            <c:bubble3D val="0"/>
            <c:spPr>
              <a:solidFill>
                <a:srgbClr val="FFFF00"/>
              </a:solidFill>
              <a:ln w="19050">
                <a:solidFill>
                  <a:schemeClr val="lt1"/>
                </a:solidFill>
              </a:ln>
              <a:effectLst/>
            </c:spPr>
            <c:extLst>
              <c:ext xmlns:c16="http://schemas.microsoft.com/office/drawing/2014/chart" uri="{C3380CC4-5D6E-409C-BE32-E72D297353CC}">
                <c16:uniqueId val="{00000001-0EFC-40BD-BA1B-0AAF8F37525F}"/>
              </c:ext>
            </c:extLst>
          </c:dPt>
          <c:dPt>
            <c:idx val="1"/>
            <c:bubble3D val="0"/>
            <c:spPr>
              <a:solidFill>
                <a:srgbClr val="00B0F0"/>
              </a:solidFill>
              <a:ln w="19050">
                <a:solidFill>
                  <a:schemeClr val="lt1"/>
                </a:solidFill>
              </a:ln>
              <a:effectLst/>
            </c:spPr>
            <c:extLst>
              <c:ext xmlns:c16="http://schemas.microsoft.com/office/drawing/2014/chart" uri="{C3380CC4-5D6E-409C-BE32-E72D297353CC}">
                <c16:uniqueId val="{00000003-0EFC-40BD-BA1B-0AAF8F37525F}"/>
              </c:ext>
            </c:extLst>
          </c:dPt>
          <c:dPt>
            <c:idx val="2"/>
            <c:bubble3D val="0"/>
            <c:spPr>
              <a:solidFill>
                <a:srgbClr val="FFC000"/>
              </a:solidFill>
              <a:ln w="19050">
                <a:solidFill>
                  <a:schemeClr val="lt1"/>
                </a:solidFill>
              </a:ln>
              <a:effectLst/>
            </c:spPr>
            <c:extLst>
              <c:ext xmlns:c16="http://schemas.microsoft.com/office/drawing/2014/chart" uri="{C3380CC4-5D6E-409C-BE32-E72D297353CC}">
                <c16:uniqueId val="{00000005-0EFC-40BD-BA1B-0AAF8F37525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Pathways!$H$11:$H$13</c:f>
              <c:strCache>
                <c:ptCount val="3"/>
                <c:pt idx="0">
                  <c:v>Formal</c:v>
                </c:pt>
                <c:pt idx="1">
                  <c:v>Pre Formal</c:v>
                </c:pt>
                <c:pt idx="2">
                  <c:v>Semi Formal</c:v>
                </c:pt>
              </c:strCache>
            </c:strRef>
          </c:cat>
          <c:val>
            <c:numRef>
              <c:f>Pathways!$I$11:$I$13</c:f>
              <c:numCache>
                <c:formatCode>0.00%</c:formatCode>
                <c:ptCount val="3"/>
                <c:pt idx="0">
                  <c:v>0.26921038685744569</c:v>
                </c:pt>
                <c:pt idx="1">
                  <c:v>0.15792262851086381</c:v>
                </c:pt>
                <c:pt idx="2">
                  <c:v>0.5728669846316905</c:v>
                </c:pt>
              </c:numCache>
            </c:numRef>
          </c:val>
          <c:extLst>
            <c:ext xmlns:c16="http://schemas.microsoft.com/office/drawing/2014/chart" uri="{C3380CC4-5D6E-409C-BE32-E72D297353CC}">
              <c16:uniqueId val="{00000006-0EFC-40BD-BA1B-0AAF8F37525F}"/>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Spring 20/21 - All EHCP Targets by Pathway</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a:p>
        </c:rich>
      </c:tx>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0.18677272990718433"/>
          <c:y val="0.41344971634312333"/>
          <c:w val="0.43603459267906969"/>
          <c:h val="0.45011549268688766"/>
        </c:manualLayout>
      </c:layout>
      <c:pieChart>
        <c:varyColors val="1"/>
        <c:ser>
          <c:idx val="0"/>
          <c:order val="0"/>
          <c:tx>
            <c:strRef>
              <c:f>Pathways!$I$10</c:f>
              <c:strCache>
                <c:ptCount val="1"/>
                <c:pt idx="0">
                  <c:v>%</c:v>
                </c:pt>
              </c:strCache>
            </c:strRef>
          </c:tx>
          <c:dPt>
            <c:idx val="0"/>
            <c:bubble3D val="0"/>
            <c:spPr>
              <a:solidFill>
                <a:srgbClr val="FFFF00"/>
              </a:solidFill>
              <a:ln w="19050">
                <a:solidFill>
                  <a:schemeClr val="lt1"/>
                </a:solidFill>
              </a:ln>
              <a:effectLst/>
            </c:spPr>
            <c:extLst>
              <c:ext xmlns:c16="http://schemas.microsoft.com/office/drawing/2014/chart" uri="{C3380CC4-5D6E-409C-BE32-E72D297353CC}">
                <c16:uniqueId val="{00000001-E572-4CE1-86F0-FEFB47A8E146}"/>
              </c:ext>
            </c:extLst>
          </c:dPt>
          <c:dPt>
            <c:idx val="1"/>
            <c:bubble3D val="0"/>
            <c:spPr>
              <a:solidFill>
                <a:srgbClr val="00B0F0"/>
              </a:solidFill>
              <a:ln w="19050">
                <a:solidFill>
                  <a:schemeClr val="lt1"/>
                </a:solidFill>
              </a:ln>
              <a:effectLst/>
            </c:spPr>
            <c:extLst>
              <c:ext xmlns:c16="http://schemas.microsoft.com/office/drawing/2014/chart" uri="{C3380CC4-5D6E-409C-BE32-E72D297353CC}">
                <c16:uniqueId val="{00000003-E572-4CE1-86F0-FEFB47A8E146}"/>
              </c:ext>
            </c:extLst>
          </c:dPt>
          <c:dPt>
            <c:idx val="2"/>
            <c:bubble3D val="0"/>
            <c:spPr>
              <a:solidFill>
                <a:srgbClr val="FFC000"/>
              </a:solidFill>
              <a:ln w="19050">
                <a:solidFill>
                  <a:schemeClr val="lt1"/>
                </a:solidFill>
              </a:ln>
              <a:effectLst/>
            </c:spPr>
            <c:extLst>
              <c:ext xmlns:c16="http://schemas.microsoft.com/office/drawing/2014/chart" uri="{C3380CC4-5D6E-409C-BE32-E72D297353CC}">
                <c16:uniqueId val="{00000005-E572-4CE1-86F0-FEFB47A8E14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Pathways!$H$11:$H$13</c:f>
              <c:strCache>
                <c:ptCount val="3"/>
                <c:pt idx="0">
                  <c:v>Formal</c:v>
                </c:pt>
                <c:pt idx="1">
                  <c:v>Pre Formal</c:v>
                </c:pt>
                <c:pt idx="2">
                  <c:v>Semi Formal</c:v>
                </c:pt>
              </c:strCache>
            </c:strRef>
          </c:cat>
          <c:val>
            <c:numRef>
              <c:f>Pathways!$I$11:$I$13</c:f>
              <c:numCache>
                <c:formatCode>0.00%</c:formatCode>
                <c:ptCount val="3"/>
                <c:pt idx="0">
                  <c:v>0.29442691903259727</c:v>
                </c:pt>
                <c:pt idx="1">
                  <c:v>0.15615141955835962</c:v>
                </c:pt>
                <c:pt idx="2">
                  <c:v>0.54942166140904314</c:v>
                </c:pt>
              </c:numCache>
            </c:numRef>
          </c:val>
          <c:extLst>
            <c:ext xmlns:c16="http://schemas.microsoft.com/office/drawing/2014/chart" uri="{C3380CC4-5D6E-409C-BE32-E72D297353CC}">
              <c16:uniqueId val="{00000006-E572-4CE1-86F0-FEFB47A8E146}"/>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4519867481019844"/>
          <c:y val="0.50383871622560072"/>
          <c:w val="0.3232057485705282"/>
          <c:h val="0.274764473979422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400" b="0" i="0" u="none" strike="noStrike" kern="1200" spc="0" baseline="0">
                <a:solidFill>
                  <a:sysClr val="windowText" lastClr="000000"/>
                </a:solidFill>
                <a:latin typeface="+mn-lt"/>
                <a:ea typeface="+mn-ea"/>
                <a:cs typeface="+mn-cs"/>
              </a:defRPr>
            </a:pPr>
            <a:r>
              <a:rPr lang="en-GB"/>
              <a:t>Summer 20/21 </a:t>
            </a:r>
          </a:p>
          <a:p>
            <a:pPr algn="ctr" rtl="0">
              <a:defRPr/>
            </a:pPr>
            <a:r>
              <a:rPr lang="en-GB"/>
              <a:t>All EHCP Targets by Pathway</a:t>
            </a:r>
          </a:p>
          <a:p>
            <a:pPr algn="ctr" rtl="0">
              <a:defRPr/>
            </a:pPr>
            <a:endParaRPr lang="en-US"/>
          </a:p>
        </c:rich>
      </c:tx>
      <c:layout/>
      <c:overlay val="0"/>
      <c:spPr>
        <a:noFill/>
        <a:ln>
          <a:noFill/>
        </a:ln>
        <a:effectLst/>
      </c:spPr>
      <c:txPr>
        <a:bodyPr rot="0" spcFirstLastPara="1" vertOverflow="ellipsis" vert="horz" wrap="square" anchor="ctr" anchorCtr="1"/>
        <a:lstStyle/>
        <a:p>
          <a:pPr algn="ctr" rtl="0">
            <a:defRPr sz="1400" b="0" i="0" u="none" strike="noStrike" kern="1200" spc="0" baseline="0">
              <a:solidFill>
                <a:sysClr val="windowText" lastClr="000000"/>
              </a:solidFill>
              <a:latin typeface="+mn-lt"/>
              <a:ea typeface="+mn-ea"/>
              <a:cs typeface="+mn-cs"/>
            </a:defRPr>
          </a:pPr>
          <a:endParaRPr lang="en-US"/>
        </a:p>
      </c:txPr>
    </c:title>
    <c:autoTitleDeleted val="0"/>
    <c:plotArea>
      <c:layout/>
      <c:pieChart>
        <c:varyColors val="1"/>
        <c:ser>
          <c:idx val="0"/>
          <c:order val="0"/>
          <c:tx>
            <c:strRef>
              <c:f>Pathways!$I$10</c:f>
              <c:strCache>
                <c:ptCount val="1"/>
                <c:pt idx="0">
                  <c:v>%</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62B-43AF-BE31-7741EA11E3F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62B-43AF-BE31-7741EA11E3F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62B-43AF-BE31-7741EA11E3F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62B-43AF-BE31-7741EA11E3F7}"/>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Pathways!$H$11:$H$14</c:f>
              <c:strCache>
                <c:ptCount val="4"/>
                <c:pt idx="0">
                  <c:v>Braided</c:v>
                </c:pt>
                <c:pt idx="1">
                  <c:v>Formal</c:v>
                </c:pt>
                <c:pt idx="2">
                  <c:v>Pre Formal</c:v>
                </c:pt>
                <c:pt idx="3">
                  <c:v>Semi Formal</c:v>
                </c:pt>
              </c:strCache>
            </c:strRef>
          </c:cat>
          <c:val>
            <c:numRef>
              <c:f>Pathways!$I$11:$I$14</c:f>
              <c:numCache>
                <c:formatCode>0.00%</c:formatCode>
                <c:ptCount val="4"/>
                <c:pt idx="0">
                  <c:v>0.27762803234501349</c:v>
                </c:pt>
                <c:pt idx="1">
                  <c:v>0.23018867924528302</c:v>
                </c:pt>
                <c:pt idx="2">
                  <c:v>0.10727762803234502</c:v>
                </c:pt>
                <c:pt idx="3">
                  <c:v>0.38490566037735852</c:v>
                </c:pt>
              </c:numCache>
            </c:numRef>
          </c:val>
          <c:extLst>
            <c:ext xmlns:c16="http://schemas.microsoft.com/office/drawing/2014/chart" uri="{C3380CC4-5D6E-409C-BE32-E72D297353CC}">
              <c16:uniqueId val="{00000008-862B-43AF-BE31-7741EA11E3F7}"/>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ysClr val="window" lastClr="FFFFFF"/>
    </a:solidFill>
    <a:ln w="12700" cap="flat" cmpd="sng" algn="ctr">
      <a:solidFill>
        <a:sysClr val="windowText" lastClr="000000"/>
      </a:solidFill>
      <a:prstDash val="solid"/>
      <a:miter lim="800000"/>
    </a:ln>
    <a:effectLst/>
  </c:spPr>
  <c:txPr>
    <a:bodyPr/>
    <a:lstStyle/>
    <a:p>
      <a:pPr>
        <a:defRPr>
          <a:solidFill>
            <a:sysClr val="windowText" lastClr="000000"/>
          </a:solidFill>
          <a:latin typeface="+mn-lt"/>
          <a:ea typeface="+mn-ea"/>
          <a:cs typeface="+mn-cs"/>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0" i="0" baseline="0">
                <a:effectLst/>
              </a:rPr>
              <a:t>Spring 20/21 -VI Students</a:t>
            </a:r>
            <a:endParaRPr lang="en-GB" sz="1200">
              <a:effectLst/>
            </a:endParaRPr>
          </a:p>
          <a:p>
            <a:pPr>
              <a:defRPr/>
            </a:pPr>
            <a:r>
              <a:rPr lang="en-GB" sz="1200" b="0" i="0" baseline="0">
                <a:effectLst/>
              </a:rPr>
              <a:t> On Track Vs Not On Track</a:t>
            </a:r>
            <a:endParaRPr lang="en-GB" sz="1200">
              <a:effectLst/>
            </a:endParaRPr>
          </a:p>
        </c:rich>
      </c:tx>
      <c:layout>
        <c:manualLayout>
          <c:xMode val="edge"/>
          <c:yMode val="edge"/>
          <c:x val="0.19362648330930465"/>
          <c:y val="1.223241590214067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Sheet2!$F$20</c:f>
              <c:strCache>
                <c:ptCount val="1"/>
                <c:pt idx="0">
                  <c:v>VI</c:v>
                </c:pt>
              </c:strCache>
            </c:strRef>
          </c:tx>
          <c:dPt>
            <c:idx val="0"/>
            <c:bubble3D val="0"/>
            <c:explosion val="1"/>
            <c:spPr>
              <a:solidFill>
                <a:srgbClr val="FF0000"/>
              </a:solidFill>
              <a:ln w="19050">
                <a:solidFill>
                  <a:schemeClr val="lt1"/>
                </a:solidFill>
              </a:ln>
              <a:effectLst/>
            </c:spPr>
            <c:extLst>
              <c:ext xmlns:c16="http://schemas.microsoft.com/office/drawing/2014/chart" uri="{C3380CC4-5D6E-409C-BE32-E72D297353CC}">
                <c16:uniqueId val="{00000001-0149-472C-B8C8-C2764995DB4A}"/>
              </c:ext>
            </c:extLst>
          </c:dPt>
          <c:dPt>
            <c:idx val="1"/>
            <c:bubble3D val="0"/>
            <c:spPr>
              <a:solidFill>
                <a:srgbClr val="92D050"/>
              </a:solidFill>
              <a:ln w="19050">
                <a:solidFill>
                  <a:schemeClr val="lt1"/>
                </a:solidFill>
              </a:ln>
              <a:effectLst/>
            </c:spPr>
            <c:extLst>
              <c:ext xmlns:c16="http://schemas.microsoft.com/office/drawing/2014/chart" uri="{C3380CC4-5D6E-409C-BE32-E72D297353CC}">
                <c16:uniqueId val="{00000003-0149-472C-B8C8-C2764995DB4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Sheet2!$G$19:$H$19</c:f>
              <c:strCache>
                <c:ptCount val="2"/>
                <c:pt idx="0">
                  <c:v>Not On Track</c:v>
                </c:pt>
                <c:pt idx="1">
                  <c:v>On Track</c:v>
                </c:pt>
              </c:strCache>
            </c:strRef>
          </c:cat>
          <c:val>
            <c:numRef>
              <c:f>Sheet2!$G$20:$H$20</c:f>
              <c:numCache>
                <c:formatCode>0.0%</c:formatCode>
                <c:ptCount val="2"/>
                <c:pt idx="0">
                  <c:v>0.49559471365638769</c:v>
                </c:pt>
                <c:pt idx="1">
                  <c:v>0.50440528634361237</c:v>
                </c:pt>
              </c:numCache>
            </c:numRef>
          </c:val>
          <c:extLst>
            <c:ext xmlns:c16="http://schemas.microsoft.com/office/drawing/2014/chart" uri="{C3380CC4-5D6E-409C-BE32-E72D297353CC}">
              <c16:uniqueId val="{00000004-0149-472C-B8C8-C2764995DB4A}"/>
            </c:ext>
          </c:extLst>
        </c:ser>
        <c:ser>
          <c:idx val="1"/>
          <c:order val="1"/>
          <c:tx>
            <c:strRef>
              <c:f>Sheet2!$F$21</c:f>
              <c:strCache>
                <c:ptCount val="1"/>
                <c:pt idx="0">
                  <c:v>NO VI</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6-0149-472C-B8C8-C2764995DB4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8-0149-472C-B8C8-C2764995DB4A}"/>
              </c:ext>
            </c:extLst>
          </c:dPt>
          <c:cat>
            <c:strRef>
              <c:f>Sheet2!$G$19:$H$19</c:f>
              <c:strCache>
                <c:ptCount val="2"/>
                <c:pt idx="0">
                  <c:v>Not On Track</c:v>
                </c:pt>
                <c:pt idx="1">
                  <c:v>On Track</c:v>
                </c:pt>
              </c:strCache>
            </c:strRef>
          </c:cat>
          <c:val>
            <c:numRef>
              <c:f>Sheet2!$G$21:$H$21</c:f>
              <c:numCache>
                <c:formatCode>0.0%</c:formatCode>
                <c:ptCount val="2"/>
                <c:pt idx="0">
                  <c:v>0.26519337016574585</c:v>
                </c:pt>
                <c:pt idx="1">
                  <c:v>0.73480662983425415</c:v>
                </c:pt>
              </c:numCache>
            </c:numRef>
          </c:val>
          <c:extLst>
            <c:ext xmlns:c16="http://schemas.microsoft.com/office/drawing/2014/chart" uri="{C3380CC4-5D6E-409C-BE32-E72D297353CC}">
              <c16:uniqueId val="{00000009-0149-472C-B8C8-C2764995DB4A}"/>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82838083619829217"/>
          <c:y val="0.29128368128295884"/>
          <c:w val="0.16013973605412002"/>
          <c:h val="0.5007652483806496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0" i="0" baseline="0">
                <a:effectLst/>
              </a:rPr>
              <a:t>Spring 20/21 - Non VI Students</a:t>
            </a:r>
            <a:endParaRPr lang="en-GB" sz="1200">
              <a:effectLst/>
            </a:endParaRPr>
          </a:p>
          <a:p>
            <a:pPr>
              <a:defRPr/>
            </a:pPr>
            <a:r>
              <a:rPr lang="en-GB" sz="1200" b="0" i="0" baseline="0">
                <a:effectLst/>
              </a:rPr>
              <a:t> On Track Vs Not On Track</a:t>
            </a:r>
            <a:endParaRPr lang="en-GB" sz="1200">
              <a:effectLst/>
            </a:endParaRPr>
          </a:p>
        </c:rich>
      </c:tx>
      <c:layout>
        <c:manualLayout>
          <c:xMode val="edge"/>
          <c:yMode val="edge"/>
          <c:x val="0.12836744407425035"/>
          <c:y val="1.240310077519379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Sheet2!$F$21</c:f>
              <c:strCache>
                <c:ptCount val="1"/>
                <c:pt idx="0">
                  <c:v>NO VI</c:v>
                </c:pt>
              </c:strCache>
            </c:strRef>
          </c:tx>
          <c:dPt>
            <c:idx val="0"/>
            <c:bubble3D val="0"/>
            <c:spPr>
              <a:solidFill>
                <a:srgbClr val="FF0000"/>
              </a:solidFill>
              <a:ln w="19050">
                <a:solidFill>
                  <a:schemeClr val="lt1"/>
                </a:solidFill>
              </a:ln>
              <a:effectLst/>
            </c:spPr>
            <c:extLst>
              <c:ext xmlns:c16="http://schemas.microsoft.com/office/drawing/2014/chart" uri="{C3380CC4-5D6E-409C-BE32-E72D297353CC}">
                <c16:uniqueId val="{00000001-58E4-48A6-9F71-EE25C60AB993}"/>
              </c:ext>
            </c:extLst>
          </c:dPt>
          <c:dPt>
            <c:idx val="1"/>
            <c:bubble3D val="0"/>
            <c:spPr>
              <a:solidFill>
                <a:srgbClr val="92D050"/>
              </a:solidFill>
              <a:ln w="19050">
                <a:solidFill>
                  <a:schemeClr val="lt1"/>
                </a:solidFill>
              </a:ln>
              <a:effectLst/>
            </c:spPr>
            <c:extLst>
              <c:ext xmlns:c16="http://schemas.microsoft.com/office/drawing/2014/chart" uri="{C3380CC4-5D6E-409C-BE32-E72D297353CC}">
                <c16:uniqueId val="{00000003-58E4-48A6-9F71-EE25C60AB99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Sheet2!$G$19:$H$19</c:f>
              <c:strCache>
                <c:ptCount val="2"/>
                <c:pt idx="0">
                  <c:v>Not On Track</c:v>
                </c:pt>
                <c:pt idx="1">
                  <c:v>On Track</c:v>
                </c:pt>
              </c:strCache>
            </c:strRef>
          </c:cat>
          <c:val>
            <c:numRef>
              <c:f>Sheet2!$G$21:$H$21</c:f>
              <c:numCache>
                <c:formatCode>0.0%</c:formatCode>
                <c:ptCount val="2"/>
                <c:pt idx="0">
                  <c:v>0.26519337016574585</c:v>
                </c:pt>
                <c:pt idx="1">
                  <c:v>0.73480662983425415</c:v>
                </c:pt>
              </c:numCache>
            </c:numRef>
          </c:val>
          <c:extLst>
            <c:ext xmlns:c16="http://schemas.microsoft.com/office/drawing/2014/chart" uri="{C3380CC4-5D6E-409C-BE32-E72D297353CC}">
              <c16:uniqueId val="{00000004-58E4-48A6-9F71-EE25C60AB993}"/>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84662983880941589"/>
          <c:y val="0.31860391869620941"/>
          <c:w val="0.14919592095252729"/>
          <c:h val="0.5325588720014647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aseline="0"/>
              <a:t>Spring 20/21 -All EHCP Targets On Track Vs Not On Track</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Sheet1!$N$4</c:f>
              <c:strCache>
                <c:ptCount val="1"/>
                <c:pt idx="0">
                  <c:v>All EHCP Targets, On Track Vs Not On Track</c:v>
                </c:pt>
              </c:strCache>
            </c:strRef>
          </c:tx>
          <c:dPt>
            <c:idx val="0"/>
            <c:bubble3D val="0"/>
            <c:spPr>
              <a:solidFill>
                <a:srgbClr val="92D050"/>
              </a:solidFill>
              <a:ln w="19050">
                <a:solidFill>
                  <a:schemeClr val="lt1"/>
                </a:solidFill>
              </a:ln>
              <a:effectLst/>
            </c:spPr>
            <c:extLst>
              <c:ext xmlns:c16="http://schemas.microsoft.com/office/drawing/2014/chart" uri="{C3380CC4-5D6E-409C-BE32-E72D297353CC}">
                <c16:uniqueId val="{00000001-10E0-48CA-9A9B-8AE75D4C881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0E0-48CA-9A9B-8AE75D4C881E}"/>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Sheet1!$M$5:$M$6</c:f>
              <c:strCache>
                <c:ptCount val="2"/>
                <c:pt idx="0">
                  <c:v>On Track</c:v>
                </c:pt>
                <c:pt idx="1">
                  <c:v>Not on Track</c:v>
                </c:pt>
              </c:strCache>
            </c:strRef>
          </c:cat>
          <c:val>
            <c:numRef>
              <c:f>Sheet1!$N$5:$N$6</c:f>
              <c:numCache>
                <c:formatCode>General</c:formatCode>
                <c:ptCount val="2"/>
                <c:pt idx="0">
                  <c:v>1293</c:v>
                </c:pt>
                <c:pt idx="1">
                  <c:v>609</c:v>
                </c:pt>
              </c:numCache>
            </c:numRef>
          </c:val>
          <c:extLst>
            <c:ext xmlns:c16="http://schemas.microsoft.com/office/drawing/2014/chart" uri="{C3380CC4-5D6E-409C-BE32-E72D297353CC}">
              <c16:uniqueId val="{00000004-10E0-48CA-9A9B-8AE75D4C881E}"/>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Summer 20/21 - No VI</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Analysis!$F$22</c:f>
              <c:strCache>
                <c:ptCount val="1"/>
                <c:pt idx="0">
                  <c:v>No VI</c:v>
                </c:pt>
              </c:strCache>
            </c:strRef>
          </c:tx>
          <c:dPt>
            <c:idx val="0"/>
            <c:bubble3D val="0"/>
            <c:spPr>
              <a:solidFill>
                <a:srgbClr val="FF0000"/>
              </a:solidFill>
              <a:ln w="19050">
                <a:solidFill>
                  <a:schemeClr val="lt1"/>
                </a:solidFill>
              </a:ln>
              <a:effectLst/>
            </c:spPr>
            <c:extLst>
              <c:ext xmlns:c16="http://schemas.microsoft.com/office/drawing/2014/chart" uri="{C3380CC4-5D6E-409C-BE32-E72D297353CC}">
                <c16:uniqueId val="{00000001-A2AE-4CC3-95BC-C0312565841F}"/>
              </c:ext>
            </c:extLst>
          </c:dPt>
          <c:dPt>
            <c:idx val="1"/>
            <c:bubble3D val="0"/>
            <c:spPr>
              <a:solidFill>
                <a:srgbClr val="92D050"/>
              </a:solidFill>
              <a:ln w="19050">
                <a:solidFill>
                  <a:schemeClr val="lt1"/>
                </a:solidFill>
              </a:ln>
              <a:effectLst/>
            </c:spPr>
            <c:extLst>
              <c:ext xmlns:c16="http://schemas.microsoft.com/office/drawing/2014/chart" uri="{C3380CC4-5D6E-409C-BE32-E72D297353CC}">
                <c16:uniqueId val="{00000003-A2AE-4CC3-95BC-C0312565841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Analysis!$G$20:$H$20</c:f>
              <c:strCache>
                <c:ptCount val="2"/>
                <c:pt idx="0">
                  <c:v>Not On T</c:v>
                </c:pt>
                <c:pt idx="1">
                  <c:v>On T</c:v>
                </c:pt>
              </c:strCache>
            </c:strRef>
          </c:cat>
          <c:val>
            <c:numRef>
              <c:f>Analysis!$G$22:$H$22</c:f>
              <c:numCache>
                <c:formatCode>0.0%</c:formatCode>
                <c:ptCount val="2"/>
                <c:pt idx="0">
                  <c:v>0.12162162162162163</c:v>
                </c:pt>
                <c:pt idx="1">
                  <c:v>0.8783783783783784</c:v>
                </c:pt>
              </c:numCache>
            </c:numRef>
          </c:val>
          <c:extLst>
            <c:ext xmlns:c16="http://schemas.microsoft.com/office/drawing/2014/chart" uri="{C3380CC4-5D6E-409C-BE32-E72D297353CC}">
              <c16:uniqueId val="{00000004-A2AE-4CC3-95BC-C0312565841F}"/>
            </c:ext>
          </c:extLst>
        </c:ser>
        <c:ser>
          <c:idx val="1"/>
          <c:order val="1"/>
          <c:tx>
            <c:strRef>
              <c:f>Analysis!$F$22</c:f>
              <c:strCache>
                <c:ptCount val="1"/>
                <c:pt idx="0">
                  <c:v>No VI</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6-A2AE-4CC3-95BC-C0312565841F}"/>
              </c:ext>
            </c:extLst>
          </c:dPt>
          <c:cat>
            <c:strRef>
              <c:f>Analysis!$G$20:$H$20</c:f>
              <c:strCache>
                <c:ptCount val="2"/>
                <c:pt idx="0">
                  <c:v>Not On T</c:v>
                </c:pt>
                <c:pt idx="1">
                  <c:v>On T</c:v>
                </c:pt>
              </c:strCache>
            </c:strRef>
          </c:cat>
          <c:val>
            <c:numRef>
              <c:f>Analysis!$H$22</c:f>
              <c:numCache>
                <c:formatCode>0.0%</c:formatCode>
                <c:ptCount val="1"/>
                <c:pt idx="0">
                  <c:v>0.8783783783783784</c:v>
                </c:pt>
              </c:numCache>
            </c:numRef>
          </c:val>
          <c:extLst>
            <c:ext xmlns:c16="http://schemas.microsoft.com/office/drawing/2014/chart" uri="{C3380CC4-5D6E-409C-BE32-E72D297353CC}">
              <c16:uniqueId val="{00000007-A2AE-4CC3-95BC-C0312565841F}"/>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Summer 20/21 - VI</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Analysis!$G$20:$H$20</c:f>
              <c:strCache>
                <c:ptCount val="2"/>
                <c:pt idx="0">
                  <c:v>Not On T</c:v>
                </c:pt>
                <c:pt idx="1">
                  <c:v>On T</c:v>
                </c:pt>
              </c:strCache>
            </c:strRef>
          </c:tx>
          <c:spPr>
            <a:solidFill>
              <a:srgbClr val="92D050"/>
            </a:solidFill>
          </c:spPr>
          <c:dPt>
            <c:idx val="0"/>
            <c:bubble3D val="0"/>
            <c:spPr>
              <a:solidFill>
                <a:srgbClr val="FF0000"/>
              </a:solidFill>
              <a:ln w="19050">
                <a:solidFill>
                  <a:schemeClr val="lt1"/>
                </a:solidFill>
              </a:ln>
              <a:effectLst/>
            </c:spPr>
            <c:extLst>
              <c:ext xmlns:c16="http://schemas.microsoft.com/office/drawing/2014/chart" uri="{C3380CC4-5D6E-409C-BE32-E72D297353CC}">
                <c16:uniqueId val="{00000001-8D94-46E9-B872-5F8C8E97130D}"/>
              </c:ext>
            </c:extLst>
          </c:dPt>
          <c:dPt>
            <c:idx val="1"/>
            <c:bubble3D val="0"/>
            <c:spPr>
              <a:solidFill>
                <a:srgbClr val="92D050"/>
              </a:solidFill>
              <a:ln w="19050">
                <a:solidFill>
                  <a:schemeClr val="lt1"/>
                </a:solidFill>
              </a:ln>
              <a:effectLst/>
            </c:spPr>
            <c:extLst>
              <c:ext xmlns:c16="http://schemas.microsoft.com/office/drawing/2014/chart" uri="{C3380CC4-5D6E-409C-BE32-E72D297353CC}">
                <c16:uniqueId val="{00000003-8D94-46E9-B872-5F8C8E97130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Analysis!$F$21</c:f>
              <c:strCache>
                <c:ptCount val="1"/>
                <c:pt idx="0">
                  <c:v>VI</c:v>
                </c:pt>
              </c:strCache>
            </c:strRef>
          </c:cat>
          <c:val>
            <c:numRef>
              <c:f>Analysis!$G$21:$H$21</c:f>
              <c:numCache>
                <c:formatCode>0.0%</c:formatCode>
                <c:ptCount val="2"/>
                <c:pt idx="0">
                  <c:v>0.20935412026726058</c:v>
                </c:pt>
                <c:pt idx="1">
                  <c:v>0.79064587973273948</c:v>
                </c:pt>
              </c:numCache>
            </c:numRef>
          </c:val>
          <c:extLst>
            <c:ext xmlns:c16="http://schemas.microsoft.com/office/drawing/2014/chart" uri="{C3380CC4-5D6E-409C-BE32-E72D297353CC}">
              <c16:uniqueId val="{00000004-8D94-46E9-B872-5F8C8E97130D}"/>
            </c:ext>
          </c:extLst>
        </c:ser>
        <c:ser>
          <c:idx val="1"/>
          <c:order val="1"/>
          <c:tx>
            <c:strRef>
              <c:f>Analysis!$H$20</c:f>
              <c:strCache>
                <c:ptCount val="1"/>
                <c:pt idx="0">
                  <c:v>On T</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6-8D94-46E9-B872-5F8C8E97130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8-8D94-46E9-B872-5F8C8E97130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A-8D94-46E9-B872-5F8C8E97130D}"/>
              </c:ext>
            </c:extLst>
          </c:dPt>
          <c:cat>
            <c:strRef>
              <c:f>Analysis!$F$21</c:f>
              <c:strCache>
                <c:ptCount val="1"/>
                <c:pt idx="0">
                  <c:v>VI</c:v>
                </c:pt>
              </c:strCache>
            </c:strRef>
          </c:cat>
          <c:val>
            <c:numRef>
              <c:f>Analysis!$H$21:$H$23</c:f>
              <c:numCache>
                <c:formatCode>0.0%</c:formatCode>
                <c:ptCount val="3"/>
                <c:pt idx="0">
                  <c:v>0.79064587973273948</c:v>
                </c:pt>
                <c:pt idx="1">
                  <c:v>0.8783783783783784</c:v>
                </c:pt>
                <c:pt idx="2">
                  <c:v>0.8571428571428571</c:v>
                </c:pt>
              </c:numCache>
            </c:numRef>
          </c:val>
          <c:extLst>
            <c:ext xmlns:c16="http://schemas.microsoft.com/office/drawing/2014/chart" uri="{C3380CC4-5D6E-409C-BE32-E72D297353CC}">
              <c16:uniqueId val="{0000000B-8D94-46E9-B872-5F8C8E97130D}"/>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Summer 20/21</a:t>
            </a:r>
            <a:r>
              <a:rPr lang="en-US" sz="1200" baseline="0"/>
              <a:t> - </a:t>
            </a:r>
            <a:r>
              <a:rPr lang="en-US" sz="1200"/>
              <a:t>All EHCP Targets On Track Vs Not On Track</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Sheet1!$N$4</c:f>
              <c:strCache>
                <c:ptCount val="1"/>
                <c:pt idx="0">
                  <c:v>All EHCP Targets, On Track Vs Not On Track</c:v>
                </c:pt>
              </c:strCache>
            </c:strRef>
          </c:tx>
          <c:dPt>
            <c:idx val="0"/>
            <c:bubble3D val="0"/>
            <c:spPr>
              <a:solidFill>
                <a:schemeClr val="accent3"/>
              </a:solidFill>
              <a:ln w="19050">
                <a:solidFill>
                  <a:schemeClr val="lt1"/>
                </a:solidFill>
              </a:ln>
              <a:effectLst/>
            </c:spPr>
            <c:extLst>
              <c:ext xmlns:c16="http://schemas.microsoft.com/office/drawing/2014/chart" uri="{C3380CC4-5D6E-409C-BE32-E72D297353CC}">
                <c16:uniqueId val="{00000001-8CEA-47EC-A694-60A9530C769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CEA-47EC-A694-60A9530C7696}"/>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Sheet1!$M$5:$M$6</c:f>
              <c:strCache>
                <c:ptCount val="2"/>
                <c:pt idx="0">
                  <c:v>On Track</c:v>
                </c:pt>
                <c:pt idx="1">
                  <c:v>Not on Track</c:v>
                </c:pt>
              </c:strCache>
            </c:strRef>
          </c:cat>
          <c:val>
            <c:numRef>
              <c:f>Sheet1!$N$5:$N$6</c:f>
              <c:numCache>
                <c:formatCode>General</c:formatCode>
                <c:ptCount val="2"/>
                <c:pt idx="0">
                  <c:v>1590</c:v>
                </c:pt>
                <c:pt idx="1">
                  <c:v>265</c:v>
                </c:pt>
              </c:numCache>
            </c:numRef>
          </c:val>
          <c:extLst>
            <c:ext xmlns:c16="http://schemas.microsoft.com/office/drawing/2014/chart" uri="{C3380CC4-5D6E-409C-BE32-E72D297353CC}">
              <c16:uniqueId val="{00000004-8CEA-47EC-A694-60A9530C7696}"/>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u="none" strike="noStrike" baseline="0">
                <a:effectLst/>
              </a:rPr>
              <a:t>Autumn 20/21-</a:t>
            </a:r>
            <a:r>
              <a:rPr lang="en-GB" sz="1200"/>
              <a:t>All EHCP Targets, by Domain</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2EA-413D-A500-D26A3820B168}"/>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02EA-413D-A500-D26A3820B168}"/>
              </c:ext>
            </c:extLst>
          </c:dPt>
          <c:dPt>
            <c:idx val="2"/>
            <c:bubble3D val="0"/>
            <c:spPr>
              <a:solidFill>
                <a:srgbClr val="FFC000"/>
              </a:solidFill>
              <a:ln w="19050">
                <a:solidFill>
                  <a:schemeClr val="lt1"/>
                </a:solidFill>
              </a:ln>
              <a:effectLst/>
            </c:spPr>
            <c:extLst>
              <c:ext xmlns:c16="http://schemas.microsoft.com/office/drawing/2014/chart" uri="{C3380CC4-5D6E-409C-BE32-E72D297353CC}">
                <c16:uniqueId val="{00000005-02EA-413D-A500-D26A3820B16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2EA-413D-A500-D26A3820B16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2EA-413D-A500-D26A3820B168}"/>
              </c:ext>
            </c:extLst>
          </c:dPt>
          <c:dLbls>
            <c:dLbl>
              <c:idx val="0"/>
              <c:layout/>
              <c:tx>
                <c:rich>
                  <a:bodyPr/>
                  <a:lstStyle/>
                  <a:p>
                    <a:r>
                      <a:rPr lang="en-US"/>
                      <a:t>31.3%</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02EA-413D-A500-D26A3820B168}"/>
                </c:ext>
              </c:extLst>
            </c:dLbl>
            <c:dLbl>
              <c:idx val="1"/>
              <c:layout/>
              <c:tx>
                <c:rich>
                  <a:bodyPr/>
                  <a:lstStyle/>
                  <a:p>
                    <a:r>
                      <a:rPr lang="en-US"/>
                      <a:t>19.7%</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02EA-413D-A500-D26A3820B168}"/>
                </c:ext>
              </c:extLst>
            </c:dLbl>
            <c:dLbl>
              <c:idx val="2"/>
              <c:layout/>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02EA-413D-A500-D26A3820B168}"/>
                </c:ext>
              </c:extLst>
            </c:dLbl>
            <c:dLbl>
              <c:idx val="3"/>
              <c:layout/>
              <c:tx>
                <c:rich>
                  <a:bodyPr/>
                  <a:lstStyle/>
                  <a:p>
                    <a:r>
                      <a:rPr lang="en-US"/>
                      <a:t>18.3%</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02EA-413D-A500-D26A3820B168}"/>
                </c:ext>
              </c:extLst>
            </c:dLbl>
            <c:dLbl>
              <c:idx val="4"/>
              <c:layout/>
              <c:tx>
                <c:rich>
                  <a:bodyPr/>
                  <a:lstStyle/>
                  <a:p>
                    <a:r>
                      <a:rPr lang="en-US"/>
                      <a:t>22.2%</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02EA-413D-A500-D26A3820B168}"/>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CL </c:v>
                </c:pt>
                <c:pt idx="1">
                  <c:v>I</c:v>
                </c:pt>
                <c:pt idx="2">
                  <c:v>PS</c:v>
                </c:pt>
                <c:pt idx="3">
                  <c:v>SEW </c:v>
                </c:pt>
                <c:pt idx="4">
                  <c:v>SLC</c:v>
                </c:pt>
              </c:strCache>
            </c:strRef>
          </c:cat>
          <c:val>
            <c:numRef>
              <c:f>Sheet1!$B$2:$B$6</c:f>
              <c:numCache>
                <c:formatCode>0.00%</c:formatCode>
                <c:ptCount val="5"/>
                <c:pt idx="0">
                  <c:v>0.31319554848966613</c:v>
                </c:pt>
                <c:pt idx="1">
                  <c:v>0.19660837307896131</c:v>
                </c:pt>
                <c:pt idx="2">
                  <c:v>8.4790673025967142E-2</c:v>
                </c:pt>
                <c:pt idx="3">
                  <c:v>0.18335983041865395</c:v>
                </c:pt>
                <c:pt idx="4">
                  <c:v>0.22204557498675145</c:v>
                </c:pt>
              </c:numCache>
            </c:numRef>
          </c:val>
          <c:extLst>
            <c:ext xmlns:c16="http://schemas.microsoft.com/office/drawing/2014/chart" uri="{C3380CC4-5D6E-409C-BE32-E72D297353CC}">
              <c16:uniqueId val="{0000000A-02EA-413D-A500-D26A3820B168}"/>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u="none" strike="noStrike" baseline="0">
                <a:effectLst/>
              </a:rPr>
              <a:t>Spring 20/21 - </a:t>
            </a:r>
            <a:r>
              <a:rPr lang="en-GB" sz="1200"/>
              <a:t>All EHCP Targets, by Domain</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DAA-403A-A86D-74A20945AD90}"/>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6DAA-403A-A86D-74A20945AD90}"/>
              </c:ext>
            </c:extLst>
          </c:dPt>
          <c:dPt>
            <c:idx val="2"/>
            <c:bubble3D val="0"/>
            <c:spPr>
              <a:solidFill>
                <a:srgbClr val="FFC000"/>
              </a:solidFill>
              <a:ln w="19050">
                <a:solidFill>
                  <a:schemeClr val="lt1"/>
                </a:solidFill>
              </a:ln>
              <a:effectLst/>
            </c:spPr>
            <c:extLst>
              <c:ext xmlns:c16="http://schemas.microsoft.com/office/drawing/2014/chart" uri="{C3380CC4-5D6E-409C-BE32-E72D297353CC}">
                <c16:uniqueId val="{00000005-6DAA-403A-A86D-74A20945AD9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DAA-403A-A86D-74A20945AD9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DAA-403A-A86D-74A20945AD90}"/>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Sheet1!$A$2:$A$6</c:f>
              <c:strCache>
                <c:ptCount val="5"/>
                <c:pt idx="0">
                  <c:v>CL </c:v>
                </c:pt>
                <c:pt idx="1">
                  <c:v>I</c:v>
                </c:pt>
                <c:pt idx="2">
                  <c:v>PS</c:v>
                </c:pt>
                <c:pt idx="3">
                  <c:v>SEW </c:v>
                </c:pt>
                <c:pt idx="4">
                  <c:v>SLC</c:v>
                </c:pt>
              </c:strCache>
            </c:strRef>
          </c:cat>
          <c:val>
            <c:numRef>
              <c:f>Sheet1!$B$2:$B$6</c:f>
              <c:numCache>
                <c:formatCode>0.0%</c:formatCode>
                <c:ptCount val="5"/>
                <c:pt idx="0">
                  <c:v>0.31808622502628814</c:v>
                </c:pt>
                <c:pt idx="1">
                  <c:v>0.19873817034700317</c:v>
                </c:pt>
                <c:pt idx="2">
                  <c:v>8.3596214511041003E-2</c:v>
                </c:pt>
                <c:pt idx="3">
                  <c:v>0.17823343848580442</c:v>
                </c:pt>
                <c:pt idx="4">
                  <c:v>0.22134595162986331</c:v>
                </c:pt>
              </c:numCache>
            </c:numRef>
          </c:val>
          <c:extLst>
            <c:ext xmlns:c16="http://schemas.microsoft.com/office/drawing/2014/chart" uri="{C3380CC4-5D6E-409C-BE32-E72D297353CC}">
              <c16:uniqueId val="{0000000A-6DAA-403A-A86D-74A20945AD90}"/>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a:t>Summer 20/21 - All EHCP Targets, by Domain</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BF6-47BA-B223-A0EA2A681B7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BF6-47BA-B223-A0EA2A681B7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BF6-47BA-B223-A0EA2A681B7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BF6-47BA-B223-A0EA2A681B7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BF6-47BA-B223-A0EA2A681B70}"/>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Sheet1!$A$2:$A$6</c:f>
              <c:strCache>
                <c:ptCount val="5"/>
                <c:pt idx="0">
                  <c:v>CL </c:v>
                </c:pt>
                <c:pt idx="1">
                  <c:v>I</c:v>
                </c:pt>
                <c:pt idx="2">
                  <c:v>PS</c:v>
                </c:pt>
                <c:pt idx="3">
                  <c:v>SEW </c:v>
                </c:pt>
                <c:pt idx="4">
                  <c:v>SLC</c:v>
                </c:pt>
              </c:strCache>
            </c:strRef>
          </c:cat>
          <c:val>
            <c:numRef>
              <c:f>Sheet1!$B$2:$B$6</c:f>
              <c:numCache>
                <c:formatCode>0.0%</c:formatCode>
                <c:ptCount val="5"/>
                <c:pt idx="0">
                  <c:v>0.31428571428571428</c:v>
                </c:pt>
                <c:pt idx="1">
                  <c:v>0.19838274932614555</c:v>
                </c:pt>
                <c:pt idx="2">
                  <c:v>8.1401617250673852E-2</c:v>
                </c:pt>
                <c:pt idx="3">
                  <c:v>0.18436657681940702</c:v>
                </c:pt>
                <c:pt idx="4">
                  <c:v>0.2215633423180593</c:v>
                </c:pt>
              </c:numCache>
            </c:numRef>
          </c:val>
          <c:extLst>
            <c:ext xmlns:c16="http://schemas.microsoft.com/office/drawing/2014/chart" uri="{C3380CC4-5D6E-409C-BE32-E72D297353CC}">
              <c16:uniqueId val="{0000000A-6BF6-47BA-B223-A0EA2A681B70}"/>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All Domains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57F-4691-85B4-34B05A80D89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57F-4691-85B4-34B05A80D89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57F-4691-85B4-34B05A80D89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57F-4691-85B4-34B05A80D89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57F-4691-85B4-34B05A80D89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57F-4691-85B4-34B05A80D89D}"/>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257F-4691-85B4-34B05A80D89D}"/>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257F-4691-85B4-34B05A80D89D}"/>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257F-4691-85B4-34B05A80D89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Sheet1!$A$19:$A$27</c:f>
              <c:strCache>
                <c:ptCount val="8"/>
                <c:pt idx="0">
                  <c:v>1-Attendance (Non-Covid)</c:v>
                </c:pt>
                <c:pt idx="1">
                  <c:v>2-Attendance (Covid)</c:v>
                </c:pt>
                <c:pt idx="2">
                  <c:v>3-Medical (Non-Covid)</c:v>
                </c:pt>
                <c:pt idx="3">
                  <c:v>4-Emotional (Non-Covid)</c:v>
                </c:pt>
                <c:pt idx="4">
                  <c:v>5-Emotional (Covid)</c:v>
                </c:pt>
                <c:pt idx="5">
                  <c:v>6-Resources / Training</c:v>
                </c:pt>
                <c:pt idx="6">
                  <c:v>7-Inappropriate Expectations</c:v>
                </c:pt>
                <c:pt idx="7">
                  <c:v>8-Other</c:v>
                </c:pt>
              </c:strCache>
            </c:strRef>
          </c:cat>
          <c:val>
            <c:numRef>
              <c:f>Sheet1!$B$19:$B$27</c:f>
              <c:numCache>
                <c:formatCode>General</c:formatCode>
                <c:ptCount val="9"/>
                <c:pt idx="0">
                  <c:v>29</c:v>
                </c:pt>
                <c:pt idx="1">
                  <c:v>100</c:v>
                </c:pt>
                <c:pt idx="2">
                  <c:v>10</c:v>
                </c:pt>
                <c:pt idx="3">
                  <c:v>10</c:v>
                </c:pt>
                <c:pt idx="4">
                  <c:v>29</c:v>
                </c:pt>
                <c:pt idx="5">
                  <c:v>13</c:v>
                </c:pt>
                <c:pt idx="6">
                  <c:v>23</c:v>
                </c:pt>
                <c:pt idx="7">
                  <c:v>50</c:v>
                </c:pt>
              </c:numCache>
            </c:numRef>
          </c:val>
          <c:extLst>
            <c:ext xmlns:c16="http://schemas.microsoft.com/office/drawing/2014/chart" uri="{C3380CC4-5D6E-409C-BE32-E72D297353CC}">
              <c16:uniqueId val="{00000012-257F-4691-85B4-34B05A80D89D}"/>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[DATA Jul21.xlsx]Chart 1 Domain!PivotTable1</c:name>
    <c:fmtId val="32"/>
  </c:pivotSource>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pivotFmt>
      <c:pivotFmt>
        <c:idx val="2"/>
        <c:spPr>
          <a:solidFill>
            <a:schemeClr val="accent1"/>
          </a:solidFill>
          <a:ln w="19050">
            <a:solidFill>
              <a:schemeClr val="lt1"/>
            </a:solidFill>
          </a:ln>
          <a:effectLst/>
        </c:spPr>
        <c:marker>
          <c:symbol val="none"/>
        </c:marker>
      </c:pivotFmt>
      <c:pivotFmt>
        <c:idx val="3"/>
        <c:spPr>
          <a:solidFill>
            <a:schemeClr val="accent1"/>
          </a:solidFill>
          <a:ln w="19050">
            <a:solidFill>
              <a:schemeClr val="lt1"/>
            </a:solidFill>
          </a:ln>
          <a:effectLst/>
        </c:spPr>
        <c:marker>
          <c:symbol val="none"/>
        </c:marker>
      </c:pivotFmt>
      <c:pivotFmt>
        <c:idx val="4"/>
        <c:spPr>
          <a:solidFill>
            <a:schemeClr val="accent1"/>
          </a:solidFill>
          <a:ln w="19050">
            <a:solidFill>
              <a:schemeClr val="lt1"/>
            </a:solidFill>
          </a:ln>
          <a:effectLst/>
        </c:spPr>
        <c:marker>
          <c:symbol val="none"/>
        </c:marke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
        <c:idx val="15"/>
        <c:spPr>
          <a:solidFill>
            <a:schemeClr val="accent1"/>
          </a:solidFill>
          <a:ln w="19050">
            <a:solidFill>
              <a:schemeClr val="lt1"/>
            </a:solidFill>
          </a:ln>
          <a:effectLst/>
        </c:spPr>
      </c:pivotFmt>
      <c:pivotFmt>
        <c:idx val="16"/>
        <c:spPr>
          <a:solidFill>
            <a:schemeClr val="accent1"/>
          </a:solidFill>
          <a:ln w="19050">
            <a:solidFill>
              <a:schemeClr val="lt1"/>
            </a:solidFill>
          </a:ln>
          <a:effectLst/>
        </c:spPr>
      </c:pivotFmt>
      <c:pivotFmt>
        <c:idx val="17"/>
        <c:spPr>
          <a:solidFill>
            <a:schemeClr val="accent1"/>
          </a:solidFill>
          <a:ln w="19050">
            <a:solidFill>
              <a:schemeClr val="lt1"/>
            </a:solidFill>
          </a:ln>
          <a:effectLst/>
        </c:spPr>
      </c:pivotFmt>
      <c:pivotFmt>
        <c:idx val="18"/>
        <c:spPr>
          <a:solidFill>
            <a:schemeClr val="accent1"/>
          </a:solidFill>
          <a:ln w="19050">
            <a:solidFill>
              <a:schemeClr val="lt1"/>
            </a:solidFill>
          </a:ln>
          <a:effectLst/>
        </c:spPr>
      </c:pivotFmt>
      <c:pivotFmt>
        <c:idx val="19"/>
        <c:spPr>
          <a:solidFill>
            <a:schemeClr val="accent1"/>
          </a:solidFill>
          <a:ln w="19050">
            <a:solidFill>
              <a:schemeClr val="lt1"/>
            </a:solidFill>
          </a:ln>
          <a:effectLst/>
        </c:spPr>
      </c:pivotFmt>
      <c:pivotFmt>
        <c:idx val="20"/>
        <c:spPr>
          <a:solidFill>
            <a:schemeClr val="accent1"/>
          </a:solidFill>
          <a:ln w="19050">
            <a:solidFill>
              <a:schemeClr val="lt1"/>
            </a:solidFill>
          </a:ln>
          <a:effectLst/>
        </c:spPr>
      </c:pivotFmt>
      <c:pivotFmt>
        <c:idx val="21"/>
        <c:spPr>
          <a:solidFill>
            <a:schemeClr val="accent1"/>
          </a:solidFill>
          <a:ln w="19050">
            <a:solidFill>
              <a:schemeClr val="lt1"/>
            </a:solidFill>
          </a:ln>
          <a:effectLst/>
        </c:spPr>
      </c:pivotFmt>
      <c:pivotFmt>
        <c:idx val="22"/>
        <c:spPr>
          <a:solidFill>
            <a:schemeClr val="accent1"/>
          </a:solidFill>
          <a:ln w="19050">
            <a:solidFill>
              <a:schemeClr val="lt1"/>
            </a:solidFill>
          </a:ln>
          <a:effectLst/>
        </c:spPr>
      </c:pivotFmt>
      <c:pivotFmt>
        <c:idx val="23"/>
        <c:spPr>
          <a:solidFill>
            <a:schemeClr val="accent1"/>
          </a:solidFill>
          <a:ln w="19050">
            <a:solidFill>
              <a:schemeClr val="lt1"/>
            </a:solidFill>
          </a:ln>
          <a:effectLst/>
        </c:spPr>
      </c:pivotFmt>
      <c:pivotFmt>
        <c:idx val="24"/>
        <c:spPr>
          <a:solidFill>
            <a:schemeClr val="accent1"/>
          </a:solidFill>
          <a:ln w="19050">
            <a:solidFill>
              <a:schemeClr val="lt1"/>
            </a:solidFill>
          </a:ln>
          <a:effectLst/>
        </c:spPr>
      </c:pivotFmt>
      <c:pivotFmt>
        <c:idx val="25"/>
        <c:spPr>
          <a:solidFill>
            <a:schemeClr val="accent1"/>
          </a:solidFill>
          <a:ln w="19050">
            <a:solidFill>
              <a:schemeClr val="lt1"/>
            </a:solidFill>
          </a:ln>
          <a:effectLst/>
        </c:spPr>
      </c:pivotFmt>
      <c:pivotFmt>
        <c:idx val="26"/>
        <c:spPr>
          <a:solidFill>
            <a:schemeClr val="accent1"/>
          </a:solidFill>
          <a:ln w="19050">
            <a:solidFill>
              <a:schemeClr val="lt1"/>
            </a:solidFill>
          </a:ln>
          <a:effectLst/>
        </c:spPr>
      </c:pivotFmt>
      <c:pivotFmt>
        <c:idx val="27"/>
        <c:spPr>
          <a:solidFill>
            <a:schemeClr val="accent1"/>
          </a:solidFill>
          <a:ln w="19050">
            <a:solidFill>
              <a:schemeClr val="lt1"/>
            </a:solidFill>
          </a:ln>
          <a:effectLst/>
        </c:spPr>
      </c:pivotFmt>
      <c:pivotFmt>
        <c:idx val="28"/>
        <c:spPr>
          <a:solidFill>
            <a:schemeClr val="accent1"/>
          </a:solidFill>
          <a:ln w="19050">
            <a:solidFill>
              <a:schemeClr val="lt1"/>
            </a:solidFill>
          </a:ln>
          <a:effectLst/>
        </c:spPr>
      </c:pivotFmt>
      <c:pivotFmt>
        <c:idx val="29"/>
        <c:spPr>
          <a:solidFill>
            <a:schemeClr val="accent1"/>
          </a:solidFill>
          <a:ln w="19050">
            <a:solidFill>
              <a:schemeClr val="lt1"/>
            </a:solidFill>
          </a:ln>
          <a:effectLst/>
        </c:spPr>
      </c:pivotFmt>
      <c:pivotFmt>
        <c:idx val="30"/>
        <c:spPr>
          <a:solidFill>
            <a:schemeClr val="accent1"/>
          </a:solidFill>
          <a:ln w="19050">
            <a:solidFill>
              <a:schemeClr val="lt1"/>
            </a:solidFill>
          </a:ln>
          <a:effectLst/>
        </c:spPr>
      </c:pivotFmt>
      <c:pivotFmt>
        <c:idx val="31"/>
        <c:spPr>
          <a:solidFill>
            <a:schemeClr val="accent1"/>
          </a:solidFill>
          <a:ln w="19050">
            <a:solidFill>
              <a:schemeClr val="lt1"/>
            </a:solidFill>
          </a:ln>
          <a:effectLst/>
        </c:spPr>
      </c:pivotFmt>
      <c:pivotFmt>
        <c:idx val="32"/>
        <c:spPr>
          <a:solidFill>
            <a:schemeClr val="accent1"/>
          </a:solidFill>
          <a:ln w="19050">
            <a:solidFill>
              <a:schemeClr val="lt1"/>
            </a:solidFill>
          </a:ln>
          <a:effectLst/>
        </c:spPr>
      </c:pivotFmt>
      <c:pivotFmt>
        <c:idx val="33"/>
        <c:spPr>
          <a:solidFill>
            <a:schemeClr val="accent1"/>
          </a:solidFill>
          <a:ln w="19050">
            <a:solidFill>
              <a:schemeClr val="lt1"/>
            </a:solidFill>
          </a:ln>
          <a:effectLst/>
        </c:spPr>
      </c:pivotFmt>
      <c:pivotFmt>
        <c:idx val="34"/>
        <c:spPr>
          <a:solidFill>
            <a:schemeClr val="accent1"/>
          </a:solidFill>
          <a:ln w="19050">
            <a:solidFill>
              <a:schemeClr val="lt1"/>
            </a:solidFill>
          </a:ln>
          <a:effectLst/>
        </c:spPr>
      </c:pivotFmt>
      <c:pivotFmt>
        <c:idx val="35"/>
        <c:spPr>
          <a:solidFill>
            <a:schemeClr val="accent1"/>
          </a:solidFill>
          <a:ln w="19050">
            <a:solidFill>
              <a:schemeClr val="lt1"/>
            </a:solidFill>
          </a:ln>
          <a:effectLst/>
        </c:spPr>
        <c:marker>
          <c:symbol val="none"/>
        </c:marker>
      </c:pivotFmt>
      <c:pivotFmt>
        <c:idx val="36"/>
        <c:spPr>
          <a:solidFill>
            <a:schemeClr val="accent1"/>
          </a:solidFill>
          <a:ln w="19050">
            <a:solidFill>
              <a:schemeClr val="lt1"/>
            </a:solidFill>
          </a:ln>
          <a:effectLst/>
        </c:spPr>
      </c:pivotFmt>
      <c:pivotFmt>
        <c:idx val="37"/>
        <c:spPr>
          <a:solidFill>
            <a:schemeClr val="accent1"/>
          </a:solidFill>
          <a:ln w="19050">
            <a:solidFill>
              <a:schemeClr val="lt1"/>
            </a:solidFill>
          </a:ln>
          <a:effectLst/>
        </c:spPr>
      </c:pivotFmt>
      <c:pivotFmt>
        <c:idx val="38"/>
        <c:spPr>
          <a:solidFill>
            <a:schemeClr val="accent1"/>
          </a:solidFill>
          <a:ln w="19050">
            <a:solidFill>
              <a:schemeClr val="lt1"/>
            </a:solidFill>
          </a:ln>
          <a:effectLst/>
        </c:spPr>
      </c:pivotFmt>
      <c:pivotFmt>
        <c:idx val="39"/>
        <c:spPr>
          <a:solidFill>
            <a:schemeClr val="accent1"/>
          </a:solidFill>
          <a:ln w="19050">
            <a:solidFill>
              <a:schemeClr val="lt1"/>
            </a:solidFill>
          </a:ln>
          <a:effectLst/>
        </c:spPr>
      </c:pivotFmt>
      <c:pivotFmt>
        <c:idx val="40"/>
        <c:spPr>
          <a:solidFill>
            <a:schemeClr val="accent1"/>
          </a:solidFill>
          <a:ln w="19050">
            <a:solidFill>
              <a:schemeClr val="lt1"/>
            </a:solidFill>
          </a:ln>
          <a:effectLst/>
        </c:spPr>
      </c:pivotFmt>
      <c:pivotFmt>
        <c:idx val="41"/>
        <c:spPr>
          <a:solidFill>
            <a:schemeClr val="accent1"/>
          </a:solidFill>
          <a:ln w="19050">
            <a:solidFill>
              <a:schemeClr val="lt1"/>
            </a:solidFill>
          </a:ln>
          <a:effectLst/>
        </c:spPr>
      </c:pivotFmt>
      <c:pivotFmt>
        <c:idx val="42"/>
        <c:spPr>
          <a:solidFill>
            <a:schemeClr val="accent1"/>
          </a:solidFill>
          <a:ln w="19050">
            <a:solidFill>
              <a:schemeClr val="lt1"/>
            </a:solidFill>
          </a:ln>
          <a:effectLst/>
        </c:spPr>
      </c:pivotFmt>
      <c:pivotFmt>
        <c:idx val="43"/>
        <c:spPr>
          <a:solidFill>
            <a:schemeClr val="accent1"/>
          </a:solidFill>
          <a:ln w="19050">
            <a:solidFill>
              <a:schemeClr val="lt1"/>
            </a:solidFill>
          </a:ln>
          <a:effectLst/>
        </c:spPr>
      </c:pivotFmt>
      <c:pivotFmt>
        <c:idx val="44"/>
        <c:spPr>
          <a:solidFill>
            <a:schemeClr val="accent1"/>
          </a:solidFill>
          <a:ln w="19050">
            <a:solidFill>
              <a:schemeClr val="lt1"/>
            </a:solidFill>
          </a:ln>
          <a:effectLst/>
        </c:spPr>
      </c:pivotFmt>
      <c:pivotFmt>
        <c:idx val="45"/>
        <c:spPr>
          <a:solidFill>
            <a:schemeClr val="accent1"/>
          </a:solidFill>
          <a:ln w="19050">
            <a:solidFill>
              <a:schemeClr val="lt1"/>
            </a:solidFill>
          </a:ln>
          <a:effectLst/>
        </c:spPr>
      </c:pivotFmt>
      <c:pivotFmt>
        <c:idx val="46"/>
        <c:spPr>
          <a:solidFill>
            <a:schemeClr val="accent1"/>
          </a:solidFill>
          <a:ln w="19050">
            <a:solidFill>
              <a:schemeClr val="lt1"/>
            </a:solidFill>
          </a:ln>
          <a:effectLst/>
        </c:spPr>
      </c:pivotFmt>
      <c:pivotFmt>
        <c:idx val="47"/>
        <c:spPr>
          <a:solidFill>
            <a:schemeClr val="accent1"/>
          </a:solidFill>
          <a:ln w="19050">
            <a:solidFill>
              <a:schemeClr val="lt1"/>
            </a:solidFill>
          </a:ln>
          <a:effectLst/>
        </c:spPr>
      </c:pivotFmt>
      <c:pivotFmt>
        <c:idx val="48"/>
        <c:spPr>
          <a:solidFill>
            <a:schemeClr val="accent1"/>
          </a:solidFill>
          <a:ln w="19050">
            <a:solidFill>
              <a:schemeClr val="lt1"/>
            </a:solidFill>
          </a:ln>
          <a:effectLst/>
        </c:spPr>
      </c:pivotFmt>
      <c:pivotFmt>
        <c:idx val="49"/>
        <c:spPr>
          <a:solidFill>
            <a:schemeClr val="accent1"/>
          </a:solidFill>
          <a:ln w="19050">
            <a:solidFill>
              <a:schemeClr val="lt1"/>
            </a:solidFill>
          </a:ln>
          <a:effectLst/>
        </c:spPr>
      </c:pivotFmt>
      <c:pivotFmt>
        <c:idx val="50"/>
        <c:spPr>
          <a:solidFill>
            <a:schemeClr val="accent1"/>
          </a:solidFill>
          <a:ln w="19050">
            <a:solidFill>
              <a:schemeClr val="lt1"/>
            </a:solidFill>
          </a:ln>
          <a:effectLst/>
        </c:spPr>
      </c:pivotFmt>
      <c:pivotFmt>
        <c:idx val="51"/>
        <c:spPr>
          <a:solidFill>
            <a:schemeClr val="accent1"/>
          </a:solidFill>
          <a:ln w="19050">
            <a:solidFill>
              <a:schemeClr val="lt1"/>
            </a:solidFill>
          </a:ln>
          <a:effectLst/>
        </c:spPr>
      </c:pivotFmt>
      <c:pivotFmt>
        <c:idx val="52"/>
        <c:spPr>
          <a:solidFill>
            <a:schemeClr val="accent1"/>
          </a:solidFill>
          <a:ln w="19050">
            <a:solidFill>
              <a:schemeClr val="lt1"/>
            </a:solidFill>
          </a:ln>
          <a:effectLst/>
        </c:spPr>
      </c:pivotFmt>
      <c:pivotFmt>
        <c:idx val="53"/>
        <c:spPr>
          <a:solidFill>
            <a:schemeClr val="accent1"/>
          </a:solidFill>
          <a:ln w="19050">
            <a:solidFill>
              <a:schemeClr val="lt1"/>
            </a:solidFill>
          </a:ln>
          <a:effectLst/>
        </c:spPr>
      </c:pivotFmt>
      <c:pivotFmt>
        <c:idx val="54"/>
        <c:spPr>
          <a:solidFill>
            <a:schemeClr val="accent1"/>
          </a:solidFill>
          <a:ln w="19050">
            <a:solidFill>
              <a:schemeClr val="lt1"/>
            </a:solidFill>
          </a:ln>
          <a:effectLst/>
        </c:spPr>
      </c:pivotFmt>
      <c:pivotFmt>
        <c:idx val="55"/>
        <c:spPr>
          <a:solidFill>
            <a:schemeClr val="accent1"/>
          </a:solidFill>
          <a:ln w="19050">
            <a:solidFill>
              <a:schemeClr val="lt1"/>
            </a:solidFill>
          </a:ln>
          <a:effectLst/>
        </c:spPr>
      </c:pivotFmt>
      <c:pivotFmt>
        <c:idx val="56"/>
        <c:spPr>
          <a:solidFill>
            <a:schemeClr val="accent1"/>
          </a:solidFill>
          <a:ln w="19050">
            <a:solidFill>
              <a:schemeClr val="lt1"/>
            </a:solidFill>
          </a:ln>
          <a:effectLst/>
        </c:spPr>
      </c:pivotFmt>
      <c:pivotFmt>
        <c:idx val="57"/>
        <c:spPr>
          <a:solidFill>
            <a:schemeClr val="accent1"/>
          </a:solidFill>
          <a:ln w="19050">
            <a:solidFill>
              <a:schemeClr val="lt1"/>
            </a:solidFill>
          </a:ln>
          <a:effectLst/>
        </c:spPr>
      </c:pivotFmt>
      <c:pivotFmt>
        <c:idx val="58"/>
        <c:spPr>
          <a:solidFill>
            <a:schemeClr val="accent1"/>
          </a:solidFill>
          <a:ln w="19050">
            <a:solidFill>
              <a:schemeClr val="lt1"/>
            </a:solidFill>
          </a:ln>
          <a:effectLst/>
        </c:spPr>
      </c:pivotFmt>
      <c:pivotFmt>
        <c:idx val="59"/>
        <c:spPr>
          <a:solidFill>
            <a:schemeClr val="accent1"/>
          </a:solidFill>
          <a:ln w="19050">
            <a:solidFill>
              <a:schemeClr val="lt1"/>
            </a:solidFill>
          </a:ln>
          <a:effectLst/>
        </c:spPr>
      </c:pivotFmt>
      <c:pivotFmt>
        <c:idx val="60"/>
        <c:spPr>
          <a:solidFill>
            <a:schemeClr val="accent1"/>
          </a:solidFill>
          <a:ln w="19050">
            <a:solidFill>
              <a:schemeClr val="lt1"/>
            </a:solidFill>
          </a:ln>
          <a:effectLst/>
        </c:spPr>
      </c:pivotFmt>
      <c:pivotFmt>
        <c:idx val="61"/>
        <c:spPr>
          <a:solidFill>
            <a:schemeClr val="accent1"/>
          </a:solidFill>
          <a:ln w="19050">
            <a:solidFill>
              <a:schemeClr val="lt1"/>
            </a:solidFill>
          </a:ln>
          <a:effectLst/>
        </c:spPr>
      </c:pivotFmt>
      <c:pivotFmt>
        <c:idx val="62"/>
        <c:spPr>
          <a:solidFill>
            <a:schemeClr val="accent1"/>
          </a:solidFill>
          <a:ln w="19050">
            <a:solidFill>
              <a:schemeClr val="lt1"/>
            </a:solidFill>
          </a:ln>
          <a:effectLst/>
        </c:spPr>
      </c:pivotFmt>
      <c:pivotFmt>
        <c:idx val="63"/>
        <c:spPr>
          <a:solidFill>
            <a:schemeClr val="accent1"/>
          </a:solidFill>
          <a:ln w="19050">
            <a:solidFill>
              <a:schemeClr val="lt1"/>
            </a:solidFill>
          </a:ln>
          <a:effectLst/>
        </c:spPr>
      </c:pivotFmt>
      <c:pivotFmt>
        <c:idx val="64"/>
        <c:spPr>
          <a:solidFill>
            <a:schemeClr val="accent1"/>
          </a:solidFill>
          <a:ln w="19050">
            <a:solidFill>
              <a:schemeClr val="lt1"/>
            </a:solidFill>
          </a:ln>
          <a:effectLst/>
        </c:spPr>
      </c:pivotFmt>
      <c:pivotFmt>
        <c:idx val="65"/>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66"/>
        <c:spPr>
          <a:solidFill>
            <a:schemeClr val="accent1"/>
          </a:solidFill>
          <a:ln w="19050">
            <a:solidFill>
              <a:schemeClr val="lt1"/>
            </a:solidFill>
          </a:ln>
          <a:effectLst/>
        </c:spPr>
      </c:pivotFmt>
      <c:pivotFmt>
        <c:idx val="67"/>
        <c:spPr>
          <a:solidFill>
            <a:schemeClr val="accent1"/>
          </a:solidFill>
          <a:ln w="19050">
            <a:solidFill>
              <a:schemeClr val="lt1"/>
            </a:solidFill>
          </a:ln>
          <a:effectLst/>
        </c:spPr>
      </c:pivotFmt>
      <c:pivotFmt>
        <c:idx val="68"/>
        <c:spPr>
          <a:solidFill>
            <a:schemeClr val="accent1"/>
          </a:solidFill>
          <a:ln w="19050">
            <a:solidFill>
              <a:schemeClr val="lt1"/>
            </a:solidFill>
          </a:ln>
          <a:effectLst/>
        </c:spPr>
      </c:pivotFmt>
      <c:pivotFmt>
        <c:idx val="69"/>
        <c:spPr>
          <a:solidFill>
            <a:schemeClr val="accent1"/>
          </a:solidFill>
          <a:ln w="19050">
            <a:solidFill>
              <a:schemeClr val="lt1"/>
            </a:solidFill>
          </a:ln>
          <a:effectLst/>
        </c:spPr>
      </c:pivotFmt>
      <c:pivotFmt>
        <c:idx val="70"/>
        <c:spPr>
          <a:solidFill>
            <a:schemeClr val="accent1"/>
          </a:solidFill>
          <a:ln w="19050">
            <a:solidFill>
              <a:schemeClr val="lt1"/>
            </a:solidFill>
          </a:ln>
          <a:effectLst/>
        </c:spPr>
      </c:pivotFmt>
      <c:pivotFmt>
        <c:idx val="71"/>
        <c:spPr>
          <a:solidFill>
            <a:schemeClr val="accent1"/>
          </a:solidFill>
          <a:ln w="19050">
            <a:solidFill>
              <a:schemeClr val="lt1"/>
            </a:solidFill>
          </a:ln>
          <a:effectLst/>
        </c:spPr>
      </c:pivotFmt>
      <c:pivotFmt>
        <c:idx val="72"/>
        <c:spPr>
          <a:solidFill>
            <a:schemeClr val="accent1"/>
          </a:solidFill>
          <a:ln w="19050">
            <a:solidFill>
              <a:schemeClr val="lt1"/>
            </a:solidFill>
          </a:ln>
          <a:effectLst/>
        </c:spPr>
      </c:pivotFmt>
      <c:pivotFmt>
        <c:idx val="73"/>
        <c:spPr>
          <a:solidFill>
            <a:schemeClr val="accent1"/>
          </a:solidFill>
          <a:ln w="19050">
            <a:solidFill>
              <a:schemeClr val="lt1"/>
            </a:solidFill>
          </a:ln>
          <a:effectLst/>
        </c:spPr>
      </c:pivotFmt>
      <c:pivotFmt>
        <c:idx val="74"/>
        <c:spPr>
          <a:solidFill>
            <a:schemeClr val="accent1"/>
          </a:solidFill>
          <a:ln w="19050">
            <a:solidFill>
              <a:schemeClr val="lt1"/>
            </a:solidFill>
          </a:ln>
          <a:effectLst/>
        </c:spPr>
        <c:marker>
          <c:symbol val="none"/>
        </c:marker>
      </c:pivotFmt>
      <c:pivotFmt>
        <c:idx val="75"/>
        <c:spPr>
          <a:solidFill>
            <a:schemeClr val="accent1"/>
          </a:solidFill>
          <a:ln w="19050">
            <a:solidFill>
              <a:schemeClr val="lt1"/>
            </a:solidFill>
          </a:ln>
          <a:effectLst/>
        </c:spPr>
      </c:pivotFmt>
      <c:pivotFmt>
        <c:idx val="76"/>
        <c:spPr>
          <a:solidFill>
            <a:schemeClr val="accent1"/>
          </a:solidFill>
          <a:ln w="19050">
            <a:solidFill>
              <a:schemeClr val="lt1"/>
            </a:solidFill>
          </a:ln>
          <a:effectLst/>
        </c:spPr>
      </c:pivotFmt>
      <c:pivotFmt>
        <c:idx val="77"/>
        <c:spPr>
          <a:solidFill>
            <a:schemeClr val="accent1"/>
          </a:solidFill>
          <a:ln w="19050">
            <a:solidFill>
              <a:schemeClr val="lt1"/>
            </a:solidFill>
          </a:ln>
          <a:effectLst/>
        </c:spPr>
      </c:pivotFmt>
      <c:pivotFmt>
        <c:idx val="78"/>
        <c:spPr>
          <a:solidFill>
            <a:schemeClr val="accent1"/>
          </a:solidFill>
          <a:ln w="19050">
            <a:solidFill>
              <a:schemeClr val="lt1"/>
            </a:solidFill>
          </a:ln>
          <a:effectLst/>
        </c:spPr>
      </c:pivotFmt>
      <c:pivotFmt>
        <c:idx val="79"/>
        <c:spPr>
          <a:solidFill>
            <a:schemeClr val="accent1"/>
          </a:solidFill>
          <a:ln w="19050">
            <a:solidFill>
              <a:schemeClr val="lt1"/>
            </a:solidFill>
          </a:ln>
          <a:effectLst/>
        </c:spPr>
      </c:pivotFmt>
      <c:pivotFmt>
        <c:idx val="80"/>
        <c:spPr>
          <a:solidFill>
            <a:schemeClr val="accent1"/>
          </a:solidFill>
          <a:ln w="19050">
            <a:solidFill>
              <a:schemeClr val="lt1"/>
            </a:solidFill>
          </a:ln>
          <a:effectLst/>
        </c:spPr>
      </c:pivotFmt>
      <c:pivotFmt>
        <c:idx val="81"/>
        <c:spPr>
          <a:solidFill>
            <a:schemeClr val="accent1"/>
          </a:solidFill>
          <a:ln w="19050">
            <a:solidFill>
              <a:schemeClr val="lt1"/>
            </a:solidFill>
          </a:ln>
          <a:effectLst/>
        </c:spPr>
      </c:pivotFmt>
      <c:pivotFmt>
        <c:idx val="82"/>
        <c:spPr>
          <a:solidFill>
            <a:schemeClr val="accent1"/>
          </a:solidFill>
          <a:ln w="19050">
            <a:solidFill>
              <a:schemeClr val="lt1"/>
            </a:solidFill>
          </a:ln>
          <a:effectLst/>
        </c:spPr>
      </c:pivotFmt>
      <c:pivotFmt>
        <c:idx val="83"/>
        <c:spPr>
          <a:solidFill>
            <a:schemeClr val="accent1"/>
          </a:solidFill>
          <a:ln w="19050">
            <a:solidFill>
              <a:schemeClr val="lt1"/>
            </a:solidFill>
          </a:ln>
          <a:effectLst/>
        </c:spPr>
        <c:marker>
          <c:symbol val="none"/>
        </c:marker>
      </c:pivotFmt>
      <c:pivotFmt>
        <c:idx val="84"/>
        <c:spPr>
          <a:solidFill>
            <a:schemeClr val="accent1"/>
          </a:solidFill>
          <a:ln w="19050">
            <a:solidFill>
              <a:schemeClr val="lt1"/>
            </a:solidFill>
          </a:ln>
          <a:effectLst/>
        </c:spPr>
      </c:pivotFmt>
      <c:pivotFmt>
        <c:idx val="85"/>
        <c:spPr>
          <a:solidFill>
            <a:schemeClr val="accent1"/>
          </a:solidFill>
          <a:ln w="19050">
            <a:solidFill>
              <a:schemeClr val="lt1"/>
            </a:solidFill>
          </a:ln>
          <a:effectLst/>
        </c:spPr>
      </c:pivotFmt>
      <c:pivotFmt>
        <c:idx val="86"/>
        <c:spPr>
          <a:solidFill>
            <a:schemeClr val="accent1"/>
          </a:solidFill>
          <a:ln w="19050">
            <a:solidFill>
              <a:schemeClr val="lt1"/>
            </a:solidFill>
          </a:ln>
          <a:effectLst/>
        </c:spPr>
      </c:pivotFmt>
      <c:pivotFmt>
        <c:idx val="87"/>
        <c:spPr>
          <a:solidFill>
            <a:schemeClr val="accent1"/>
          </a:solidFill>
          <a:ln w="19050">
            <a:solidFill>
              <a:schemeClr val="lt1"/>
            </a:solidFill>
          </a:ln>
          <a:effectLst/>
        </c:spPr>
      </c:pivotFmt>
      <c:pivotFmt>
        <c:idx val="88"/>
        <c:spPr>
          <a:solidFill>
            <a:schemeClr val="accent1"/>
          </a:solidFill>
          <a:ln w="19050">
            <a:solidFill>
              <a:schemeClr val="lt1"/>
            </a:solidFill>
          </a:ln>
          <a:effectLst/>
        </c:spPr>
      </c:pivotFmt>
      <c:pivotFmt>
        <c:idx val="89"/>
        <c:spPr>
          <a:solidFill>
            <a:schemeClr val="accent1"/>
          </a:solidFill>
          <a:ln w="19050">
            <a:solidFill>
              <a:schemeClr val="lt1"/>
            </a:solidFill>
          </a:ln>
          <a:effectLst/>
        </c:spPr>
      </c:pivotFmt>
      <c:pivotFmt>
        <c:idx val="90"/>
        <c:spPr>
          <a:solidFill>
            <a:schemeClr val="accent1"/>
          </a:solidFill>
          <a:ln w="19050">
            <a:solidFill>
              <a:schemeClr val="lt1"/>
            </a:solidFill>
          </a:ln>
          <a:effectLst/>
        </c:spPr>
      </c:pivotFmt>
      <c:pivotFmt>
        <c:idx val="91"/>
        <c:spPr>
          <a:solidFill>
            <a:schemeClr val="accent1"/>
          </a:solidFill>
          <a:ln w="19050">
            <a:solidFill>
              <a:schemeClr val="lt1"/>
            </a:solidFill>
          </a:ln>
          <a:effectLst/>
        </c:spPr>
      </c:pivotFmt>
      <c:pivotFmt>
        <c:idx val="92"/>
        <c:spPr>
          <a:solidFill>
            <a:schemeClr val="accent1"/>
          </a:solidFill>
          <a:ln w="19050">
            <a:solidFill>
              <a:schemeClr val="lt1"/>
            </a:solidFill>
          </a:ln>
          <a:effectLst/>
        </c:spPr>
        <c:marker>
          <c:symbol val="none"/>
        </c:marker>
      </c:pivotFmt>
      <c:pivotFmt>
        <c:idx val="93"/>
        <c:spPr>
          <a:solidFill>
            <a:schemeClr val="accent1"/>
          </a:solidFill>
          <a:ln w="19050">
            <a:solidFill>
              <a:schemeClr val="lt1"/>
            </a:solidFill>
          </a:ln>
          <a:effectLst/>
        </c:spPr>
      </c:pivotFmt>
      <c:pivotFmt>
        <c:idx val="94"/>
        <c:spPr>
          <a:solidFill>
            <a:schemeClr val="accent1"/>
          </a:solidFill>
          <a:ln w="19050">
            <a:solidFill>
              <a:schemeClr val="lt1"/>
            </a:solidFill>
          </a:ln>
          <a:effectLst/>
        </c:spPr>
      </c:pivotFmt>
      <c:pivotFmt>
        <c:idx val="95"/>
        <c:spPr>
          <a:solidFill>
            <a:schemeClr val="accent1"/>
          </a:solidFill>
          <a:ln w="19050">
            <a:solidFill>
              <a:schemeClr val="lt1"/>
            </a:solidFill>
          </a:ln>
          <a:effectLst/>
        </c:spPr>
      </c:pivotFmt>
      <c:pivotFmt>
        <c:idx val="96"/>
        <c:spPr>
          <a:solidFill>
            <a:schemeClr val="accent1"/>
          </a:solidFill>
          <a:ln w="19050">
            <a:solidFill>
              <a:schemeClr val="lt1"/>
            </a:solidFill>
          </a:ln>
          <a:effectLst/>
        </c:spPr>
      </c:pivotFmt>
      <c:pivotFmt>
        <c:idx val="97"/>
        <c:spPr>
          <a:solidFill>
            <a:schemeClr val="accent1"/>
          </a:solidFill>
          <a:ln w="19050">
            <a:solidFill>
              <a:schemeClr val="lt1"/>
            </a:solidFill>
          </a:ln>
          <a:effectLst/>
        </c:spPr>
      </c:pivotFmt>
      <c:pivotFmt>
        <c:idx val="98"/>
        <c:spPr>
          <a:solidFill>
            <a:schemeClr val="accent1"/>
          </a:solidFill>
          <a:ln w="19050">
            <a:solidFill>
              <a:schemeClr val="lt1"/>
            </a:solidFill>
          </a:ln>
          <a:effectLst/>
        </c:spPr>
      </c:pivotFmt>
      <c:pivotFmt>
        <c:idx val="99"/>
        <c:spPr>
          <a:solidFill>
            <a:schemeClr val="accent1"/>
          </a:solidFill>
          <a:ln w="19050">
            <a:solidFill>
              <a:schemeClr val="lt1"/>
            </a:solidFill>
          </a:ln>
          <a:effectLst/>
        </c:spPr>
      </c:pivotFmt>
      <c:pivotFmt>
        <c:idx val="100"/>
        <c:spPr>
          <a:solidFill>
            <a:schemeClr val="accent1"/>
          </a:solidFill>
          <a:ln w="19050">
            <a:solidFill>
              <a:schemeClr val="lt1"/>
            </a:solidFill>
          </a:ln>
          <a:effectLst/>
        </c:spPr>
      </c:pivotFmt>
      <c:pivotFmt>
        <c:idx val="101"/>
        <c:spPr>
          <a:solidFill>
            <a:schemeClr val="accent1"/>
          </a:solidFill>
          <a:ln w="19050">
            <a:solidFill>
              <a:schemeClr val="lt1"/>
            </a:solidFill>
          </a:ln>
          <a:effectLst/>
        </c:spPr>
        <c:marker>
          <c:symbol val="none"/>
        </c:marker>
      </c:pivotFmt>
      <c:pivotFmt>
        <c:idx val="102"/>
        <c:spPr>
          <a:solidFill>
            <a:schemeClr val="accent1"/>
          </a:solidFill>
          <a:ln w="19050">
            <a:solidFill>
              <a:schemeClr val="lt1"/>
            </a:solidFill>
          </a:ln>
          <a:effectLst/>
        </c:spPr>
      </c:pivotFmt>
      <c:pivotFmt>
        <c:idx val="103"/>
        <c:spPr>
          <a:solidFill>
            <a:schemeClr val="accent1"/>
          </a:solidFill>
          <a:ln w="19050">
            <a:solidFill>
              <a:schemeClr val="lt1"/>
            </a:solidFill>
          </a:ln>
          <a:effectLst/>
        </c:spPr>
      </c:pivotFmt>
      <c:pivotFmt>
        <c:idx val="104"/>
        <c:spPr>
          <a:solidFill>
            <a:schemeClr val="accent1"/>
          </a:solidFill>
          <a:ln w="19050">
            <a:solidFill>
              <a:schemeClr val="lt1"/>
            </a:solidFill>
          </a:ln>
          <a:effectLst/>
        </c:spPr>
      </c:pivotFmt>
      <c:pivotFmt>
        <c:idx val="105"/>
        <c:spPr>
          <a:solidFill>
            <a:schemeClr val="accent1"/>
          </a:solidFill>
          <a:ln w="19050">
            <a:solidFill>
              <a:schemeClr val="lt1"/>
            </a:solidFill>
          </a:ln>
          <a:effectLst/>
        </c:spPr>
      </c:pivotFmt>
      <c:pivotFmt>
        <c:idx val="106"/>
        <c:spPr>
          <a:solidFill>
            <a:schemeClr val="accent1"/>
          </a:solidFill>
          <a:ln w="19050">
            <a:solidFill>
              <a:schemeClr val="lt1"/>
            </a:solidFill>
          </a:ln>
          <a:effectLst/>
        </c:spPr>
      </c:pivotFmt>
      <c:pivotFmt>
        <c:idx val="107"/>
        <c:spPr>
          <a:solidFill>
            <a:schemeClr val="accent1"/>
          </a:solidFill>
          <a:ln w="19050">
            <a:solidFill>
              <a:schemeClr val="lt1"/>
            </a:solidFill>
          </a:ln>
          <a:effectLst/>
        </c:spPr>
      </c:pivotFmt>
      <c:pivotFmt>
        <c:idx val="108"/>
        <c:spPr>
          <a:solidFill>
            <a:schemeClr val="accent1"/>
          </a:solidFill>
          <a:ln w="19050">
            <a:solidFill>
              <a:schemeClr val="lt1"/>
            </a:solidFill>
          </a:ln>
          <a:effectLst/>
        </c:spPr>
      </c:pivotFmt>
      <c:pivotFmt>
        <c:idx val="109"/>
        <c:spPr>
          <a:solidFill>
            <a:schemeClr val="accent1"/>
          </a:solidFill>
          <a:ln w="19050">
            <a:solidFill>
              <a:schemeClr val="lt1"/>
            </a:solidFill>
          </a:ln>
          <a:effectLst/>
        </c:spPr>
      </c:pivotFmt>
      <c:pivotFmt>
        <c:idx val="11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11"/>
        <c:spPr>
          <a:solidFill>
            <a:schemeClr val="accent1"/>
          </a:solidFill>
          <a:ln w="19050">
            <a:solidFill>
              <a:schemeClr val="lt1"/>
            </a:solidFill>
          </a:ln>
          <a:effectLst/>
        </c:spPr>
      </c:pivotFmt>
      <c:pivotFmt>
        <c:idx val="112"/>
        <c:spPr>
          <a:solidFill>
            <a:schemeClr val="accent1"/>
          </a:solidFill>
          <a:ln w="19050">
            <a:solidFill>
              <a:schemeClr val="lt1"/>
            </a:solidFill>
          </a:ln>
          <a:effectLst/>
        </c:spPr>
      </c:pivotFmt>
      <c:pivotFmt>
        <c:idx val="113"/>
        <c:spPr>
          <a:solidFill>
            <a:schemeClr val="accent1"/>
          </a:solidFill>
          <a:ln w="19050">
            <a:solidFill>
              <a:schemeClr val="lt1"/>
            </a:solidFill>
          </a:ln>
          <a:effectLst/>
        </c:spPr>
      </c:pivotFmt>
      <c:pivotFmt>
        <c:idx val="114"/>
        <c:spPr>
          <a:solidFill>
            <a:schemeClr val="accent1"/>
          </a:solidFill>
          <a:ln w="19050">
            <a:solidFill>
              <a:schemeClr val="lt1"/>
            </a:solidFill>
          </a:ln>
          <a:effectLst/>
        </c:spPr>
      </c:pivotFmt>
      <c:pivotFmt>
        <c:idx val="115"/>
        <c:spPr>
          <a:solidFill>
            <a:schemeClr val="accent1"/>
          </a:solidFill>
          <a:ln w="19050">
            <a:solidFill>
              <a:schemeClr val="lt1"/>
            </a:solidFill>
          </a:ln>
          <a:effectLst/>
        </c:spPr>
      </c:pivotFmt>
      <c:pivotFmt>
        <c:idx val="116"/>
        <c:spPr>
          <a:solidFill>
            <a:schemeClr val="accent1"/>
          </a:solidFill>
          <a:ln w="19050">
            <a:solidFill>
              <a:schemeClr val="lt1"/>
            </a:solidFill>
          </a:ln>
          <a:effectLst/>
        </c:spPr>
      </c:pivotFmt>
      <c:pivotFmt>
        <c:idx val="117"/>
        <c:spPr>
          <a:solidFill>
            <a:schemeClr val="accent1"/>
          </a:solidFill>
          <a:ln w="19050">
            <a:solidFill>
              <a:schemeClr val="lt1"/>
            </a:solidFill>
          </a:ln>
          <a:effectLst/>
        </c:spPr>
      </c:pivotFmt>
      <c:pivotFmt>
        <c:idx val="118"/>
        <c:spPr>
          <a:solidFill>
            <a:schemeClr val="accent1"/>
          </a:solidFill>
          <a:ln w="19050">
            <a:solidFill>
              <a:schemeClr val="lt1"/>
            </a:solidFill>
          </a:ln>
          <a:effectLst/>
        </c:spPr>
      </c:pivotFmt>
      <c:pivotFmt>
        <c:idx val="119"/>
        <c:spPr>
          <a:solidFill>
            <a:schemeClr val="accent1"/>
          </a:solidFill>
          <a:ln w="19050">
            <a:solidFill>
              <a:schemeClr val="lt1"/>
            </a:solidFill>
          </a:ln>
          <a:effectLst/>
        </c:spPr>
        <c:marker>
          <c:symbol val="none"/>
        </c:marker>
      </c:pivotFmt>
      <c:pivotFmt>
        <c:idx val="120"/>
        <c:spPr>
          <a:solidFill>
            <a:schemeClr val="accent1"/>
          </a:solidFill>
          <a:ln w="19050">
            <a:solidFill>
              <a:schemeClr val="lt1"/>
            </a:solidFill>
          </a:ln>
          <a:effectLst/>
        </c:spPr>
      </c:pivotFmt>
      <c:pivotFmt>
        <c:idx val="121"/>
        <c:spPr>
          <a:solidFill>
            <a:schemeClr val="accent1"/>
          </a:solidFill>
          <a:ln w="19050">
            <a:solidFill>
              <a:schemeClr val="lt1"/>
            </a:solidFill>
          </a:ln>
          <a:effectLst/>
        </c:spPr>
      </c:pivotFmt>
      <c:pivotFmt>
        <c:idx val="122"/>
        <c:spPr>
          <a:solidFill>
            <a:schemeClr val="accent1"/>
          </a:solidFill>
          <a:ln w="19050">
            <a:solidFill>
              <a:schemeClr val="lt1"/>
            </a:solidFill>
          </a:ln>
          <a:effectLst/>
        </c:spPr>
      </c:pivotFmt>
      <c:pivotFmt>
        <c:idx val="123"/>
        <c:spPr>
          <a:solidFill>
            <a:schemeClr val="accent1"/>
          </a:solidFill>
          <a:ln w="19050">
            <a:solidFill>
              <a:schemeClr val="lt1"/>
            </a:solidFill>
          </a:ln>
          <a:effectLst/>
        </c:spPr>
      </c:pivotFmt>
      <c:pivotFmt>
        <c:idx val="124"/>
        <c:spPr>
          <a:solidFill>
            <a:schemeClr val="accent1"/>
          </a:solidFill>
          <a:ln w="19050">
            <a:solidFill>
              <a:schemeClr val="lt1"/>
            </a:solidFill>
          </a:ln>
          <a:effectLst/>
        </c:spPr>
      </c:pivotFmt>
      <c:pivotFmt>
        <c:idx val="125"/>
        <c:spPr>
          <a:solidFill>
            <a:schemeClr val="accent1"/>
          </a:solidFill>
          <a:ln w="19050">
            <a:solidFill>
              <a:schemeClr val="lt1"/>
            </a:solidFill>
          </a:ln>
          <a:effectLst/>
        </c:spPr>
      </c:pivotFmt>
      <c:pivotFmt>
        <c:idx val="126"/>
        <c:spPr>
          <a:solidFill>
            <a:schemeClr val="accent1"/>
          </a:solidFill>
          <a:ln w="19050">
            <a:solidFill>
              <a:schemeClr val="lt1"/>
            </a:solidFill>
          </a:ln>
          <a:effectLst/>
        </c:spPr>
      </c:pivotFmt>
      <c:pivotFmt>
        <c:idx val="127"/>
        <c:spPr>
          <a:solidFill>
            <a:schemeClr val="accent1"/>
          </a:solidFill>
          <a:ln w="19050">
            <a:solidFill>
              <a:schemeClr val="lt1"/>
            </a:solidFill>
          </a:ln>
          <a:effectLst/>
        </c:spPr>
      </c:pivotFmt>
      <c:pivotFmt>
        <c:idx val="128"/>
        <c:spPr>
          <a:solidFill>
            <a:schemeClr val="accent1"/>
          </a:solidFill>
          <a:ln w="19050">
            <a:solidFill>
              <a:schemeClr val="lt1"/>
            </a:solidFill>
          </a:ln>
          <a:effectLst/>
        </c:spPr>
        <c:marker>
          <c:symbol val="none"/>
        </c:marker>
      </c:pivotFmt>
      <c:pivotFmt>
        <c:idx val="129"/>
        <c:spPr>
          <a:solidFill>
            <a:schemeClr val="accent1"/>
          </a:solidFill>
          <a:ln w="19050">
            <a:solidFill>
              <a:schemeClr val="lt1"/>
            </a:solidFill>
          </a:ln>
          <a:effectLst/>
        </c:spPr>
      </c:pivotFmt>
      <c:pivotFmt>
        <c:idx val="130"/>
        <c:spPr>
          <a:solidFill>
            <a:schemeClr val="accent1"/>
          </a:solidFill>
          <a:ln w="19050">
            <a:solidFill>
              <a:schemeClr val="lt1"/>
            </a:solidFill>
          </a:ln>
          <a:effectLst/>
        </c:spPr>
      </c:pivotFmt>
      <c:pivotFmt>
        <c:idx val="131"/>
        <c:spPr>
          <a:solidFill>
            <a:schemeClr val="accent1"/>
          </a:solidFill>
          <a:ln w="19050">
            <a:solidFill>
              <a:schemeClr val="lt1"/>
            </a:solidFill>
          </a:ln>
          <a:effectLst/>
        </c:spPr>
      </c:pivotFmt>
      <c:pivotFmt>
        <c:idx val="132"/>
        <c:spPr>
          <a:solidFill>
            <a:schemeClr val="accent1"/>
          </a:solidFill>
          <a:ln w="19050">
            <a:solidFill>
              <a:schemeClr val="lt1"/>
            </a:solidFill>
          </a:ln>
          <a:effectLst/>
        </c:spPr>
      </c:pivotFmt>
      <c:pivotFmt>
        <c:idx val="133"/>
        <c:spPr>
          <a:solidFill>
            <a:schemeClr val="accent1"/>
          </a:solidFill>
          <a:ln w="19050">
            <a:solidFill>
              <a:schemeClr val="lt1"/>
            </a:solidFill>
          </a:ln>
          <a:effectLst/>
        </c:spPr>
      </c:pivotFmt>
      <c:pivotFmt>
        <c:idx val="134"/>
        <c:spPr>
          <a:solidFill>
            <a:schemeClr val="accent1"/>
          </a:solidFill>
          <a:ln w="19050">
            <a:solidFill>
              <a:schemeClr val="lt1"/>
            </a:solidFill>
          </a:ln>
          <a:effectLst/>
        </c:spPr>
      </c:pivotFmt>
      <c:pivotFmt>
        <c:idx val="135"/>
        <c:spPr>
          <a:solidFill>
            <a:schemeClr val="accent1"/>
          </a:solidFill>
          <a:ln w="19050">
            <a:solidFill>
              <a:schemeClr val="lt1"/>
            </a:solidFill>
          </a:ln>
          <a:effectLst/>
        </c:spPr>
      </c:pivotFmt>
      <c:pivotFmt>
        <c:idx val="136"/>
        <c:spPr>
          <a:solidFill>
            <a:schemeClr val="accent1"/>
          </a:solidFill>
          <a:ln w="19050">
            <a:solidFill>
              <a:schemeClr val="lt1"/>
            </a:solidFill>
          </a:ln>
          <a:effectLst/>
        </c:spPr>
      </c:pivotFmt>
      <c:pivotFmt>
        <c:idx val="137"/>
        <c:spPr>
          <a:solidFill>
            <a:schemeClr val="accent1"/>
          </a:solidFill>
          <a:ln w="19050">
            <a:solidFill>
              <a:schemeClr val="lt1"/>
            </a:solidFill>
          </a:ln>
          <a:effectLst/>
        </c:spPr>
        <c:marker>
          <c:symbol val="none"/>
        </c:marker>
      </c:pivotFmt>
      <c:pivotFmt>
        <c:idx val="138"/>
        <c:spPr>
          <a:solidFill>
            <a:schemeClr val="accent1"/>
          </a:solidFill>
          <a:ln w="19050">
            <a:solidFill>
              <a:schemeClr val="lt1"/>
            </a:solidFill>
          </a:ln>
          <a:effectLst/>
        </c:spPr>
      </c:pivotFmt>
      <c:pivotFmt>
        <c:idx val="139"/>
        <c:spPr>
          <a:solidFill>
            <a:schemeClr val="accent1"/>
          </a:solidFill>
          <a:ln w="19050">
            <a:solidFill>
              <a:schemeClr val="lt1"/>
            </a:solidFill>
          </a:ln>
          <a:effectLst/>
        </c:spPr>
      </c:pivotFmt>
      <c:pivotFmt>
        <c:idx val="140"/>
        <c:spPr>
          <a:solidFill>
            <a:schemeClr val="accent1"/>
          </a:solidFill>
          <a:ln w="19050">
            <a:solidFill>
              <a:schemeClr val="lt1"/>
            </a:solidFill>
          </a:ln>
          <a:effectLst/>
        </c:spPr>
      </c:pivotFmt>
      <c:pivotFmt>
        <c:idx val="141"/>
        <c:spPr>
          <a:solidFill>
            <a:schemeClr val="accent1"/>
          </a:solidFill>
          <a:ln w="19050">
            <a:solidFill>
              <a:schemeClr val="lt1"/>
            </a:solidFill>
          </a:ln>
          <a:effectLst/>
        </c:spPr>
      </c:pivotFmt>
      <c:pivotFmt>
        <c:idx val="142"/>
        <c:spPr>
          <a:solidFill>
            <a:schemeClr val="accent1"/>
          </a:solidFill>
          <a:ln w="19050">
            <a:solidFill>
              <a:schemeClr val="lt1"/>
            </a:solidFill>
          </a:ln>
          <a:effectLst/>
        </c:spPr>
      </c:pivotFmt>
      <c:pivotFmt>
        <c:idx val="143"/>
        <c:spPr>
          <a:solidFill>
            <a:schemeClr val="accent1"/>
          </a:solidFill>
          <a:ln w="19050">
            <a:solidFill>
              <a:schemeClr val="lt1"/>
            </a:solidFill>
          </a:ln>
          <a:effectLst/>
        </c:spPr>
      </c:pivotFmt>
      <c:pivotFmt>
        <c:idx val="144"/>
        <c:spPr>
          <a:solidFill>
            <a:schemeClr val="accent1"/>
          </a:solidFill>
          <a:ln w="19050">
            <a:solidFill>
              <a:schemeClr val="lt1"/>
            </a:solidFill>
          </a:ln>
          <a:effectLst/>
        </c:spPr>
      </c:pivotFmt>
      <c:pivotFmt>
        <c:idx val="145"/>
        <c:spPr>
          <a:solidFill>
            <a:schemeClr val="accent1"/>
          </a:solidFill>
          <a:ln w="19050">
            <a:solidFill>
              <a:schemeClr val="lt1"/>
            </a:solidFill>
          </a:ln>
          <a:effectLst/>
        </c:spPr>
      </c:pivotFmt>
      <c:pivotFmt>
        <c:idx val="146"/>
        <c:spPr>
          <a:solidFill>
            <a:schemeClr val="accent1"/>
          </a:solidFill>
          <a:ln w="19050">
            <a:solidFill>
              <a:schemeClr val="lt1"/>
            </a:solidFill>
          </a:ln>
          <a:effectLst/>
        </c:spPr>
        <c:marker>
          <c:symbol val="none"/>
        </c:marker>
      </c:pivotFmt>
      <c:pivotFmt>
        <c:idx val="147"/>
        <c:spPr>
          <a:solidFill>
            <a:schemeClr val="accent1"/>
          </a:solidFill>
          <a:ln w="19050">
            <a:solidFill>
              <a:schemeClr val="lt1"/>
            </a:solidFill>
          </a:ln>
          <a:effectLst/>
        </c:spPr>
      </c:pivotFmt>
      <c:pivotFmt>
        <c:idx val="148"/>
        <c:spPr>
          <a:solidFill>
            <a:schemeClr val="accent1"/>
          </a:solidFill>
          <a:ln w="19050">
            <a:solidFill>
              <a:schemeClr val="lt1"/>
            </a:solidFill>
          </a:ln>
          <a:effectLst/>
        </c:spPr>
      </c:pivotFmt>
      <c:pivotFmt>
        <c:idx val="149"/>
        <c:spPr>
          <a:solidFill>
            <a:schemeClr val="accent1"/>
          </a:solidFill>
          <a:ln w="19050">
            <a:solidFill>
              <a:schemeClr val="lt1"/>
            </a:solidFill>
          </a:ln>
          <a:effectLst/>
        </c:spPr>
      </c:pivotFmt>
      <c:pivotFmt>
        <c:idx val="150"/>
        <c:spPr>
          <a:solidFill>
            <a:schemeClr val="accent1"/>
          </a:solidFill>
          <a:ln w="19050">
            <a:solidFill>
              <a:schemeClr val="lt1"/>
            </a:solidFill>
          </a:ln>
          <a:effectLst/>
        </c:spPr>
      </c:pivotFmt>
      <c:pivotFmt>
        <c:idx val="151"/>
        <c:spPr>
          <a:solidFill>
            <a:schemeClr val="accent1"/>
          </a:solidFill>
          <a:ln w="19050">
            <a:solidFill>
              <a:schemeClr val="lt1"/>
            </a:solidFill>
          </a:ln>
          <a:effectLst/>
        </c:spPr>
      </c:pivotFmt>
      <c:pivotFmt>
        <c:idx val="152"/>
        <c:spPr>
          <a:solidFill>
            <a:schemeClr val="accent1"/>
          </a:solidFill>
          <a:ln w="19050">
            <a:solidFill>
              <a:schemeClr val="lt1"/>
            </a:solidFill>
          </a:ln>
          <a:effectLst/>
        </c:spPr>
      </c:pivotFmt>
      <c:pivotFmt>
        <c:idx val="153"/>
        <c:spPr>
          <a:solidFill>
            <a:schemeClr val="accent1"/>
          </a:solidFill>
          <a:ln w="19050">
            <a:solidFill>
              <a:schemeClr val="lt1"/>
            </a:solidFill>
          </a:ln>
          <a:effectLst/>
        </c:spPr>
      </c:pivotFmt>
      <c:pivotFmt>
        <c:idx val="154"/>
        <c:spPr>
          <a:solidFill>
            <a:schemeClr val="accent1"/>
          </a:solidFill>
          <a:ln w="19050">
            <a:solidFill>
              <a:schemeClr val="lt1"/>
            </a:solidFill>
          </a:ln>
          <a:effectLst/>
        </c:spPr>
      </c:pivotFmt>
    </c:pivotFmts>
    <c:plotArea>
      <c:layout/>
      <c:pieChart>
        <c:varyColors val="1"/>
        <c:ser>
          <c:idx val="0"/>
          <c:order val="0"/>
          <c:tx>
            <c:strRef>
              <c:f>'Chart 1 Domain'!$B$2:$B$3</c:f>
              <c:strCache>
                <c:ptCount val="1"/>
                <c:pt idx="0">
                  <c:v>CL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D6E-4AE0-B25E-D1F1601CD8B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D6E-4AE0-B25E-D1F1601CD8B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D6E-4AE0-B25E-D1F1601CD8B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D6E-4AE0-B25E-D1F1601CD8B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D6E-4AE0-B25E-D1F1601CD8B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D6E-4AE0-B25E-D1F1601CD8BA}"/>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7D6E-4AE0-B25E-D1F1601CD8BA}"/>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7D6E-4AE0-B25E-D1F1601CD8BA}"/>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7D6E-4AE0-B25E-D1F1601CD8B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'Chart 1 Domain'!$A$4:$A$12</c:f>
              <c:strCache>
                <c:ptCount val="8"/>
                <c:pt idx="0">
                  <c:v>1-Attendance (Non-Covid)</c:v>
                </c:pt>
                <c:pt idx="1">
                  <c:v>2-Attendance (Covid)</c:v>
                </c:pt>
                <c:pt idx="2">
                  <c:v>3-Medical (Non-Covid)</c:v>
                </c:pt>
                <c:pt idx="3">
                  <c:v>4-Emotional (Non-Covid)</c:v>
                </c:pt>
                <c:pt idx="4">
                  <c:v>5-Emotional (Covid)</c:v>
                </c:pt>
                <c:pt idx="5">
                  <c:v>6-Resources/Training</c:v>
                </c:pt>
                <c:pt idx="6">
                  <c:v>7-Innapropriate Expectations</c:v>
                </c:pt>
                <c:pt idx="7">
                  <c:v>8-Other</c:v>
                </c:pt>
              </c:strCache>
            </c:strRef>
          </c:cat>
          <c:val>
            <c:numRef>
              <c:f>'Chart 1 Domain'!$B$4:$B$12</c:f>
              <c:numCache>
                <c:formatCode>General</c:formatCode>
                <c:ptCount val="8"/>
                <c:pt idx="0">
                  <c:v>7</c:v>
                </c:pt>
                <c:pt idx="1">
                  <c:v>29</c:v>
                </c:pt>
                <c:pt idx="2">
                  <c:v>2</c:v>
                </c:pt>
                <c:pt idx="3">
                  <c:v>1</c:v>
                </c:pt>
                <c:pt idx="4">
                  <c:v>5</c:v>
                </c:pt>
                <c:pt idx="5">
                  <c:v>2</c:v>
                </c:pt>
                <c:pt idx="6">
                  <c:v>11</c:v>
                </c:pt>
                <c:pt idx="7">
                  <c:v>10</c:v>
                </c:pt>
              </c:numCache>
            </c:numRef>
          </c:val>
          <c:extLst>
            <c:ext xmlns:c16="http://schemas.microsoft.com/office/drawing/2014/chart" uri="{C3380CC4-5D6E-409C-BE32-E72D297353CC}">
              <c16:uniqueId val="{00000012-7D6E-4AE0-B25E-D1F1601CD8BA}"/>
            </c:ext>
          </c:extLst>
        </c:ser>
        <c:ser>
          <c:idx val="1"/>
          <c:order val="1"/>
          <c:tx>
            <c:strRef>
              <c:f>'Chart 1 Domain'!$C$2:$C$3</c:f>
              <c:strCache>
                <c:ptCount val="1"/>
                <c:pt idx="0">
                  <c:v>I</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4-7D6E-4AE0-B25E-D1F1601CD8B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6-7D6E-4AE0-B25E-D1F1601CD8B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8-7D6E-4AE0-B25E-D1F1601CD8B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A-7D6E-4AE0-B25E-D1F1601CD8B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C-7D6E-4AE0-B25E-D1F1601CD8B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E-7D6E-4AE0-B25E-D1F1601CD8BA}"/>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20-7D6E-4AE0-B25E-D1F1601CD8BA}"/>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22-7D6E-4AE0-B25E-D1F1601CD8BA}"/>
              </c:ext>
            </c:extLst>
          </c:dPt>
          <c:cat>
            <c:strRef>
              <c:f>'Chart 1 Domain'!$A$4:$A$12</c:f>
              <c:strCache>
                <c:ptCount val="8"/>
                <c:pt idx="0">
                  <c:v>1-Attendance (Non-Covid)</c:v>
                </c:pt>
                <c:pt idx="1">
                  <c:v>2-Attendance (Covid)</c:v>
                </c:pt>
                <c:pt idx="2">
                  <c:v>3-Medical (Non-Covid)</c:v>
                </c:pt>
                <c:pt idx="3">
                  <c:v>4-Emotional (Non-Covid)</c:v>
                </c:pt>
                <c:pt idx="4">
                  <c:v>5-Emotional (Covid)</c:v>
                </c:pt>
                <c:pt idx="5">
                  <c:v>6-Resources/Training</c:v>
                </c:pt>
                <c:pt idx="6">
                  <c:v>7-Innapropriate Expectations</c:v>
                </c:pt>
                <c:pt idx="7">
                  <c:v>8-Other</c:v>
                </c:pt>
              </c:strCache>
            </c:strRef>
          </c:cat>
          <c:val>
            <c:numRef>
              <c:f>'Chart 1 Domain'!$C$4:$C$12</c:f>
              <c:numCache>
                <c:formatCode>General</c:formatCode>
                <c:ptCount val="8"/>
                <c:pt idx="0">
                  <c:v>7</c:v>
                </c:pt>
                <c:pt idx="1">
                  <c:v>27</c:v>
                </c:pt>
                <c:pt idx="2">
                  <c:v>2</c:v>
                </c:pt>
                <c:pt idx="3">
                  <c:v>1</c:v>
                </c:pt>
                <c:pt idx="4">
                  <c:v>9</c:v>
                </c:pt>
                <c:pt idx="5">
                  <c:v>3</c:v>
                </c:pt>
                <c:pt idx="6">
                  <c:v>3</c:v>
                </c:pt>
                <c:pt idx="7">
                  <c:v>17</c:v>
                </c:pt>
              </c:numCache>
            </c:numRef>
          </c:val>
          <c:extLst>
            <c:ext xmlns:c16="http://schemas.microsoft.com/office/drawing/2014/chart" uri="{C3380CC4-5D6E-409C-BE32-E72D297353CC}">
              <c16:uniqueId val="{00000023-7D6E-4AE0-B25E-D1F1601CD8BA}"/>
            </c:ext>
          </c:extLst>
        </c:ser>
        <c:ser>
          <c:idx val="2"/>
          <c:order val="2"/>
          <c:tx>
            <c:strRef>
              <c:f>'Chart 1 Domain'!$D$2:$D$3</c:f>
              <c:strCache>
                <c:ptCount val="1"/>
                <c:pt idx="0">
                  <c:v>PS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25-7D6E-4AE0-B25E-D1F1601CD8B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27-7D6E-4AE0-B25E-D1F1601CD8B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29-7D6E-4AE0-B25E-D1F1601CD8B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2B-7D6E-4AE0-B25E-D1F1601CD8B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2D-7D6E-4AE0-B25E-D1F1601CD8B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2F-7D6E-4AE0-B25E-D1F1601CD8BA}"/>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31-7D6E-4AE0-B25E-D1F1601CD8BA}"/>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33-7D6E-4AE0-B25E-D1F1601CD8BA}"/>
              </c:ext>
            </c:extLst>
          </c:dPt>
          <c:cat>
            <c:strRef>
              <c:f>'Chart 1 Domain'!$A$4:$A$12</c:f>
              <c:strCache>
                <c:ptCount val="8"/>
                <c:pt idx="0">
                  <c:v>1-Attendance (Non-Covid)</c:v>
                </c:pt>
                <c:pt idx="1">
                  <c:v>2-Attendance (Covid)</c:v>
                </c:pt>
                <c:pt idx="2">
                  <c:v>3-Medical (Non-Covid)</c:v>
                </c:pt>
                <c:pt idx="3">
                  <c:v>4-Emotional (Non-Covid)</c:v>
                </c:pt>
                <c:pt idx="4">
                  <c:v>5-Emotional (Covid)</c:v>
                </c:pt>
                <c:pt idx="5">
                  <c:v>6-Resources/Training</c:v>
                </c:pt>
                <c:pt idx="6">
                  <c:v>7-Innapropriate Expectations</c:v>
                </c:pt>
                <c:pt idx="7">
                  <c:v>8-Other</c:v>
                </c:pt>
              </c:strCache>
            </c:strRef>
          </c:cat>
          <c:val>
            <c:numRef>
              <c:f>'Chart 1 Domain'!$D$4:$D$12</c:f>
              <c:numCache>
                <c:formatCode>General</c:formatCode>
                <c:ptCount val="8"/>
                <c:pt idx="0">
                  <c:v>4</c:v>
                </c:pt>
                <c:pt idx="1">
                  <c:v>6</c:v>
                </c:pt>
                <c:pt idx="2">
                  <c:v>2</c:v>
                </c:pt>
                <c:pt idx="3">
                  <c:v>2</c:v>
                </c:pt>
                <c:pt idx="4">
                  <c:v>4</c:v>
                </c:pt>
                <c:pt idx="5">
                  <c:v>3</c:v>
                </c:pt>
                <c:pt idx="6">
                  <c:v>1</c:v>
                </c:pt>
                <c:pt idx="7">
                  <c:v>5</c:v>
                </c:pt>
              </c:numCache>
            </c:numRef>
          </c:val>
          <c:extLst>
            <c:ext xmlns:c16="http://schemas.microsoft.com/office/drawing/2014/chart" uri="{C3380CC4-5D6E-409C-BE32-E72D297353CC}">
              <c16:uniqueId val="{00000034-7D6E-4AE0-B25E-D1F1601CD8BA}"/>
            </c:ext>
          </c:extLst>
        </c:ser>
        <c:ser>
          <c:idx val="3"/>
          <c:order val="3"/>
          <c:tx>
            <c:strRef>
              <c:f>'Chart 1 Domain'!$E$2:$E$3</c:f>
              <c:strCache>
                <c:ptCount val="1"/>
                <c:pt idx="0">
                  <c:v>SEW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36-7D6E-4AE0-B25E-D1F1601CD8B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38-7D6E-4AE0-B25E-D1F1601CD8B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3A-7D6E-4AE0-B25E-D1F1601CD8B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3C-7D6E-4AE0-B25E-D1F1601CD8B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3E-7D6E-4AE0-B25E-D1F1601CD8B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40-7D6E-4AE0-B25E-D1F1601CD8BA}"/>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42-7D6E-4AE0-B25E-D1F1601CD8BA}"/>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44-7D6E-4AE0-B25E-D1F1601CD8BA}"/>
              </c:ext>
            </c:extLst>
          </c:dPt>
          <c:cat>
            <c:strRef>
              <c:f>'Chart 1 Domain'!$A$4:$A$12</c:f>
              <c:strCache>
                <c:ptCount val="8"/>
                <c:pt idx="0">
                  <c:v>1-Attendance (Non-Covid)</c:v>
                </c:pt>
                <c:pt idx="1">
                  <c:v>2-Attendance (Covid)</c:v>
                </c:pt>
                <c:pt idx="2">
                  <c:v>3-Medical (Non-Covid)</c:v>
                </c:pt>
                <c:pt idx="3">
                  <c:v>4-Emotional (Non-Covid)</c:v>
                </c:pt>
                <c:pt idx="4">
                  <c:v>5-Emotional (Covid)</c:v>
                </c:pt>
                <c:pt idx="5">
                  <c:v>6-Resources/Training</c:v>
                </c:pt>
                <c:pt idx="6">
                  <c:v>7-Innapropriate Expectations</c:v>
                </c:pt>
                <c:pt idx="7">
                  <c:v>8-Other</c:v>
                </c:pt>
              </c:strCache>
            </c:strRef>
          </c:cat>
          <c:val>
            <c:numRef>
              <c:f>'Chart 1 Domain'!$E$4:$E$12</c:f>
              <c:numCache>
                <c:formatCode>General</c:formatCode>
                <c:ptCount val="8"/>
                <c:pt idx="0">
                  <c:v>7</c:v>
                </c:pt>
                <c:pt idx="1">
                  <c:v>15</c:v>
                </c:pt>
                <c:pt idx="2">
                  <c:v>2</c:v>
                </c:pt>
                <c:pt idx="3">
                  <c:v>5</c:v>
                </c:pt>
                <c:pt idx="4">
                  <c:v>5</c:v>
                </c:pt>
                <c:pt idx="5">
                  <c:v>1</c:v>
                </c:pt>
                <c:pt idx="6">
                  <c:v>2</c:v>
                </c:pt>
                <c:pt idx="7">
                  <c:v>6</c:v>
                </c:pt>
              </c:numCache>
            </c:numRef>
          </c:val>
          <c:extLst>
            <c:ext xmlns:c16="http://schemas.microsoft.com/office/drawing/2014/chart" uri="{C3380CC4-5D6E-409C-BE32-E72D297353CC}">
              <c16:uniqueId val="{00000045-7D6E-4AE0-B25E-D1F1601CD8BA}"/>
            </c:ext>
          </c:extLst>
        </c:ser>
        <c:ser>
          <c:idx val="4"/>
          <c:order val="4"/>
          <c:tx>
            <c:strRef>
              <c:f>'Chart 1 Domain'!$F$2:$F$3</c:f>
              <c:strCache>
                <c:ptCount val="1"/>
                <c:pt idx="0">
                  <c:v>SLC</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47-7D6E-4AE0-B25E-D1F1601CD8B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49-7D6E-4AE0-B25E-D1F1601CD8B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4B-7D6E-4AE0-B25E-D1F1601CD8B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4D-7D6E-4AE0-B25E-D1F1601CD8B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4F-7D6E-4AE0-B25E-D1F1601CD8B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51-7D6E-4AE0-B25E-D1F1601CD8BA}"/>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53-7D6E-4AE0-B25E-D1F1601CD8BA}"/>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55-7D6E-4AE0-B25E-D1F1601CD8BA}"/>
              </c:ext>
            </c:extLst>
          </c:dPt>
          <c:cat>
            <c:strRef>
              <c:f>'Chart 1 Domain'!$A$4:$A$12</c:f>
              <c:strCache>
                <c:ptCount val="8"/>
                <c:pt idx="0">
                  <c:v>1-Attendance (Non-Covid)</c:v>
                </c:pt>
                <c:pt idx="1">
                  <c:v>2-Attendance (Covid)</c:v>
                </c:pt>
                <c:pt idx="2">
                  <c:v>3-Medical (Non-Covid)</c:v>
                </c:pt>
                <c:pt idx="3">
                  <c:v>4-Emotional (Non-Covid)</c:v>
                </c:pt>
                <c:pt idx="4">
                  <c:v>5-Emotional (Covid)</c:v>
                </c:pt>
                <c:pt idx="5">
                  <c:v>6-Resources/Training</c:v>
                </c:pt>
                <c:pt idx="6">
                  <c:v>7-Innapropriate Expectations</c:v>
                </c:pt>
                <c:pt idx="7">
                  <c:v>8-Other</c:v>
                </c:pt>
              </c:strCache>
            </c:strRef>
          </c:cat>
          <c:val>
            <c:numRef>
              <c:f>'Chart 1 Domain'!$F$4:$F$12</c:f>
              <c:numCache>
                <c:formatCode>General</c:formatCode>
                <c:ptCount val="8"/>
                <c:pt idx="0">
                  <c:v>4</c:v>
                </c:pt>
                <c:pt idx="1">
                  <c:v>23</c:v>
                </c:pt>
                <c:pt idx="2">
                  <c:v>2</c:v>
                </c:pt>
                <c:pt idx="3">
                  <c:v>1</c:v>
                </c:pt>
                <c:pt idx="4">
                  <c:v>6</c:v>
                </c:pt>
                <c:pt idx="5">
                  <c:v>4</c:v>
                </c:pt>
                <c:pt idx="6">
                  <c:v>6</c:v>
                </c:pt>
                <c:pt idx="7">
                  <c:v>13</c:v>
                </c:pt>
              </c:numCache>
            </c:numRef>
          </c:val>
          <c:extLst>
            <c:ext xmlns:c16="http://schemas.microsoft.com/office/drawing/2014/chart" uri="{C3380CC4-5D6E-409C-BE32-E72D297353CC}">
              <c16:uniqueId val="{00000056-7D6E-4AE0-B25E-D1F1601CD8BA}"/>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sVisible val="1"/>
      </c14:pivotOptions>
    </c:ext>
    <c:ext xmlns:c16="http://schemas.microsoft.com/office/drawing/2014/chart" uri="{E28EC0CA-F0BB-4C9C-879D-F8772B89E7AC}">
      <c16:pivotOptions16>
        <c16:showExpandCollapseFieldButtons val="1"/>
      </c16:pivotOptions16>
    </c:ext>
  </c:extLst>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[DATA Jul21.xlsx]Chart 1 Domain!PivotTable2</c:name>
    <c:fmtId val="39"/>
  </c:pivotSource>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pivotFmt>
      <c:pivotFmt>
        <c:idx val="1"/>
        <c:spPr>
          <a:solidFill>
            <a:schemeClr val="accent1"/>
          </a:solidFill>
          <a:ln w="19050">
            <a:solidFill>
              <a:schemeClr val="lt1"/>
            </a:solidFill>
          </a:ln>
          <a:effectLst/>
        </c:spPr>
        <c:marker>
          <c:symbol val="none"/>
        </c:marker>
      </c:pivotFmt>
      <c:pivotFmt>
        <c:idx val="2"/>
        <c:spPr>
          <a:solidFill>
            <a:schemeClr val="accent1"/>
          </a:solidFill>
          <a:ln w="19050">
            <a:solidFill>
              <a:schemeClr val="lt1"/>
            </a:solidFill>
          </a:ln>
          <a:effectLst/>
        </c:spPr>
        <c:marker>
          <c:symbol val="none"/>
        </c:marker>
      </c:pivotFmt>
      <c:pivotFmt>
        <c:idx val="3"/>
        <c:spPr>
          <a:solidFill>
            <a:schemeClr val="accent1"/>
          </a:solidFill>
          <a:ln w="19050">
            <a:solidFill>
              <a:schemeClr val="lt1"/>
            </a:solidFill>
          </a:ln>
          <a:effectLst/>
        </c:spPr>
        <c:marker>
          <c:symbol val="none"/>
        </c:marker>
      </c:pivotFmt>
      <c:pivotFmt>
        <c:idx val="4"/>
        <c:spPr>
          <a:solidFill>
            <a:schemeClr val="accent1"/>
          </a:solidFill>
          <a:ln w="19050">
            <a:solidFill>
              <a:schemeClr val="lt1"/>
            </a:solidFill>
          </a:ln>
          <a:effectLst/>
        </c:spPr>
        <c:marker>
          <c:symbol val="none"/>
        </c:marker>
      </c:pivotFmt>
      <c:pivotFmt>
        <c:idx val="5"/>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marker>
          <c:symbol val="none"/>
        </c:marker>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
        <c:idx val="15"/>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6"/>
        <c:spPr>
          <a:solidFill>
            <a:schemeClr val="accent1"/>
          </a:solidFill>
          <a:ln w="19050">
            <a:solidFill>
              <a:schemeClr val="lt1"/>
            </a:solidFill>
          </a:ln>
          <a:effectLst/>
        </c:spPr>
      </c:pivotFmt>
      <c:pivotFmt>
        <c:idx val="17"/>
        <c:spPr>
          <a:solidFill>
            <a:schemeClr val="accent1"/>
          </a:solidFill>
          <a:ln w="19050">
            <a:solidFill>
              <a:schemeClr val="lt1"/>
            </a:solidFill>
          </a:ln>
          <a:effectLst/>
        </c:spPr>
      </c:pivotFmt>
      <c:pivotFmt>
        <c:idx val="18"/>
        <c:spPr>
          <a:solidFill>
            <a:schemeClr val="accent1"/>
          </a:solidFill>
          <a:ln w="19050">
            <a:solidFill>
              <a:schemeClr val="lt1"/>
            </a:solidFill>
          </a:ln>
          <a:effectLst/>
        </c:spPr>
      </c:pivotFmt>
      <c:pivotFmt>
        <c:idx val="19"/>
        <c:spPr>
          <a:solidFill>
            <a:schemeClr val="accent1"/>
          </a:solidFill>
          <a:ln w="19050">
            <a:solidFill>
              <a:schemeClr val="lt1"/>
            </a:solidFill>
          </a:ln>
          <a:effectLst/>
        </c:spPr>
      </c:pivotFmt>
      <c:pivotFmt>
        <c:idx val="20"/>
        <c:spPr>
          <a:solidFill>
            <a:schemeClr val="accent1"/>
          </a:solidFill>
          <a:ln w="19050">
            <a:solidFill>
              <a:schemeClr val="lt1"/>
            </a:solidFill>
          </a:ln>
          <a:effectLst/>
        </c:spPr>
      </c:pivotFmt>
      <c:pivotFmt>
        <c:idx val="21"/>
        <c:spPr>
          <a:solidFill>
            <a:schemeClr val="accent1"/>
          </a:solidFill>
          <a:ln w="19050">
            <a:solidFill>
              <a:schemeClr val="lt1"/>
            </a:solidFill>
          </a:ln>
          <a:effectLst/>
        </c:spPr>
      </c:pivotFmt>
      <c:pivotFmt>
        <c:idx val="22"/>
        <c:spPr>
          <a:solidFill>
            <a:schemeClr val="accent1"/>
          </a:solidFill>
          <a:ln w="19050">
            <a:solidFill>
              <a:schemeClr val="lt1"/>
            </a:solidFill>
          </a:ln>
          <a:effectLst/>
        </c:spPr>
      </c:pivotFmt>
      <c:pivotFmt>
        <c:idx val="23"/>
        <c:spPr>
          <a:solidFill>
            <a:schemeClr val="accent1"/>
          </a:solidFill>
          <a:ln w="19050">
            <a:solidFill>
              <a:schemeClr val="lt1"/>
            </a:solidFill>
          </a:ln>
          <a:effectLst/>
        </c:spPr>
      </c:pivotFmt>
      <c:pivotFmt>
        <c:idx val="24"/>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25"/>
        <c:spPr>
          <a:solidFill>
            <a:schemeClr val="accent1"/>
          </a:solidFill>
          <a:ln w="19050">
            <a:solidFill>
              <a:schemeClr val="lt1"/>
            </a:solidFill>
          </a:ln>
          <a:effectLst/>
        </c:spPr>
      </c:pivotFmt>
      <c:pivotFmt>
        <c:idx val="26"/>
        <c:spPr>
          <a:solidFill>
            <a:schemeClr val="accent1"/>
          </a:solidFill>
          <a:ln w="19050">
            <a:solidFill>
              <a:schemeClr val="lt1"/>
            </a:solidFill>
          </a:ln>
          <a:effectLst/>
        </c:spPr>
      </c:pivotFmt>
      <c:pivotFmt>
        <c:idx val="27"/>
        <c:spPr>
          <a:solidFill>
            <a:schemeClr val="accent1"/>
          </a:solidFill>
          <a:ln w="19050">
            <a:solidFill>
              <a:schemeClr val="lt1"/>
            </a:solidFill>
          </a:ln>
          <a:effectLst/>
        </c:spPr>
      </c:pivotFmt>
      <c:pivotFmt>
        <c:idx val="28"/>
        <c:spPr>
          <a:solidFill>
            <a:schemeClr val="accent1"/>
          </a:solidFill>
          <a:ln w="19050">
            <a:solidFill>
              <a:schemeClr val="lt1"/>
            </a:solidFill>
          </a:ln>
          <a:effectLst/>
        </c:spPr>
      </c:pivotFmt>
      <c:pivotFmt>
        <c:idx val="29"/>
        <c:spPr>
          <a:solidFill>
            <a:schemeClr val="accent1"/>
          </a:solidFill>
          <a:ln w="19050">
            <a:solidFill>
              <a:schemeClr val="lt1"/>
            </a:solidFill>
          </a:ln>
          <a:effectLst/>
        </c:spPr>
      </c:pivotFmt>
      <c:pivotFmt>
        <c:idx val="30"/>
        <c:spPr>
          <a:solidFill>
            <a:schemeClr val="accent1"/>
          </a:solidFill>
          <a:ln w="19050">
            <a:solidFill>
              <a:schemeClr val="lt1"/>
            </a:solidFill>
          </a:ln>
          <a:effectLst/>
        </c:spPr>
      </c:pivotFmt>
      <c:pivotFmt>
        <c:idx val="31"/>
        <c:spPr>
          <a:solidFill>
            <a:schemeClr val="accent1"/>
          </a:solidFill>
          <a:ln w="19050">
            <a:solidFill>
              <a:schemeClr val="lt1"/>
            </a:solidFill>
          </a:ln>
          <a:effectLst/>
        </c:spPr>
      </c:pivotFmt>
      <c:pivotFmt>
        <c:idx val="32"/>
        <c:spPr>
          <a:solidFill>
            <a:schemeClr val="accent1"/>
          </a:solidFill>
          <a:ln w="19050">
            <a:solidFill>
              <a:schemeClr val="lt1"/>
            </a:solidFill>
          </a:ln>
          <a:effectLst/>
        </c:spPr>
      </c:pivotFmt>
    </c:pivotFmts>
    <c:plotArea>
      <c:layout/>
      <c:pieChart>
        <c:varyColors val="1"/>
        <c:ser>
          <c:idx val="0"/>
          <c:order val="0"/>
          <c:tx>
            <c:strRef>
              <c:f>'Chart 1 Domain'!$L$2:$L$3</c:f>
              <c:strCache>
                <c:ptCount val="1"/>
                <c:pt idx="0">
                  <c:v>I</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7B1-4CF3-B9F3-F27FFE352AC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7B1-4CF3-B9F3-F27FFE352AC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7B1-4CF3-B9F3-F27FFE352AC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7B1-4CF3-B9F3-F27FFE352AC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7B1-4CF3-B9F3-F27FFE352AC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7B1-4CF3-B9F3-F27FFE352AC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7B1-4CF3-B9F3-F27FFE352AC5}"/>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C7B1-4CF3-B9F3-F27FFE352AC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'Chart 1 Domain'!$K$4:$K$12</c:f>
              <c:strCache>
                <c:ptCount val="8"/>
                <c:pt idx="0">
                  <c:v>1-Attendance (Non-Covid)</c:v>
                </c:pt>
                <c:pt idx="1">
                  <c:v>2-Attendance (Covid)</c:v>
                </c:pt>
                <c:pt idx="2">
                  <c:v>3-Medical (Non-Covid)</c:v>
                </c:pt>
                <c:pt idx="3">
                  <c:v>4-Emotional (Non-Covid)</c:v>
                </c:pt>
                <c:pt idx="4">
                  <c:v>5-Emotional (Covid)</c:v>
                </c:pt>
                <c:pt idx="5">
                  <c:v>6-Resources/Training</c:v>
                </c:pt>
                <c:pt idx="6">
                  <c:v>7-Innapropriate Expectations</c:v>
                </c:pt>
                <c:pt idx="7">
                  <c:v>8-Other</c:v>
                </c:pt>
              </c:strCache>
            </c:strRef>
          </c:cat>
          <c:val>
            <c:numRef>
              <c:f>'Chart 1 Domain'!$L$4:$L$12</c:f>
              <c:numCache>
                <c:formatCode>General</c:formatCode>
                <c:ptCount val="8"/>
                <c:pt idx="0">
                  <c:v>7</c:v>
                </c:pt>
                <c:pt idx="1">
                  <c:v>27</c:v>
                </c:pt>
                <c:pt idx="2">
                  <c:v>2</c:v>
                </c:pt>
                <c:pt idx="3">
                  <c:v>1</c:v>
                </c:pt>
                <c:pt idx="4">
                  <c:v>9</c:v>
                </c:pt>
                <c:pt idx="5">
                  <c:v>3</c:v>
                </c:pt>
                <c:pt idx="6">
                  <c:v>3</c:v>
                </c:pt>
                <c:pt idx="7">
                  <c:v>17</c:v>
                </c:pt>
              </c:numCache>
            </c:numRef>
          </c:val>
          <c:extLst>
            <c:ext xmlns:c16="http://schemas.microsoft.com/office/drawing/2014/chart" uri="{C3380CC4-5D6E-409C-BE32-E72D297353CC}">
              <c16:uniqueId val="{00000010-C7B1-4CF3-B9F3-F27FFE352AC5}"/>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19</Pages>
  <Words>1425</Words>
  <Characters>8127</Characters>
  <Application>Microsoft Office Word</Application>
  <DocSecurity>4</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The Meadows Sports College</Company>
  <LinksUpToDate>false</LinksUpToDate>
  <CharactersWithSpaces>9533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Parsons</dc:creator>
  <cp:keywords/>
  <dc:description/>
  <cp:lastModifiedBy>Georgia Barham</cp:lastModifiedBy>
  <cp:revision>2</cp:revision>
  <cp:lastPrinted>2021-04-21T10:00:00Z</cp:lastPrinted>
  <dcterms:created xsi:type="dcterms:W3CDTF">2022-05-11T13:51:00Z</dcterms:created>
  <dcterms:modified xsi:type="dcterms:W3CDTF">2022-05-11T13:51:00Z</dcterms:modified>
</cp:coreProperties>
</file>