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4965" w14:textId="77777777" w:rsidR="002A012C" w:rsidRDefault="002A012C" w:rsidP="002A012C">
      <w:pPr>
        <w:jc w:val="center"/>
        <w:rPr>
          <w:color w:val="000000" w:themeColor="text1"/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2022-2023 Spring </w:t>
      </w:r>
      <w:r>
        <w:rPr>
          <w:color w:val="000000" w:themeColor="text1"/>
          <w:sz w:val="44"/>
          <w:szCs w:val="44"/>
          <w:u w:val="single"/>
        </w:rPr>
        <w:t>Term Data Report</w:t>
      </w:r>
    </w:p>
    <w:p w14:paraId="66848F17" w14:textId="77777777" w:rsidR="002A012C" w:rsidRDefault="002A012C" w:rsidP="002A012C">
      <w:pPr>
        <w:pStyle w:val="ListParagraph"/>
        <w:numPr>
          <w:ilvl w:val="0"/>
          <w:numId w:val="1"/>
        </w:numPr>
        <w:rPr>
          <w:i/>
        </w:rPr>
      </w:pPr>
      <w:r>
        <w:t xml:space="preserve">Key OFSTED action: </w:t>
      </w:r>
      <w:r>
        <w:rPr>
          <w:i/>
        </w:rPr>
        <w:t>‘Introduce an assessment system, which allows teachers to record clear evidence of progress against pupils’ personalised small steps of learning in their re-written Education, Health and Care Plans, reflecting the whole breadth of the curriculum in the school.’</w:t>
      </w:r>
    </w:p>
    <w:p w14:paraId="067258AD" w14:textId="77777777" w:rsidR="002A012C" w:rsidRDefault="002A012C" w:rsidP="002A012C">
      <w:pPr>
        <w:pStyle w:val="ListParagraph"/>
        <w:numPr>
          <w:ilvl w:val="0"/>
          <w:numId w:val="1"/>
        </w:numPr>
      </w:pPr>
      <w:r>
        <w:t>The report is based on data returns for 208</w:t>
      </w:r>
      <w:r w:rsidRPr="001C5919">
        <w:t xml:space="preserve"> </w:t>
      </w:r>
      <w:r>
        <w:t xml:space="preserve">of the 213 students on roll </w:t>
      </w:r>
    </w:p>
    <w:p w14:paraId="6BC086DD" w14:textId="77777777" w:rsidR="002A012C" w:rsidRDefault="002A012C" w:rsidP="002A012C">
      <w:pPr>
        <w:pStyle w:val="ListParagraph"/>
        <w:numPr>
          <w:ilvl w:val="0"/>
          <w:numId w:val="1"/>
        </w:numPr>
      </w:pPr>
      <w:r>
        <w:t xml:space="preserve">Teachers are required to make two judgements: </w:t>
      </w:r>
    </w:p>
    <w:p w14:paraId="5402B7F5" w14:textId="77777777" w:rsidR="002A012C" w:rsidRDefault="002A012C" w:rsidP="002A012C">
      <w:pPr>
        <w:pStyle w:val="ListParagraph"/>
        <w:numPr>
          <w:ilvl w:val="1"/>
          <w:numId w:val="1"/>
        </w:numPr>
      </w:pPr>
      <w:r>
        <w:t xml:space="preserve">For each EHCP target, is the student ‘on track’ to reach their ‘Expected Outcome’? </w:t>
      </w:r>
    </w:p>
    <w:p w14:paraId="07580C99" w14:textId="77777777" w:rsidR="002A012C" w:rsidRDefault="002A012C" w:rsidP="002A012C">
      <w:pPr>
        <w:pStyle w:val="ListParagraph"/>
        <w:numPr>
          <w:ilvl w:val="0"/>
          <w:numId w:val="3"/>
        </w:numPr>
      </w:pPr>
      <w:r>
        <w:t xml:space="preserve">If the student is ‘not on track’, why? </w:t>
      </w:r>
    </w:p>
    <w:p w14:paraId="57E7EDD9" w14:textId="77777777" w:rsidR="002A012C" w:rsidRDefault="002A012C" w:rsidP="002A012C">
      <w:pPr>
        <w:pStyle w:val="ListParagraph"/>
        <w:numPr>
          <w:ilvl w:val="0"/>
          <w:numId w:val="1"/>
        </w:numPr>
      </w:pPr>
      <w:r>
        <w:t>Teachers’ deadline for submission of data was 24.03.23</w:t>
      </w:r>
    </w:p>
    <w:p w14:paraId="779C745F" w14:textId="77777777" w:rsidR="002A012C" w:rsidRDefault="002A012C" w:rsidP="002A012C">
      <w:pPr>
        <w:pStyle w:val="ListParagraph"/>
        <w:numPr>
          <w:ilvl w:val="0"/>
          <w:numId w:val="1"/>
        </w:numPr>
      </w:pPr>
      <w:r>
        <w:t xml:space="preserve">Week commencing 27.03.23, AHTs and middle leaders conducted learning conversation meetings with individual teachers in their pathway to: </w:t>
      </w:r>
    </w:p>
    <w:p w14:paraId="482958D9" w14:textId="77777777" w:rsidR="002A012C" w:rsidRDefault="002A012C" w:rsidP="002A012C">
      <w:pPr>
        <w:pStyle w:val="ListParagraph"/>
        <w:numPr>
          <w:ilvl w:val="1"/>
          <w:numId w:val="1"/>
        </w:numPr>
      </w:pPr>
      <w:r>
        <w:t xml:space="preserve">Verify their returns. </w:t>
      </w:r>
    </w:p>
    <w:p w14:paraId="75424BE1" w14:textId="77777777" w:rsidR="002A012C" w:rsidRDefault="002A012C" w:rsidP="002A012C">
      <w:pPr>
        <w:pStyle w:val="ListParagraph"/>
        <w:numPr>
          <w:ilvl w:val="1"/>
          <w:numId w:val="1"/>
        </w:numPr>
      </w:pPr>
      <w:r>
        <w:t>Review the evidence-base for their judgements</w:t>
      </w:r>
    </w:p>
    <w:p w14:paraId="0B65E8C8" w14:textId="77777777" w:rsidR="002A012C" w:rsidRDefault="002A012C" w:rsidP="002A012C">
      <w:pPr>
        <w:pStyle w:val="ListParagraph"/>
        <w:numPr>
          <w:ilvl w:val="1"/>
          <w:numId w:val="1"/>
        </w:numPr>
      </w:pPr>
      <w:r>
        <w:t>Agree strategies to address underachievement</w:t>
      </w:r>
    </w:p>
    <w:p w14:paraId="5FA005D0" w14:textId="77777777" w:rsidR="002A012C" w:rsidRDefault="002A012C" w:rsidP="002A012C">
      <w:pPr>
        <w:pStyle w:val="ListParagraph"/>
        <w:numPr>
          <w:ilvl w:val="1"/>
          <w:numId w:val="1"/>
        </w:numPr>
      </w:pPr>
      <w:r>
        <w:t>Review last terms underachievement</w:t>
      </w:r>
    </w:p>
    <w:p w14:paraId="190BEF81" w14:textId="77777777" w:rsidR="002A012C" w:rsidRDefault="002A012C" w:rsidP="002A012C">
      <w:pPr>
        <w:pStyle w:val="ListParagraph"/>
        <w:numPr>
          <w:ilvl w:val="0"/>
          <w:numId w:val="1"/>
        </w:numPr>
      </w:pPr>
      <w:r>
        <w:t>The data presented in this report is analysed against the four criteria used in previous reports:</w:t>
      </w:r>
    </w:p>
    <w:p w14:paraId="79EFF3C3" w14:textId="77777777" w:rsidR="002A012C" w:rsidRDefault="002A012C" w:rsidP="002A012C">
      <w:pPr>
        <w:pStyle w:val="ListParagraph"/>
        <w:numPr>
          <w:ilvl w:val="1"/>
          <w:numId w:val="1"/>
        </w:numPr>
      </w:pPr>
      <w:r>
        <w:t>EHCP domain</w:t>
      </w:r>
    </w:p>
    <w:p w14:paraId="0567801F" w14:textId="77777777" w:rsidR="002A012C" w:rsidRDefault="002A012C" w:rsidP="002A012C">
      <w:pPr>
        <w:pStyle w:val="ListParagraph"/>
        <w:numPr>
          <w:ilvl w:val="1"/>
          <w:numId w:val="1"/>
        </w:numPr>
      </w:pPr>
      <w:r>
        <w:t>Pupil Premium/LAC</w:t>
      </w:r>
    </w:p>
    <w:p w14:paraId="6EAAD789" w14:textId="77777777" w:rsidR="002A012C" w:rsidRDefault="002A012C" w:rsidP="002A012C">
      <w:pPr>
        <w:pStyle w:val="ListParagraph"/>
        <w:numPr>
          <w:ilvl w:val="1"/>
          <w:numId w:val="1"/>
        </w:numPr>
        <w:spacing w:after="0"/>
      </w:pPr>
      <w:r>
        <w:t>Curriculum Pathway</w:t>
      </w:r>
    </w:p>
    <w:p w14:paraId="2B1B9E67" w14:textId="77777777" w:rsidR="002A012C" w:rsidRDefault="002A012C" w:rsidP="002A012C">
      <w:pPr>
        <w:pStyle w:val="ListParagraph"/>
        <w:numPr>
          <w:ilvl w:val="1"/>
          <w:numId w:val="1"/>
        </w:numPr>
        <w:spacing w:after="0"/>
      </w:pPr>
      <w:r>
        <w:t>Reading and Maths</w:t>
      </w:r>
    </w:p>
    <w:p w14:paraId="54E91A79" w14:textId="5ECC6362" w:rsidR="00245BBD" w:rsidRDefault="00CF4FA7" w:rsidP="00245BBD">
      <w:pPr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>Section 1 – EHCP Domain</w:t>
      </w:r>
    </w:p>
    <w:p w14:paraId="620D91AC" w14:textId="77777777" w:rsidR="002A012C" w:rsidRDefault="002A012C" w:rsidP="00245BBD">
      <w:pPr>
        <w:rPr>
          <w:b/>
          <w:u w:val="single"/>
        </w:rPr>
      </w:pPr>
    </w:p>
    <w:p w14:paraId="26D41365" w14:textId="35475901" w:rsidR="002A012C" w:rsidRDefault="002A012C" w:rsidP="00245BBD">
      <w:pPr>
        <w:rPr>
          <w:b/>
          <w:u w:val="single"/>
        </w:rPr>
      </w:pPr>
      <w:r>
        <w:rPr>
          <w:b/>
          <w:u w:val="single"/>
        </w:rPr>
        <w:t>Spring</w:t>
      </w:r>
      <w:r w:rsidR="00245BBD">
        <w:rPr>
          <w:b/>
          <w:u w:val="single"/>
        </w:rPr>
        <w:t xml:space="preserve"> Term 2</w:t>
      </w:r>
      <w:r w:rsidR="00353D75">
        <w:rPr>
          <w:b/>
          <w:u w:val="single"/>
        </w:rPr>
        <w:t>2</w:t>
      </w:r>
      <w:r w:rsidR="00245BBD">
        <w:rPr>
          <w:b/>
          <w:u w:val="single"/>
        </w:rPr>
        <w:t>/2</w:t>
      </w:r>
      <w:r w:rsidR="00353D75">
        <w:rPr>
          <w:b/>
          <w:u w:val="single"/>
        </w:rPr>
        <w:t>3</w:t>
      </w:r>
    </w:p>
    <w:tbl>
      <w:tblPr>
        <w:tblpPr w:leftFromText="180" w:rightFromText="180" w:vertAnchor="page" w:horzAnchor="margin" w:tblpY="3001"/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701"/>
        <w:gridCol w:w="1701"/>
        <w:gridCol w:w="1572"/>
      </w:tblGrid>
      <w:tr w:rsidR="002A012C" w14:paraId="0D020818" w14:textId="77777777" w:rsidTr="002A012C">
        <w:trPr>
          <w:trHeight w:val="283"/>
        </w:trPr>
        <w:tc>
          <w:tcPr>
            <w:tcW w:w="4673" w:type="dxa"/>
            <w:shd w:val="clear" w:color="auto" w:fill="D9D9D9" w:themeFill="background1" w:themeFillShade="D9"/>
            <w:noWrap/>
            <w:vAlign w:val="bottom"/>
            <w:hideMark/>
          </w:tcPr>
          <w:p w14:paraId="67115A1C" w14:textId="77777777" w:rsidR="002A012C" w:rsidRDefault="002A012C" w:rsidP="002A012C">
            <w:pPr>
              <w:spacing w:after="0" w:line="240" w:lineRule="auto"/>
              <w:rPr>
                <w:rFonts w:eastAsia="Times New Roman" w:cs="Calibri"/>
                <w:b/>
                <w:sz w:val="22"/>
                <w:lang w:eastAsia="en-GB"/>
              </w:rPr>
            </w:pPr>
            <w:r>
              <w:rPr>
                <w:rFonts w:eastAsia="Times New Roman" w:cs="Calibri"/>
                <w:b/>
                <w:sz w:val="22"/>
                <w:lang w:eastAsia="en-GB"/>
              </w:rPr>
              <w:t>EHCP Domains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14:paraId="1FBACF2C" w14:textId="77777777" w:rsidR="002A012C" w:rsidRDefault="002A012C" w:rsidP="002A012C">
            <w:pPr>
              <w:spacing w:after="0" w:line="240" w:lineRule="auto"/>
              <w:jc w:val="center"/>
              <w:rPr>
                <w:rFonts w:eastAsia="Times New Roman" w:cs="Calibri"/>
                <w:b/>
                <w:sz w:val="22"/>
                <w:lang w:eastAsia="en-GB"/>
              </w:rPr>
            </w:pPr>
            <w:r>
              <w:rPr>
                <w:rFonts w:eastAsia="Times New Roman" w:cs="Calibri"/>
                <w:b/>
                <w:sz w:val="22"/>
                <w:lang w:eastAsia="en-GB"/>
              </w:rPr>
              <w:t>Not on T</w:t>
            </w:r>
            <w:r>
              <w:rPr>
                <w:b/>
                <w:sz w:val="22"/>
              </w:rPr>
              <w:t>rack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14:paraId="5CAA8D25" w14:textId="77777777" w:rsidR="002A012C" w:rsidRDefault="002A012C" w:rsidP="002A012C">
            <w:pPr>
              <w:spacing w:after="0" w:line="240" w:lineRule="auto"/>
              <w:jc w:val="center"/>
              <w:rPr>
                <w:rFonts w:eastAsia="Times New Roman" w:cs="Calibri"/>
                <w:b/>
                <w:sz w:val="22"/>
                <w:lang w:eastAsia="en-GB"/>
              </w:rPr>
            </w:pPr>
            <w:r>
              <w:rPr>
                <w:rFonts w:eastAsia="Times New Roman" w:cs="Calibri"/>
                <w:b/>
                <w:sz w:val="22"/>
                <w:lang w:eastAsia="en-GB"/>
              </w:rPr>
              <w:t>On T</w:t>
            </w:r>
            <w:r>
              <w:rPr>
                <w:b/>
                <w:sz w:val="22"/>
              </w:rPr>
              <w:t>rack</w:t>
            </w:r>
          </w:p>
        </w:tc>
        <w:tc>
          <w:tcPr>
            <w:tcW w:w="1572" w:type="dxa"/>
            <w:shd w:val="clear" w:color="auto" w:fill="D9D9D9" w:themeFill="background1" w:themeFillShade="D9"/>
            <w:noWrap/>
            <w:vAlign w:val="bottom"/>
            <w:hideMark/>
          </w:tcPr>
          <w:p w14:paraId="15F5AD32" w14:textId="77777777" w:rsidR="002A012C" w:rsidRDefault="002A012C" w:rsidP="002A012C">
            <w:pPr>
              <w:spacing w:after="0" w:line="240" w:lineRule="auto"/>
              <w:jc w:val="center"/>
              <w:rPr>
                <w:rFonts w:eastAsia="Times New Roman" w:cs="Calibri"/>
                <w:b/>
                <w:sz w:val="22"/>
                <w:lang w:eastAsia="en-GB"/>
              </w:rPr>
            </w:pPr>
            <w:r>
              <w:rPr>
                <w:rFonts w:eastAsia="Times New Roman" w:cs="Calibri"/>
                <w:b/>
                <w:sz w:val="22"/>
                <w:lang w:eastAsia="en-GB"/>
              </w:rPr>
              <w:t>Grand Total</w:t>
            </w:r>
          </w:p>
        </w:tc>
      </w:tr>
      <w:tr w:rsidR="002A012C" w14:paraId="29F35C04" w14:textId="77777777" w:rsidTr="002A012C">
        <w:trPr>
          <w:trHeight w:val="283"/>
        </w:trPr>
        <w:tc>
          <w:tcPr>
            <w:tcW w:w="4673" w:type="dxa"/>
            <w:shd w:val="clear" w:color="auto" w:fill="auto"/>
            <w:noWrap/>
            <w:vAlign w:val="bottom"/>
          </w:tcPr>
          <w:p w14:paraId="21FD4BA6" w14:textId="77777777" w:rsidR="002A012C" w:rsidRDefault="002A012C" w:rsidP="002A012C">
            <w:pPr>
              <w:spacing w:after="0" w:line="240" w:lineRule="auto"/>
              <w:rPr>
                <w:rFonts w:eastAsia="Times New Roman" w:cs="Calibri"/>
                <w:sz w:val="22"/>
                <w:lang w:eastAsia="en-GB"/>
              </w:rPr>
            </w:pPr>
            <w:r>
              <w:rPr>
                <w:rFonts w:eastAsia="Times New Roman" w:cs="Calibri"/>
                <w:sz w:val="22"/>
                <w:lang w:eastAsia="en-GB"/>
              </w:rPr>
              <w:t>Cognition and Learning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4BEB5C" w14:textId="4649C857" w:rsidR="002A012C" w:rsidRDefault="002A012C" w:rsidP="002A012C">
            <w:pPr>
              <w:spacing w:after="0" w:line="240" w:lineRule="auto"/>
              <w:rPr>
                <w:rFonts w:eastAsia="Times New Roman" w:cs="Calibri"/>
                <w:sz w:val="22"/>
                <w:lang w:eastAsia="en-GB"/>
              </w:rPr>
            </w:pPr>
            <w:r>
              <w:rPr>
                <w:rFonts w:eastAsia="Times New Roman" w:cs="Calibri"/>
                <w:sz w:val="22"/>
                <w:lang w:eastAsia="en-GB"/>
              </w:rPr>
              <w:t>47</w:t>
            </w:r>
            <w:r>
              <w:rPr>
                <w:rFonts w:eastAsia="Times New Roman" w:cs="Calibri"/>
                <w:sz w:val="22"/>
                <w:lang w:eastAsia="en-GB"/>
              </w:rPr>
              <w:t xml:space="preserve"> (</w:t>
            </w:r>
            <w:r>
              <w:rPr>
                <w:rFonts w:eastAsia="Times New Roman" w:cs="Calibri"/>
                <w:sz w:val="22"/>
                <w:lang w:eastAsia="en-GB"/>
              </w:rPr>
              <w:t>7.8</w:t>
            </w:r>
            <w:r>
              <w:rPr>
                <w:rFonts w:eastAsia="Times New Roman" w:cs="Calibri"/>
                <w:sz w:val="22"/>
                <w:lang w:eastAsia="en-GB"/>
              </w:rPr>
              <w:t>%)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90E9E9" w14:textId="6EBE735F" w:rsidR="002A012C" w:rsidRDefault="002A012C" w:rsidP="002A012C">
            <w:pPr>
              <w:spacing w:after="0" w:line="240" w:lineRule="auto"/>
              <w:jc w:val="center"/>
              <w:rPr>
                <w:rFonts w:eastAsia="Times New Roman" w:cs="Calibri"/>
                <w:sz w:val="22"/>
                <w:lang w:eastAsia="en-GB"/>
              </w:rPr>
            </w:pPr>
            <w:r>
              <w:rPr>
                <w:rFonts w:eastAsia="Times New Roman" w:cs="Calibri"/>
                <w:sz w:val="22"/>
                <w:lang w:eastAsia="en-GB"/>
              </w:rPr>
              <w:t>5</w:t>
            </w:r>
            <w:r>
              <w:rPr>
                <w:rFonts w:eastAsia="Times New Roman" w:cs="Calibri"/>
                <w:sz w:val="22"/>
                <w:lang w:eastAsia="en-GB"/>
              </w:rPr>
              <w:t>55</w:t>
            </w:r>
            <w:r>
              <w:rPr>
                <w:rFonts w:eastAsia="Times New Roman" w:cs="Calibri"/>
                <w:sz w:val="22"/>
                <w:lang w:eastAsia="en-GB"/>
              </w:rPr>
              <w:t xml:space="preserve"> (</w:t>
            </w:r>
            <w:r>
              <w:rPr>
                <w:rFonts w:eastAsia="Times New Roman" w:cs="Calibri"/>
                <w:sz w:val="22"/>
                <w:lang w:eastAsia="en-GB"/>
              </w:rPr>
              <w:t>92.2</w:t>
            </w:r>
            <w:r>
              <w:rPr>
                <w:rFonts w:eastAsia="Times New Roman" w:cs="Calibri"/>
                <w:sz w:val="22"/>
                <w:lang w:eastAsia="en-GB"/>
              </w:rPr>
              <w:t>%)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14:paraId="366A600B" w14:textId="58F534DB" w:rsidR="002A012C" w:rsidRDefault="002A012C" w:rsidP="002A012C">
            <w:pPr>
              <w:spacing w:after="0" w:line="240" w:lineRule="auto"/>
              <w:jc w:val="center"/>
              <w:rPr>
                <w:rFonts w:eastAsia="Times New Roman" w:cs="Calibri"/>
                <w:sz w:val="22"/>
                <w:lang w:eastAsia="en-GB"/>
              </w:rPr>
            </w:pPr>
            <w:r>
              <w:rPr>
                <w:rFonts w:eastAsia="Times New Roman" w:cs="Calibri"/>
                <w:sz w:val="22"/>
                <w:lang w:eastAsia="en-GB"/>
              </w:rPr>
              <w:t>602</w:t>
            </w:r>
          </w:p>
        </w:tc>
      </w:tr>
      <w:tr w:rsidR="002A012C" w14:paraId="57AE55AC" w14:textId="77777777" w:rsidTr="002A012C">
        <w:trPr>
          <w:trHeight w:val="283"/>
        </w:trPr>
        <w:tc>
          <w:tcPr>
            <w:tcW w:w="4673" w:type="dxa"/>
            <w:shd w:val="clear" w:color="auto" w:fill="auto"/>
            <w:noWrap/>
            <w:vAlign w:val="bottom"/>
          </w:tcPr>
          <w:p w14:paraId="781DCD02" w14:textId="77777777" w:rsidR="002A012C" w:rsidRDefault="002A012C" w:rsidP="002A012C">
            <w:pPr>
              <w:spacing w:after="0" w:line="240" w:lineRule="auto"/>
              <w:rPr>
                <w:rFonts w:eastAsia="Times New Roman" w:cs="Calibri"/>
                <w:sz w:val="22"/>
                <w:lang w:eastAsia="en-GB"/>
              </w:rPr>
            </w:pPr>
            <w:r>
              <w:rPr>
                <w:rFonts w:eastAsia="Times New Roman" w:cs="Calibri"/>
                <w:sz w:val="22"/>
                <w:lang w:eastAsia="en-GB"/>
              </w:rPr>
              <w:t>Independence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4EB17A" w14:textId="1D581917" w:rsidR="002A012C" w:rsidRDefault="002A012C" w:rsidP="002A012C">
            <w:pPr>
              <w:spacing w:after="0" w:line="240" w:lineRule="auto"/>
              <w:rPr>
                <w:rFonts w:eastAsia="Times New Roman" w:cs="Calibri"/>
                <w:sz w:val="22"/>
                <w:lang w:eastAsia="en-GB"/>
              </w:rPr>
            </w:pPr>
            <w:r>
              <w:rPr>
                <w:rFonts w:eastAsia="Times New Roman" w:cs="Calibri"/>
                <w:sz w:val="22"/>
                <w:lang w:eastAsia="en-GB"/>
              </w:rPr>
              <w:t>21</w:t>
            </w:r>
            <w:r>
              <w:rPr>
                <w:rFonts w:eastAsia="Times New Roman" w:cs="Calibri"/>
                <w:sz w:val="22"/>
                <w:lang w:eastAsia="en-GB"/>
              </w:rPr>
              <w:t xml:space="preserve"> (</w:t>
            </w:r>
            <w:r>
              <w:rPr>
                <w:rFonts w:eastAsia="Times New Roman" w:cs="Calibri"/>
                <w:sz w:val="22"/>
                <w:lang w:eastAsia="en-GB"/>
              </w:rPr>
              <w:t>4.9</w:t>
            </w:r>
            <w:r>
              <w:rPr>
                <w:rFonts w:eastAsia="Times New Roman" w:cs="Calibri"/>
                <w:sz w:val="22"/>
                <w:lang w:eastAsia="en-GB"/>
              </w:rPr>
              <w:t>%)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FB5097" w14:textId="7B9665A3" w:rsidR="002A012C" w:rsidRDefault="002A012C" w:rsidP="002A012C">
            <w:pPr>
              <w:spacing w:after="0" w:line="240" w:lineRule="auto"/>
              <w:jc w:val="center"/>
              <w:rPr>
                <w:rFonts w:eastAsia="Times New Roman" w:cs="Calibri"/>
                <w:sz w:val="22"/>
                <w:lang w:eastAsia="en-GB"/>
              </w:rPr>
            </w:pPr>
            <w:r>
              <w:rPr>
                <w:rFonts w:eastAsia="Times New Roman" w:cs="Calibri"/>
                <w:sz w:val="22"/>
                <w:lang w:eastAsia="en-GB"/>
              </w:rPr>
              <w:t>405</w:t>
            </w:r>
            <w:r>
              <w:rPr>
                <w:rFonts w:eastAsia="Times New Roman" w:cs="Calibri"/>
                <w:sz w:val="22"/>
                <w:lang w:eastAsia="en-GB"/>
              </w:rPr>
              <w:t xml:space="preserve"> (</w:t>
            </w:r>
            <w:r>
              <w:rPr>
                <w:rFonts w:eastAsia="Times New Roman" w:cs="Calibri"/>
                <w:sz w:val="22"/>
                <w:lang w:eastAsia="en-GB"/>
              </w:rPr>
              <w:t>95.1</w:t>
            </w:r>
            <w:r>
              <w:rPr>
                <w:rFonts w:eastAsia="Times New Roman" w:cs="Calibri"/>
                <w:sz w:val="22"/>
                <w:lang w:eastAsia="en-GB"/>
              </w:rPr>
              <w:t>%</w:t>
            </w:r>
            <w:r>
              <w:rPr>
                <w:rFonts w:eastAsia="Times New Roman" w:cs="Calibri"/>
                <w:sz w:val="22"/>
                <w:lang w:eastAsia="en-GB"/>
              </w:rPr>
              <w:t>)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14:paraId="6F4F7E54" w14:textId="17B61B1B" w:rsidR="002A012C" w:rsidRDefault="002A012C" w:rsidP="002A012C">
            <w:pPr>
              <w:spacing w:after="0" w:line="240" w:lineRule="auto"/>
              <w:jc w:val="center"/>
              <w:rPr>
                <w:rFonts w:eastAsia="Times New Roman" w:cs="Calibri"/>
                <w:sz w:val="22"/>
                <w:lang w:eastAsia="en-GB"/>
              </w:rPr>
            </w:pPr>
            <w:r>
              <w:rPr>
                <w:rFonts w:eastAsia="Times New Roman" w:cs="Calibri"/>
                <w:sz w:val="22"/>
                <w:lang w:eastAsia="en-GB"/>
              </w:rPr>
              <w:t>426</w:t>
            </w:r>
          </w:p>
        </w:tc>
      </w:tr>
      <w:tr w:rsidR="002A012C" w14:paraId="44033183" w14:textId="77777777" w:rsidTr="002A012C">
        <w:trPr>
          <w:trHeight w:val="283"/>
        </w:trPr>
        <w:tc>
          <w:tcPr>
            <w:tcW w:w="4673" w:type="dxa"/>
            <w:shd w:val="clear" w:color="auto" w:fill="auto"/>
            <w:noWrap/>
            <w:vAlign w:val="bottom"/>
          </w:tcPr>
          <w:p w14:paraId="56199CBF" w14:textId="77777777" w:rsidR="002A012C" w:rsidRDefault="002A012C" w:rsidP="002A012C">
            <w:pPr>
              <w:spacing w:after="0" w:line="240" w:lineRule="auto"/>
              <w:rPr>
                <w:rFonts w:eastAsia="Times New Roman" w:cs="Calibri"/>
                <w:sz w:val="22"/>
                <w:lang w:eastAsia="en-GB"/>
              </w:rPr>
            </w:pPr>
            <w:r>
              <w:rPr>
                <w:rFonts w:eastAsia="Times New Roman" w:cs="Calibri"/>
                <w:sz w:val="22"/>
                <w:lang w:eastAsia="en-GB"/>
              </w:rPr>
              <w:t>Physical and Sensory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9F2F7E" w14:textId="66307DEC" w:rsidR="002A012C" w:rsidRDefault="002A012C" w:rsidP="002A012C">
            <w:pPr>
              <w:spacing w:after="0" w:line="240" w:lineRule="auto"/>
              <w:rPr>
                <w:rFonts w:eastAsia="Times New Roman" w:cs="Calibri"/>
                <w:sz w:val="22"/>
                <w:lang w:eastAsia="en-GB"/>
              </w:rPr>
            </w:pPr>
            <w:r>
              <w:rPr>
                <w:rFonts w:eastAsia="Times New Roman" w:cs="Calibri"/>
                <w:sz w:val="22"/>
                <w:lang w:eastAsia="en-GB"/>
              </w:rPr>
              <w:t>1</w:t>
            </w:r>
            <w:r>
              <w:rPr>
                <w:rFonts w:eastAsia="Times New Roman" w:cs="Calibri"/>
                <w:sz w:val="22"/>
                <w:lang w:eastAsia="en-GB"/>
              </w:rPr>
              <w:t>2</w:t>
            </w:r>
            <w:r>
              <w:rPr>
                <w:rFonts w:eastAsia="Times New Roman" w:cs="Calibri"/>
                <w:sz w:val="22"/>
                <w:lang w:eastAsia="en-GB"/>
              </w:rPr>
              <w:t xml:space="preserve"> (</w:t>
            </w:r>
            <w:r>
              <w:rPr>
                <w:rFonts w:eastAsia="Times New Roman" w:cs="Calibri"/>
                <w:sz w:val="22"/>
                <w:lang w:eastAsia="en-GB"/>
              </w:rPr>
              <w:t>12.6</w:t>
            </w:r>
            <w:r>
              <w:rPr>
                <w:rFonts w:eastAsia="Times New Roman" w:cs="Calibri"/>
                <w:sz w:val="22"/>
                <w:lang w:eastAsia="en-GB"/>
              </w:rPr>
              <w:t>%)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EDC207" w14:textId="14167C98" w:rsidR="002A012C" w:rsidRDefault="002A012C" w:rsidP="002A012C">
            <w:pPr>
              <w:spacing w:after="0" w:line="240" w:lineRule="auto"/>
              <w:jc w:val="center"/>
              <w:rPr>
                <w:rFonts w:eastAsia="Times New Roman" w:cs="Calibri"/>
                <w:sz w:val="22"/>
                <w:lang w:eastAsia="en-GB"/>
              </w:rPr>
            </w:pPr>
            <w:r>
              <w:rPr>
                <w:rFonts w:eastAsia="Times New Roman" w:cs="Calibri"/>
                <w:sz w:val="22"/>
                <w:lang w:eastAsia="en-GB"/>
              </w:rPr>
              <w:t>83</w:t>
            </w:r>
            <w:r>
              <w:rPr>
                <w:rFonts w:eastAsia="Times New Roman" w:cs="Calibri"/>
                <w:sz w:val="22"/>
                <w:lang w:eastAsia="en-GB"/>
              </w:rPr>
              <w:t xml:space="preserve"> (8</w:t>
            </w:r>
            <w:r>
              <w:rPr>
                <w:rFonts w:eastAsia="Times New Roman" w:cs="Calibri"/>
                <w:sz w:val="22"/>
                <w:lang w:eastAsia="en-GB"/>
              </w:rPr>
              <w:t>7.4</w:t>
            </w:r>
            <w:r>
              <w:rPr>
                <w:rFonts w:eastAsia="Times New Roman" w:cs="Calibri"/>
                <w:sz w:val="22"/>
                <w:lang w:eastAsia="en-GB"/>
              </w:rPr>
              <w:t>%)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14:paraId="24394470" w14:textId="69B69FB1" w:rsidR="002A012C" w:rsidRDefault="002A012C" w:rsidP="002A012C">
            <w:pPr>
              <w:spacing w:after="0" w:line="240" w:lineRule="auto"/>
              <w:jc w:val="center"/>
              <w:rPr>
                <w:rFonts w:eastAsia="Times New Roman" w:cs="Calibri"/>
                <w:sz w:val="22"/>
                <w:lang w:eastAsia="en-GB"/>
              </w:rPr>
            </w:pPr>
            <w:r>
              <w:rPr>
                <w:rFonts w:eastAsia="Times New Roman" w:cs="Calibri"/>
                <w:sz w:val="22"/>
                <w:lang w:eastAsia="en-GB"/>
              </w:rPr>
              <w:t>95</w:t>
            </w:r>
          </w:p>
        </w:tc>
      </w:tr>
      <w:tr w:rsidR="002A012C" w14:paraId="296B1835" w14:textId="77777777" w:rsidTr="002A012C">
        <w:trPr>
          <w:trHeight w:val="283"/>
        </w:trPr>
        <w:tc>
          <w:tcPr>
            <w:tcW w:w="4673" w:type="dxa"/>
            <w:shd w:val="clear" w:color="auto" w:fill="auto"/>
            <w:noWrap/>
            <w:vAlign w:val="bottom"/>
          </w:tcPr>
          <w:p w14:paraId="498F4A9A" w14:textId="77777777" w:rsidR="002A012C" w:rsidRDefault="002A012C" w:rsidP="002A012C">
            <w:pPr>
              <w:spacing w:after="0" w:line="240" w:lineRule="auto"/>
              <w:rPr>
                <w:rFonts w:eastAsia="Times New Roman" w:cs="Calibri"/>
                <w:sz w:val="22"/>
                <w:lang w:eastAsia="en-GB"/>
              </w:rPr>
            </w:pPr>
            <w:r>
              <w:rPr>
                <w:rFonts w:eastAsia="Times New Roman" w:cs="Calibri"/>
                <w:sz w:val="22"/>
                <w:lang w:eastAsia="en-GB"/>
              </w:rPr>
              <w:t>Social, Emotional Wellbeing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2DD1E3" w14:textId="36A82CF0" w:rsidR="002A012C" w:rsidRDefault="002A012C" w:rsidP="002A012C">
            <w:pPr>
              <w:spacing w:after="0" w:line="240" w:lineRule="auto"/>
              <w:rPr>
                <w:rFonts w:eastAsia="Times New Roman" w:cs="Calibri"/>
                <w:sz w:val="22"/>
                <w:lang w:eastAsia="en-GB"/>
              </w:rPr>
            </w:pPr>
            <w:r>
              <w:rPr>
                <w:rFonts w:eastAsia="Times New Roman" w:cs="Calibri"/>
                <w:sz w:val="22"/>
                <w:lang w:eastAsia="en-GB"/>
              </w:rPr>
              <w:t>30</w:t>
            </w:r>
            <w:r>
              <w:rPr>
                <w:rFonts w:eastAsia="Times New Roman" w:cs="Calibri"/>
                <w:sz w:val="22"/>
                <w:lang w:eastAsia="en-GB"/>
              </w:rPr>
              <w:t xml:space="preserve"> (</w:t>
            </w:r>
            <w:r>
              <w:rPr>
                <w:rFonts w:eastAsia="Times New Roman" w:cs="Calibri"/>
                <w:sz w:val="22"/>
                <w:lang w:eastAsia="en-GB"/>
              </w:rPr>
              <w:t>7.8</w:t>
            </w:r>
            <w:r>
              <w:rPr>
                <w:rFonts w:eastAsia="Times New Roman" w:cs="Calibri"/>
                <w:sz w:val="22"/>
                <w:lang w:eastAsia="en-GB"/>
              </w:rPr>
              <w:t>%)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D9A013" w14:textId="5139A796" w:rsidR="002A012C" w:rsidRDefault="002A012C" w:rsidP="002A012C">
            <w:pPr>
              <w:spacing w:after="0" w:line="240" w:lineRule="auto"/>
              <w:jc w:val="center"/>
              <w:rPr>
                <w:rFonts w:eastAsia="Times New Roman" w:cs="Calibri"/>
                <w:sz w:val="22"/>
                <w:lang w:eastAsia="en-GB"/>
              </w:rPr>
            </w:pPr>
            <w:r>
              <w:rPr>
                <w:rFonts w:eastAsia="Times New Roman" w:cs="Calibri"/>
                <w:sz w:val="22"/>
                <w:lang w:eastAsia="en-GB"/>
              </w:rPr>
              <w:t>353</w:t>
            </w:r>
            <w:r>
              <w:rPr>
                <w:rFonts w:eastAsia="Times New Roman" w:cs="Calibri"/>
                <w:sz w:val="22"/>
                <w:lang w:eastAsia="en-GB"/>
              </w:rPr>
              <w:t xml:space="preserve"> (</w:t>
            </w:r>
            <w:r>
              <w:rPr>
                <w:rFonts w:eastAsia="Times New Roman" w:cs="Calibri"/>
                <w:sz w:val="22"/>
                <w:lang w:eastAsia="en-GB"/>
              </w:rPr>
              <w:t>92.2</w:t>
            </w:r>
            <w:r>
              <w:rPr>
                <w:rFonts w:eastAsia="Times New Roman" w:cs="Calibri"/>
                <w:sz w:val="22"/>
                <w:lang w:eastAsia="en-GB"/>
              </w:rPr>
              <w:t>%)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14:paraId="70DEABA0" w14:textId="550C54CC" w:rsidR="002A012C" w:rsidRDefault="002A012C" w:rsidP="002A012C">
            <w:pPr>
              <w:spacing w:after="0" w:line="240" w:lineRule="auto"/>
              <w:jc w:val="center"/>
              <w:rPr>
                <w:rFonts w:eastAsia="Times New Roman" w:cs="Calibri"/>
                <w:sz w:val="22"/>
                <w:lang w:eastAsia="en-GB"/>
              </w:rPr>
            </w:pPr>
            <w:r>
              <w:rPr>
                <w:rFonts w:eastAsia="Times New Roman" w:cs="Calibri"/>
                <w:sz w:val="22"/>
                <w:lang w:eastAsia="en-GB"/>
              </w:rPr>
              <w:t>383</w:t>
            </w:r>
          </w:p>
        </w:tc>
      </w:tr>
      <w:tr w:rsidR="002A012C" w14:paraId="29363A90" w14:textId="77777777" w:rsidTr="002A012C">
        <w:trPr>
          <w:trHeight w:val="283"/>
        </w:trPr>
        <w:tc>
          <w:tcPr>
            <w:tcW w:w="4673" w:type="dxa"/>
            <w:shd w:val="clear" w:color="auto" w:fill="auto"/>
            <w:noWrap/>
            <w:vAlign w:val="bottom"/>
          </w:tcPr>
          <w:p w14:paraId="0C8C5F21" w14:textId="77777777" w:rsidR="002A012C" w:rsidRDefault="002A012C" w:rsidP="002A012C">
            <w:pPr>
              <w:spacing w:after="0" w:line="240" w:lineRule="auto"/>
              <w:rPr>
                <w:rFonts w:eastAsia="Times New Roman" w:cs="Calibri"/>
                <w:sz w:val="22"/>
                <w:lang w:eastAsia="en-GB"/>
              </w:rPr>
            </w:pPr>
            <w:r>
              <w:rPr>
                <w:rFonts w:eastAsia="Times New Roman" w:cs="Calibri"/>
                <w:sz w:val="22"/>
                <w:lang w:eastAsia="en-GB"/>
              </w:rPr>
              <w:t>Speech, Language and Communication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2A3F79" w14:textId="4914A948" w:rsidR="002A012C" w:rsidRDefault="002A012C" w:rsidP="002A012C">
            <w:pPr>
              <w:spacing w:after="0" w:line="240" w:lineRule="auto"/>
              <w:rPr>
                <w:rFonts w:eastAsia="Times New Roman" w:cs="Calibri"/>
                <w:sz w:val="22"/>
                <w:lang w:eastAsia="en-GB"/>
              </w:rPr>
            </w:pPr>
            <w:r>
              <w:rPr>
                <w:rFonts w:eastAsia="Times New Roman" w:cs="Calibri"/>
                <w:sz w:val="22"/>
                <w:lang w:eastAsia="en-GB"/>
              </w:rPr>
              <w:t>48</w:t>
            </w:r>
            <w:r>
              <w:rPr>
                <w:rFonts w:eastAsia="Times New Roman" w:cs="Calibri"/>
                <w:sz w:val="22"/>
                <w:lang w:eastAsia="en-GB"/>
              </w:rPr>
              <w:t xml:space="preserve"> (</w:t>
            </w:r>
            <w:r>
              <w:rPr>
                <w:rFonts w:eastAsia="Times New Roman" w:cs="Calibri"/>
                <w:sz w:val="22"/>
                <w:lang w:eastAsia="en-GB"/>
              </w:rPr>
              <w:t>7.2</w:t>
            </w:r>
            <w:r>
              <w:rPr>
                <w:rFonts w:eastAsia="Times New Roman" w:cs="Calibri"/>
                <w:sz w:val="22"/>
                <w:lang w:eastAsia="en-GB"/>
              </w:rPr>
              <w:t>%)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D1A732" w14:textId="533981ED" w:rsidR="002A012C" w:rsidRDefault="002A012C" w:rsidP="002A012C">
            <w:pPr>
              <w:spacing w:after="0" w:line="240" w:lineRule="auto"/>
              <w:jc w:val="center"/>
              <w:rPr>
                <w:rFonts w:eastAsia="Times New Roman" w:cs="Calibri"/>
                <w:sz w:val="22"/>
                <w:lang w:eastAsia="en-GB"/>
              </w:rPr>
            </w:pPr>
            <w:r>
              <w:rPr>
                <w:rFonts w:eastAsia="Times New Roman" w:cs="Calibri"/>
                <w:sz w:val="22"/>
                <w:lang w:eastAsia="en-GB"/>
              </w:rPr>
              <w:t>619</w:t>
            </w:r>
            <w:r>
              <w:rPr>
                <w:rFonts w:eastAsia="Times New Roman" w:cs="Calibri"/>
                <w:sz w:val="22"/>
                <w:lang w:eastAsia="en-GB"/>
              </w:rPr>
              <w:t xml:space="preserve"> (</w:t>
            </w:r>
            <w:r>
              <w:rPr>
                <w:rFonts w:eastAsia="Times New Roman" w:cs="Calibri"/>
                <w:sz w:val="22"/>
                <w:lang w:eastAsia="en-GB"/>
              </w:rPr>
              <w:t>92.8</w:t>
            </w:r>
            <w:r>
              <w:rPr>
                <w:rFonts w:eastAsia="Times New Roman" w:cs="Calibri"/>
                <w:sz w:val="22"/>
                <w:lang w:eastAsia="en-GB"/>
              </w:rPr>
              <w:t>%)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14:paraId="590829BE" w14:textId="169B7648" w:rsidR="002A012C" w:rsidRDefault="002A012C" w:rsidP="002A012C">
            <w:pPr>
              <w:spacing w:after="0" w:line="240" w:lineRule="auto"/>
              <w:jc w:val="center"/>
              <w:rPr>
                <w:rFonts w:eastAsia="Times New Roman" w:cs="Calibri"/>
                <w:sz w:val="22"/>
                <w:lang w:eastAsia="en-GB"/>
              </w:rPr>
            </w:pPr>
            <w:r>
              <w:rPr>
                <w:rFonts w:eastAsia="Times New Roman" w:cs="Calibri"/>
                <w:sz w:val="22"/>
                <w:lang w:eastAsia="en-GB"/>
              </w:rPr>
              <w:t>667</w:t>
            </w:r>
          </w:p>
        </w:tc>
      </w:tr>
      <w:tr w:rsidR="002A012C" w14:paraId="192B613D" w14:textId="77777777" w:rsidTr="002A012C">
        <w:trPr>
          <w:trHeight w:val="283"/>
        </w:trPr>
        <w:tc>
          <w:tcPr>
            <w:tcW w:w="4673" w:type="dxa"/>
            <w:shd w:val="clear" w:color="auto" w:fill="auto"/>
            <w:noWrap/>
            <w:vAlign w:val="bottom"/>
          </w:tcPr>
          <w:p w14:paraId="2071664E" w14:textId="77777777" w:rsidR="002A012C" w:rsidRDefault="002A012C" w:rsidP="002A012C">
            <w:pPr>
              <w:spacing w:after="0" w:line="240" w:lineRule="auto"/>
              <w:rPr>
                <w:rFonts w:eastAsia="Times New Roman" w:cs="Calibri"/>
                <w:b/>
                <w:bCs/>
                <w:sz w:val="22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2"/>
                <w:lang w:eastAsia="en-GB"/>
              </w:rPr>
              <w:t>Grand Total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6E7675" w14:textId="0D29291F" w:rsidR="002A012C" w:rsidRDefault="002A012C" w:rsidP="002A01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2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2"/>
                <w:lang w:eastAsia="en-GB"/>
              </w:rPr>
              <w:t>158</w:t>
            </w:r>
            <w:r>
              <w:rPr>
                <w:rFonts w:eastAsia="Times New Roman" w:cs="Calibri"/>
                <w:b/>
                <w:bCs/>
                <w:sz w:val="22"/>
                <w:lang w:eastAsia="en-GB"/>
              </w:rPr>
              <w:t xml:space="preserve"> (</w:t>
            </w:r>
            <w:r>
              <w:rPr>
                <w:rFonts w:eastAsia="Times New Roman" w:cs="Calibri"/>
                <w:b/>
                <w:bCs/>
                <w:sz w:val="22"/>
                <w:lang w:eastAsia="en-GB"/>
              </w:rPr>
              <w:t>7.3</w:t>
            </w:r>
            <w:r>
              <w:rPr>
                <w:rFonts w:eastAsia="Times New Roman" w:cs="Calibri"/>
                <w:b/>
                <w:bCs/>
                <w:sz w:val="22"/>
                <w:lang w:eastAsia="en-GB"/>
              </w:rPr>
              <w:t>%)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C34237" w14:textId="6A2FADF6" w:rsidR="002A012C" w:rsidRDefault="002A012C" w:rsidP="002A01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2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2"/>
                <w:lang w:eastAsia="en-GB"/>
              </w:rPr>
              <w:t>2015</w:t>
            </w:r>
            <w:r>
              <w:rPr>
                <w:rFonts w:eastAsia="Times New Roman" w:cs="Calibri"/>
                <w:b/>
                <w:bCs/>
                <w:sz w:val="22"/>
                <w:lang w:eastAsia="en-GB"/>
              </w:rPr>
              <w:t xml:space="preserve"> (</w:t>
            </w:r>
            <w:r>
              <w:rPr>
                <w:rFonts w:eastAsia="Times New Roman" w:cs="Calibri"/>
                <w:b/>
                <w:bCs/>
                <w:sz w:val="22"/>
                <w:lang w:eastAsia="en-GB"/>
              </w:rPr>
              <w:t>92.7</w:t>
            </w:r>
            <w:r>
              <w:rPr>
                <w:rFonts w:eastAsia="Times New Roman" w:cs="Calibri"/>
                <w:b/>
                <w:bCs/>
                <w:sz w:val="22"/>
                <w:lang w:eastAsia="en-GB"/>
              </w:rPr>
              <w:t>%)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14:paraId="26D01E69" w14:textId="51F2653B" w:rsidR="002A012C" w:rsidRDefault="002A012C" w:rsidP="002A01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2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2"/>
                <w:lang w:eastAsia="en-GB"/>
              </w:rPr>
              <w:t>2173</w:t>
            </w:r>
          </w:p>
        </w:tc>
      </w:tr>
    </w:tbl>
    <w:p w14:paraId="66D3F572" w14:textId="77777777" w:rsidR="002A012C" w:rsidRDefault="002A012C" w:rsidP="002A012C">
      <w:pPr>
        <w:rPr>
          <w:b/>
          <w:u w:val="single"/>
        </w:rPr>
      </w:pPr>
    </w:p>
    <w:p w14:paraId="3BCFFA43" w14:textId="56FB00C4" w:rsidR="002A012C" w:rsidRDefault="002A012C" w:rsidP="002A012C">
      <w:pPr>
        <w:rPr>
          <w:b/>
          <w:u w:val="single"/>
        </w:rPr>
      </w:pPr>
      <w:r>
        <w:rPr>
          <w:b/>
          <w:u w:val="single"/>
        </w:rPr>
        <w:t>Autumn</w:t>
      </w:r>
      <w:r>
        <w:rPr>
          <w:b/>
          <w:u w:val="single"/>
        </w:rPr>
        <w:t xml:space="preserve"> Term 22/23</w:t>
      </w:r>
    </w:p>
    <w:p w14:paraId="642947BE" w14:textId="77777777" w:rsidR="002A012C" w:rsidRDefault="002A012C" w:rsidP="00245BBD">
      <w:pPr>
        <w:rPr>
          <w:b/>
          <w:u w:val="single"/>
        </w:rPr>
      </w:pPr>
    </w:p>
    <w:tbl>
      <w:tblPr>
        <w:tblpPr w:leftFromText="180" w:rightFromText="180" w:vertAnchor="page" w:horzAnchor="margin" w:tblpY="6271"/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701"/>
        <w:gridCol w:w="1701"/>
        <w:gridCol w:w="1572"/>
      </w:tblGrid>
      <w:tr w:rsidR="00245BBD" w14:paraId="156B5051" w14:textId="77777777" w:rsidTr="002A012C">
        <w:trPr>
          <w:trHeight w:val="283"/>
        </w:trPr>
        <w:tc>
          <w:tcPr>
            <w:tcW w:w="4673" w:type="dxa"/>
            <w:shd w:val="clear" w:color="auto" w:fill="D9D9D9" w:themeFill="background1" w:themeFillShade="D9"/>
            <w:noWrap/>
            <w:vAlign w:val="bottom"/>
            <w:hideMark/>
          </w:tcPr>
          <w:p w14:paraId="28D45EB3" w14:textId="77777777" w:rsidR="00245BBD" w:rsidRDefault="00245BBD" w:rsidP="002A012C">
            <w:pPr>
              <w:spacing w:after="0" w:line="240" w:lineRule="auto"/>
              <w:rPr>
                <w:rFonts w:eastAsia="Times New Roman" w:cs="Calibri"/>
                <w:b/>
                <w:sz w:val="22"/>
                <w:lang w:eastAsia="en-GB"/>
              </w:rPr>
            </w:pPr>
            <w:r>
              <w:rPr>
                <w:rFonts w:eastAsia="Times New Roman" w:cs="Calibri"/>
                <w:b/>
                <w:sz w:val="22"/>
                <w:lang w:eastAsia="en-GB"/>
              </w:rPr>
              <w:t>EHCP Domains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14:paraId="7641B1BF" w14:textId="77777777" w:rsidR="00245BBD" w:rsidRDefault="00245BBD" w:rsidP="002A012C">
            <w:pPr>
              <w:spacing w:after="0" w:line="240" w:lineRule="auto"/>
              <w:jc w:val="center"/>
              <w:rPr>
                <w:rFonts w:eastAsia="Times New Roman" w:cs="Calibri"/>
                <w:b/>
                <w:sz w:val="22"/>
                <w:lang w:eastAsia="en-GB"/>
              </w:rPr>
            </w:pPr>
            <w:r>
              <w:rPr>
                <w:rFonts w:eastAsia="Times New Roman" w:cs="Calibri"/>
                <w:b/>
                <w:sz w:val="22"/>
                <w:lang w:eastAsia="en-GB"/>
              </w:rPr>
              <w:t>Not on T</w:t>
            </w:r>
            <w:r>
              <w:rPr>
                <w:b/>
                <w:sz w:val="22"/>
              </w:rPr>
              <w:t>rack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14:paraId="514CD97B" w14:textId="77777777" w:rsidR="00245BBD" w:rsidRDefault="00245BBD" w:rsidP="002A012C">
            <w:pPr>
              <w:spacing w:after="0" w:line="240" w:lineRule="auto"/>
              <w:jc w:val="center"/>
              <w:rPr>
                <w:rFonts w:eastAsia="Times New Roman" w:cs="Calibri"/>
                <w:b/>
                <w:sz w:val="22"/>
                <w:lang w:eastAsia="en-GB"/>
              </w:rPr>
            </w:pPr>
            <w:r>
              <w:rPr>
                <w:rFonts w:eastAsia="Times New Roman" w:cs="Calibri"/>
                <w:b/>
                <w:sz w:val="22"/>
                <w:lang w:eastAsia="en-GB"/>
              </w:rPr>
              <w:t>On T</w:t>
            </w:r>
            <w:r>
              <w:rPr>
                <w:b/>
                <w:sz w:val="22"/>
              </w:rPr>
              <w:t>rack</w:t>
            </w:r>
          </w:p>
        </w:tc>
        <w:tc>
          <w:tcPr>
            <w:tcW w:w="1572" w:type="dxa"/>
            <w:shd w:val="clear" w:color="auto" w:fill="D9D9D9" w:themeFill="background1" w:themeFillShade="D9"/>
            <w:noWrap/>
            <w:vAlign w:val="bottom"/>
            <w:hideMark/>
          </w:tcPr>
          <w:p w14:paraId="0C402F82" w14:textId="77777777" w:rsidR="00245BBD" w:rsidRDefault="00245BBD" w:rsidP="002A012C">
            <w:pPr>
              <w:spacing w:after="0" w:line="240" w:lineRule="auto"/>
              <w:jc w:val="center"/>
              <w:rPr>
                <w:rFonts w:eastAsia="Times New Roman" w:cs="Calibri"/>
                <w:b/>
                <w:sz w:val="22"/>
                <w:lang w:eastAsia="en-GB"/>
              </w:rPr>
            </w:pPr>
            <w:r>
              <w:rPr>
                <w:rFonts w:eastAsia="Times New Roman" w:cs="Calibri"/>
                <w:b/>
                <w:sz w:val="22"/>
                <w:lang w:eastAsia="en-GB"/>
              </w:rPr>
              <w:t>Grand Total</w:t>
            </w:r>
          </w:p>
        </w:tc>
      </w:tr>
      <w:tr w:rsidR="00353D75" w14:paraId="7824EF66" w14:textId="77777777" w:rsidTr="002A012C">
        <w:trPr>
          <w:trHeight w:val="283"/>
        </w:trPr>
        <w:tc>
          <w:tcPr>
            <w:tcW w:w="4673" w:type="dxa"/>
            <w:shd w:val="clear" w:color="auto" w:fill="auto"/>
            <w:noWrap/>
            <w:vAlign w:val="bottom"/>
          </w:tcPr>
          <w:p w14:paraId="50F4EED8" w14:textId="0B57E124" w:rsidR="00353D75" w:rsidRDefault="00353D75" w:rsidP="002A012C">
            <w:pPr>
              <w:spacing w:after="0" w:line="240" w:lineRule="auto"/>
              <w:rPr>
                <w:rFonts w:eastAsia="Times New Roman" w:cs="Calibri"/>
                <w:sz w:val="22"/>
                <w:lang w:eastAsia="en-GB"/>
              </w:rPr>
            </w:pPr>
            <w:r>
              <w:rPr>
                <w:rFonts w:eastAsia="Times New Roman" w:cs="Calibri"/>
                <w:sz w:val="22"/>
                <w:lang w:eastAsia="en-GB"/>
              </w:rPr>
              <w:t>Cognition and Learning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7BAFE1" w14:textId="66B18027" w:rsidR="00353D75" w:rsidRDefault="004024A9" w:rsidP="002A012C">
            <w:pPr>
              <w:spacing w:after="0" w:line="240" w:lineRule="auto"/>
              <w:jc w:val="center"/>
              <w:rPr>
                <w:rFonts w:eastAsia="Times New Roman" w:cs="Calibri"/>
                <w:sz w:val="22"/>
                <w:lang w:eastAsia="en-GB"/>
              </w:rPr>
            </w:pPr>
            <w:r>
              <w:rPr>
                <w:rFonts w:eastAsia="Times New Roman" w:cs="Calibri"/>
                <w:sz w:val="22"/>
                <w:lang w:eastAsia="en-GB"/>
              </w:rPr>
              <w:t>73 (12%)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173BA8" w14:textId="3F817B05" w:rsidR="00353D75" w:rsidRDefault="004024A9" w:rsidP="002A012C">
            <w:pPr>
              <w:spacing w:after="0" w:line="240" w:lineRule="auto"/>
              <w:jc w:val="center"/>
              <w:rPr>
                <w:rFonts w:eastAsia="Times New Roman" w:cs="Calibri"/>
                <w:sz w:val="22"/>
                <w:lang w:eastAsia="en-GB"/>
              </w:rPr>
            </w:pPr>
            <w:r>
              <w:rPr>
                <w:rFonts w:eastAsia="Times New Roman" w:cs="Calibri"/>
                <w:sz w:val="22"/>
                <w:lang w:eastAsia="en-GB"/>
              </w:rPr>
              <w:t>546 (88%)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14:paraId="41586B9B" w14:textId="7F26165C" w:rsidR="00353D75" w:rsidRDefault="004024A9" w:rsidP="002A012C">
            <w:pPr>
              <w:spacing w:after="0" w:line="240" w:lineRule="auto"/>
              <w:jc w:val="center"/>
              <w:rPr>
                <w:rFonts w:eastAsia="Times New Roman" w:cs="Calibri"/>
                <w:sz w:val="22"/>
                <w:lang w:eastAsia="en-GB"/>
              </w:rPr>
            </w:pPr>
            <w:r>
              <w:rPr>
                <w:rFonts w:eastAsia="Times New Roman" w:cs="Calibri"/>
                <w:sz w:val="22"/>
                <w:lang w:eastAsia="en-GB"/>
              </w:rPr>
              <w:t>619</w:t>
            </w:r>
          </w:p>
        </w:tc>
      </w:tr>
      <w:tr w:rsidR="00353D75" w14:paraId="7FFBE5DC" w14:textId="77777777" w:rsidTr="002A012C">
        <w:trPr>
          <w:trHeight w:val="283"/>
        </w:trPr>
        <w:tc>
          <w:tcPr>
            <w:tcW w:w="4673" w:type="dxa"/>
            <w:shd w:val="clear" w:color="auto" w:fill="auto"/>
            <w:noWrap/>
            <w:vAlign w:val="bottom"/>
          </w:tcPr>
          <w:p w14:paraId="3C0110F2" w14:textId="4564C9B7" w:rsidR="00353D75" w:rsidRDefault="00353D75" w:rsidP="002A012C">
            <w:pPr>
              <w:spacing w:after="0" w:line="240" w:lineRule="auto"/>
              <w:rPr>
                <w:rFonts w:eastAsia="Times New Roman" w:cs="Calibri"/>
                <w:sz w:val="22"/>
                <w:lang w:eastAsia="en-GB"/>
              </w:rPr>
            </w:pPr>
            <w:r>
              <w:rPr>
                <w:rFonts w:eastAsia="Times New Roman" w:cs="Calibri"/>
                <w:sz w:val="22"/>
                <w:lang w:eastAsia="en-GB"/>
              </w:rPr>
              <w:t>Independence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F3D52E" w14:textId="7838439B" w:rsidR="00353D75" w:rsidRDefault="004024A9" w:rsidP="002A012C">
            <w:pPr>
              <w:spacing w:after="0" w:line="240" w:lineRule="auto"/>
              <w:jc w:val="center"/>
              <w:rPr>
                <w:rFonts w:eastAsia="Times New Roman" w:cs="Calibri"/>
                <w:sz w:val="22"/>
                <w:lang w:eastAsia="en-GB"/>
              </w:rPr>
            </w:pPr>
            <w:r>
              <w:rPr>
                <w:rFonts w:eastAsia="Times New Roman" w:cs="Calibri"/>
                <w:sz w:val="22"/>
                <w:lang w:eastAsia="en-GB"/>
              </w:rPr>
              <w:t>52 (13%)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460135" w14:textId="6B767C69" w:rsidR="00353D75" w:rsidRDefault="004024A9" w:rsidP="002A012C">
            <w:pPr>
              <w:spacing w:after="0" w:line="240" w:lineRule="auto"/>
              <w:jc w:val="center"/>
              <w:rPr>
                <w:rFonts w:eastAsia="Times New Roman" w:cs="Calibri"/>
                <w:sz w:val="22"/>
                <w:lang w:eastAsia="en-GB"/>
              </w:rPr>
            </w:pPr>
            <w:r>
              <w:rPr>
                <w:rFonts w:eastAsia="Times New Roman" w:cs="Calibri"/>
                <w:sz w:val="22"/>
                <w:lang w:eastAsia="en-GB"/>
              </w:rPr>
              <w:t>355 (87%)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14:paraId="50A90A45" w14:textId="69F6E00B" w:rsidR="00353D75" w:rsidRDefault="004024A9" w:rsidP="002A012C">
            <w:pPr>
              <w:spacing w:after="0" w:line="240" w:lineRule="auto"/>
              <w:jc w:val="center"/>
              <w:rPr>
                <w:rFonts w:eastAsia="Times New Roman" w:cs="Calibri"/>
                <w:sz w:val="22"/>
                <w:lang w:eastAsia="en-GB"/>
              </w:rPr>
            </w:pPr>
            <w:r>
              <w:rPr>
                <w:rFonts w:eastAsia="Times New Roman" w:cs="Calibri"/>
                <w:sz w:val="22"/>
                <w:lang w:eastAsia="en-GB"/>
              </w:rPr>
              <w:t>407</w:t>
            </w:r>
          </w:p>
        </w:tc>
      </w:tr>
      <w:tr w:rsidR="00353D75" w14:paraId="08B36F36" w14:textId="77777777" w:rsidTr="002A012C">
        <w:trPr>
          <w:trHeight w:val="283"/>
        </w:trPr>
        <w:tc>
          <w:tcPr>
            <w:tcW w:w="4673" w:type="dxa"/>
            <w:shd w:val="clear" w:color="auto" w:fill="auto"/>
            <w:noWrap/>
            <w:vAlign w:val="bottom"/>
          </w:tcPr>
          <w:p w14:paraId="7DAE1F3B" w14:textId="469B4EB1" w:rsidR="00353D75" w:rsidRDefault="00353D75" w:rsidP="002A012C">
            <w:pPr>
              <w:spacing w:after="0" w:line="240" w:lineRule="auto"/>
              <w:rPr>
                <w:rFonts w:eastAsia="Times New Roman" w:cs="Calibri"/>
                <w:sz w:val="22"/>
                <w:lang w:eastAsia="en-GB"/>
              </w:rPr>
            </w:pPr>
            <w:r>
              <w:rPr>
                <w:rFonts w:eastAsia="Times New Roman" w:cs="Calibri"/>
                <w:sz w:val="22"/>
                <w:lang w:eastAsia="en-GB"/>
              </w:rPr>
              <w:t>Physical and Sensory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F11372" w14:textId="115001A7" w:rsidR="00353D75" w:rsidRDefault="004024A9" w:rsidP="002A012C">
            <w:pPr>
              <w:spacing w:after="0" w:line="240" w:lineRule="auto"/>
              <w:jc w:val="center"/>
              <w:rPr>
                <w:rFonts w:eastAsia="Times New Roman" w:cs="Calibri"/>
                <w:sz w:val="22"/>
                <w:lang w:eastAsia="en-GB"/>
              </w:rPr>
            </w:pPr>
            <w:r>
              <w:rPr>
                <w:rFonts w:eastAsia="Times New Roman" w:cs="Calibri"/>
                <w:sz w:val="22"/>
                <w:lang w:eastAsia="en-GB"/>
              </w:rPr>
              <w:t>17(18%)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83BD61" w14:textId="63904075" w:rsidR="00353D75" w:rsidRDefault="004024A9" w:rsidP="002A012C">
            <w:pPr>
              <w:spacing w:after="0" w:line="240" w:lineRule="auto"/>
              <w:jc w:val="center"/>
              <w:rPr>
                <w:rFonts w:eastAsia="Times New Roman" w:cs="Calibri"/>
                <w:sz w:val="22"/>
                <w:lang w:eastAsia="en-GB"/>
              </w:rPr>
            </w:pPr>
            <w:r>
              <w:rPr>
                <w:rFonts w:eastAsia="Times New Roman" w:cs="Calibri"/>
                <w:sz w:val="22"/>
                <w:lang w:eastAsia="en-GB"/>
              </w:rPr>
              <w:t>78 (82%)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14:paraId="7B04F838" w14:textId="2D7AFB2A" w:rsidR="00353D75" w:rsidRDefault="004024A9" w:rsidP="002A012C">
            <w:pPr>
              <w:spacing w:after="0" w:line="240" w:lineRule="auto"/>
              <w:jc w:val="center"/>
              <w:rPr>
                <w:rFonts w:eastAsia="Times New Roman" w:cs="Calibri"/>
                <w:sz w:val="22"/>
                <w:lang w:eastAsia="en-GB"/>
              </w:rPr>
            </w:pPr>
            <w:r>
              <w:rPr>
                <w:rFonts w:eastAsia="Times New Roman" w:cs="Calibri"/>
                <w:sz w:val="22"/>
                <w:lang w:eastAsia="en-GB"/>
              </w:rPr>
              <w:t>95</w:t>
            </w:r>
          </w:p>
        </w:tc>
      </w:tr>
      <w:tr w:rsidR="00353D75" w14:paraId="1DAB64A4" w14:textId="77777777" w:rsidTr="002A012C">
        <w:trPr>
          <w:trHeight w:val="283"/>
        </w:trPr>
        <w:tc>
          <w:tcPr>
            <w:tcW w:w="4673" w:type="dxa"/>
            <w:shd w:val="clear" w:color="auto" w:fill="auto"/>
            <w:noWrap/>
            <w:vAlign w:val="bottom"/>
          </w:tcPr>
          <w:p w14:paraId="66BE2FA0" w14:textId="4F26B4A4" w:rsidR="00353D75" w:rsidRDefault="00353D75" w:rsidP="002A012C">
            <w:pPr>
              <w:spacing w:after="0" w:line="240" w:lineRule="auto"/>
              <w:rPr>
                <w:rFonts w:eastAsia="Times New Roman" w:cs="Calibri"/>
                <w:sz w:val="22"/>
                <w:lang w:eastAsia="en-GB"/>
              </w:rPr>
            </w:pPr>
            <w:r>
              <w:rPr>
                <w:rFonts w:eastAsia="Times New Roman" w:cs="Calibri"/>
                <w:sz w:val="22"/>
                <w:lang w:eastAsia="en-GB"/>
              </w:rPr>
              <w:t>Social, Emotional Wellbeing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35F221" w14:textId="469430EC" w:rsidR="00353D75" w:rsidRDefault="004024A9" w:rsidP="002A012C">
            <w:pPr>
              <w:spacing w:after="0" w:line="240" w:lineRule="auto"/>
              <w:jc w:val="center"/>
              <w:rPr>
                <w:rFonts w:eastAsia="Times New Roman" w:cs="Calibri"/>
                <w:sz w:val="22"/>
                <w:lang w:eastAsia="en-GB"/>
              </w:rPr>
            </w:pPr>
            <w:r>
              <w:rPr>
                <w:rFonts w:eastAsia="Times New Roman" w:cs="Calibri"/>
                <w:sz w:val="22"/>
                <w:lang w:eastAsia="en-GB"/>
              </w:rPr>
              <w:t>47 (12%)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96B023" w14:textId="05EEBA49" w:rsidR="00353D75" w:rsidRDefault="004024A9" w:rsidP="002A012C">
            <w:pPr>
              <w:spacing w:after="0" w:line="240" w:lineRule="auto"/>
              <w:jc w:val="center"/>
              <w:rPr>
                <w:rFonts w:eastAsia="Times New Roman" w:cs="Calibri"/>
                <w:sz w:val="22"/>
                <w:lang w:eastAsia="en-GB"/>
              </w:rPr>
            </w:pPr>
            <w:r>
              <w:rPr>
                <w:rFonts w:eastAsia="Times New Roman" w:cs="Calibri"/>
                <w:sz w:val="22"/>
                <w:lang w:eastAsia="en-GB"/>
              </w:rPr>
              <w:t>339 (88%)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14:paraId="50EFE184" w14:textId="69105782" w:rsidR="00353D75" w:rsidRDefault="004024A9" w:rsidP="002A012C">
            <w:pPr>
              <w:spacing w:after="0" w:line="240" w:lineRule="auto"/>
              <w:jc w:val="center"/>
              <w:rPr>
                <w:rFonts w:eastAsia="Times New Roman" w:cs="Calibri"/>
                <w:sz w:val="22"/>
                <w:lang w:eastAsia="en-GB"/>
              </w:rPr>
            </w:pPr>
            <w:r>
              <w:rPr>
                <w:rFonts w:eastAsia="Times New Roman" w:cs="Calibri"/>
                <w:sz w:val="22"/>
                <w:lang w:eastAsia="en-GB"/>
              </w:rPr>
              <w:t>386</w:t>
            </w:r>
          </w:p>
        </w:tc>
      </w:tr>
      <w:tr w:rsidR="00353D75" w14:paraId="36C7ED75" w14:textId="77777777" w:rsidTr="002A012C">
        <w:trPr>
          <w:trHeight w:val="283"/>
        </w:trPr>
        <w:tc>
          <w:tcPr>
            <w:tcW w:w="4673" w:type="dxa"/>
            <w:shd w:val="clear" w:color="auto" w:fill="auto"/>
            <w:noWrap/>
            <w:vAlign w:val="bottom"/>
          </w:tcPr>
          <w:p w14:paraId="53409954" w14:textId="1AECD757" w:rsidR="00353D75" w:rsidRDefault="00353D75" w:rsidP="002A012C">
            <w:pPr>
              <w:spacing w:after="0" w:line="240" w:lineRule="auto"/>
              <w:rPr>
                <w:rFonts w:eastAsia="Times New Roman" w:cs="Calibri"/>
                <w:sz w:val="22"/>
                <w:lang w:eastAsia="en-GB"/>
              </w:rPr>
            </w:pPr>
            <w:r>
              <w:rPr>
                <w:rFonts w:eastAsia="Times New Roman" w:cs="Calibri"/>
                <w:sz w:val="22"/>
                <w:lang w:eastAsia="en-GB"/>
              </w:rPr>
              <w:t>Speech, Language and Communication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471CBB" w14:textId="7E15DF7E" w:rsidR="00353D75" w:rsidRDefault="004024A9" w:rsidP="002A012C">
            <w:pPr>
              <w:spacing w:after="0" w:line="240" w:lineRule="auto"/>
              <w:jc w:val="center"/>
              <w:rPr>
                <w:rFonts w:eastAsia="Times New Roman" w:cs="Calibri"/>
                <w:sz w:val="22"/>
                <w:lang w:eastAsia="en-GB"/>
              </w:rPr>
            </w:pPr>
            <w:r>
              <w:rPr>
                <w:rFonts w:eastAsia="Times New Roman" w:cs="Calibri"/>
                <w:sz w:val="22"/>
                <w:lang w:eastAsia="en-GB"/>
              </w:rPr>
              <w:t>75 (11%)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261D61" w14:textId="60D19EB6" w:rsidR="00353D75" w:rsidRDefault="004024A9" w:rsidP="002A012C">
            <w:pPr>
              <w:spacing w:after="0" w:line="240" w:lineRule="auto"/>
              <w:jc w:val="center"/>
              <w:rPr>
                <w:rFonts w:eastAsia="Times New Roman" w:cs="Calibri"/>
                <w:sz w:val="22"/>
                <w:lang w:eastAsia="en-GB"/>
              </w:rPr>
            </w:pPr>
            <w:r>
              <w:rPr>
                <w:rFonts w:eastAsia="Times New Roman" w:cs="Calibri"/>
                <w:sz w:val="22"/>
                <w:lang w:eastAsia="en-GB"/>
              </w:rPr>
              <w:t>596 (89%)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14:paraId="1841FE5D" w14:textId="102A5846" w:rsidR="00353D75" w:rsidRDefault="004024A9" w:rsidP="002A012C">
            <w:pPr>
              <w:spacing w:after="0" w:line="240" w:lineRule="auto"/>
              <w:jc w:val="center"/>
              <w:rPr>
                <w:rFonts w:eastAsia="Times New Roman" w:cs="Calibri"/>
                <w:sz w:val="22"/>
                <w:lang w:eastAsia="en-GB"/>
              </w:rPr>
            </w:pPr>
            <w:r>
              <w:rPr>
                <w:rFonts w:eastAsia="Times New Roman" w:cs="Calibri"/>
                <w:sz w:val="22"/>
                <w:lang w:eastAsia="en-GB"/>
              </w:rPr>
              <w:t>671</w:t>
            </w:r>
          </w:p>
        </w:tc>
      </w:tr>
      <w:tr w:rsidR="00353D75" w14:paraId="48A4BECB" w14:textId="77777777" w:rsidTr="002A012C">
        <w:trPr>
          <w:trHeight w:val="283"/>
        </w:trPr>
        <w:tc>
          <w:tcPr>
            <w:tcW w:w="4673" w:type="dxa"/>
            <w:shd w:val="clear" w:color="auto" w:fill="auto"/>
            <w:noWrap/>
            <w:vAlign w:val="bottom"/>
          </w:tcPr>
          <w:p w14:paraId="2EED79C5" w14:textId="0B0DDD54" w:rsidR="00353D75" w:rsidRDefault="00353D75" w:rsidP="002A012C">
            <w:pPr>
              <w:spacing w:after="0" w:line="240" w:lineRule="auto"/>
              <w:rPr>
                <w:rFonts w:eastAsia="Times New Roman" w:cs="Calibri"/>
                <w:b/>
                <w:bCs/>
                <w:sz w:val="22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2"/>
                <w:lang w:eastAsia="en-GB"/>
              </w:rPr>
              <w:t>Grand Total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65535B" w14:textId="738320C2" w:rsidR="00353D75" w:rsidRDefault="004024A9" w:rsidP="002A01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2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2"/>
                <w:lang w:eastAsia="en-GB"/>
              </w:rPr>
              <w:t>264 (12%)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3BAD44" w14:textId="064419D6" w:rsidR="00353D75" w:rsidRDefault="004024A9" w:rsidP="002A01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2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2"/>
                <w:lang w:eastAsia="en-GB"/>
              </w:rPr>
              <w:t>1914 (88%)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14:paraId="4D72D00F" w14:textId="09E411E3" w:rsidR="00353D75" w:rsidRDefault="004024A9" w:rsidP="002A01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2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2"/>
                <w:lang w:eastAsia="en-GB"/>
              </w:rPr>
              <w:t>2178</w:t>
            </w:r>
          </w:p>
        </w:tc>
      </w:tr>
    </w:tbl>
    <w:p w14:paraId="054C8FE4" w14:textId="78E8FE34" w:rsidR="00FF6D74" w:rsidRDefault="0091336D" w:rsidP="00571A9F">
      <w:pPr>
        <w:rPr>
          <w:bCs/>
        </w:rPr>
      </w:pPr>
      <w:r w:rsidRPr="0091336D">
        <w:rPr>
          <w:bCs/>
        </w:rPr>
        <w:t>Assessment data from the</w:t>
      </w:r>
      <w:r w:rsidR="002A012C" w:rsidRPr="0091336D">
        <w:rPr>
          <w:bCs/>
        </w:rPr>
        <w:t xml:space="preserve"> Spring Term</w:t>
      </w:r>
      <w:r w:rsidRPr="0091336D">
        <w:rPr>
          <w:bCs/>
        </w:rPr>
        <w:t xml:space="preserve"> would suggest there has been improvement across all domains; with the proportion of targets being identified as ‘On track’ increasing.</w:t>
      </w:r>
      <w:r w:rsidR="002A012C" w:rsidRPr="0091336D">
        <w:rPr>
          <w:bCs/>
        </w:rPr>
        <w:t xml:space="preserve"> </w:t>
      </w:r>
    </w:p>
    <w:p w14:paraId="1D6D1238" w14:textId="29BB1CCA" w:rsidR="0091336D" w:rsidRDefault="0091336D" w:rsidP="00571A9F">
      <w:pPr>
        <w:rPr>
          <w:bCs/>
        </w:rPr>
      </w:pPr>
      <w:r>
        <w:rPr>
          <w:bCs/>
        </w:rPr>
        <w:t>The best performing domain in the Spring term is ‘Independence</w:t>
      </w:r>
      <w:r>
        <w:rPr>
          <w:bCs/>
        </w:rPr>
        <w:t>’, which is the first time that this has been the case. Independence has been placed at the forefront of our Curriculum Intent and Implementation</w:t>
      </w:r>
      <w:r w:rsidR="00086B69">
        <w:rPr>
          <w:bCs/>
        </w:rPr>
        <w:t xml:space="preserve"> in recent months; where functional and independent living skills were identified as an area for development. This has informed long-term and medium-term planning, as well as monitoring in this area and the data indicates progress in this domain.</w:t>
      </w:r>
    </w:p>
    <w:p w14:paraId="089E9C44" w14:textId="2A61254F" w:rsidR="00571A9F" w:rsidRDefault="00086B69" w:rsidP="00571A9F">
      <w:pPr>
        <w:rPr>
          <w:bCs/>
        </w:rPr>
      </w:pPr>
      <w:r>
        <w:rPr>
          <w:bCs/>
        </w:rPr>
        <w:t>In line with</w:t>
      </w:r>
      <w:r w:rsidR="00FF6D74">
        <w:rPr>
          <w:bCs/>
        </w:rPr>
        <w:t xml:space="preserve"> the Autumn Term,</w:t>
      </w:r>
      <w:r w:rsidR="009F4376" w:rsidRPr="009F4376">
        <w:rPr>
          <w:bCs/>
        </w:rPr>
        <w:t xml:space="preserve"> </w:t>
      </w:r>
      <w:r w:rsidR="002A012C">
        <w:rPr>
          <w:bCs/>
        </w:rPr>
        <w:t>P</w:t>
      </w:r>
      <w:r w:rsidR="009F4376" w:rsidRPr="009F4376">
        <w:rPr>
          <w:bCs/>
        </w:rPr>
        <w:t xml:space="preserve">hysical and </w:t>
      </w:r>
      <w:r w:rsidR="002A012C">
        <w:rPr>
          <w:bCs/>
        </w:rPr>
        <w:t>S</w:t>
      </w:r>
      <w:r w:rsidR="009F4376" w:rsidRPr="009F4376">
        <w:rPr>
          <w:bCs/>
        </w:rPr>
        <w:t xml:space="preserve">ensory </w:t>
      </w:r>
      <w:r w:rsidR="00FF6D74">
        <w:rPr>
          <w:bCs/>
        </w:rPr>
        <w:t xml:space="preserve">remains the domain with </w:t>
      </w:r>
      <w:r w:rsidR="00694CF8">
        <w:rPr>
          <w:bCs/>
        </w:rPr>
        <w:t xml:space="preserve">the </w:t>
      </w:r>
      <w:r w:rsidR="00FF6D74">
        <w:rPr>
          <w:bCs/>
        </w:rPr>
        <w:t>largest proportion of targets identified as being ‘Not on Track’</w:t>
      </w:r>
      <w:r w:rsidR="009F4376">
        <w:rPr>
          <w:bCs/>
        </w:rPr>
        <w:t xml:space="preserve">. </w:t>
      </w:r>
      <w:r w:rsidR="002747CD">
        <w:rPr>
          <w:bCs/>
        </w:rPr>
        <w:t xml:space="preserve">This is the </w:t>
      </w:r>
      <w:r w:rsidR="00FF6D74">
        <w:rPr>
          <w:bCs/>
        </w:rPr>
        <w:t xml:space="preserve">domain with the </w:t>
      </w:r>
      <w:r w:rsidR="002747CD">
        <w:rPr>
          <w:bCs/>
        </w:rPr>
        <w:t xml:space="preserve">smallest </w:t>
      </w:r>
      <w:r w:rsidR="00FF6D74">
        <w:rPr>
          <w:bCs/>
        </w:rPr>
        <w:t>number of targets;</w:t>
      </w:r>
      <w:r w:rsidR="002747CD">
        <w:rPr>
          <w:bCs/>
        </w:rPr>
        <w:t xml:space="preserve"> with only 95 targets in total across the whole school. </w:t>
      </w:r>
      <w:r w:rsidR="00FF6D74">
        <w:rPr>
          <w:bCs/>
        </w:rPr>
        <w:t>5</w:t>
      </w:r>
      <w:r w:rsidR="002747CD">
        <w:rPr>
          <w:bCs/>
        </w:rPr>
        <w:t xml:space="preserve"> of the 1</w:t>
      </w:r>
      <w:r w:rsidR="00FF6D74">
        <w:rPr>
          <w:bCs/>
        </w:rPr>
        <w:t>2</w:t>
      </w:r>
      <w:r w:rsidR="002747CD">
        <w:rPr>
          <w:bCs/>
        </w:rPr>
        <w:t xml:space="preserve"> ‘</w:t>
      </w:r>
      <w:r w:rsidR="00FF6D74">
        <w:rPr>
          <w:bCs/>
        </w:rPr>
        <w:t>N</w:t>
      </w:r>
      <w:r w:rsidR="002747CD">
        <w:rPr>
          <w:bCs/>
        </w:rPr>
        <w:t xml:space="preserve">ot on </w:t>
      </w:r>
      <w:r w:rsidR="00FF6D74">
        <w:rPr>
          <w:bCs/>
        </w:rPr>
        <w:t>T</w:t>
      </w:r>
      <w:r w:rsidR="002747CD">
        <w:rPr>
          <w:bCs/>
        </w:rPr>
        <w:t>rack’ targets are due to ‘</w:t>
      </w:r>
      <w:r w:rsidR="00FF6D74">
        <w:rPr>
          <w:bCs/>
        </w:rPr>
        <w:t>a</w:t>
      </w:r>
      <w:r w:rsidR="002747CD">
        <w:rPr>
          <w:bCs/>
        </w:rPr>
        <w:t>ttendance’</w:t>
      </w:r>
      <w:r w:rsidR="00694CF8">
        <w:rPr>
          <w:bCs/>
        </w:rPr>
        <w:t>.</w:t>
      </w:r>
      <w:r w:rsidR="002747CD">
        <w:rPr>
          <w:bCs/>
        </w:rPr>
        <w:t xml:space="preserve"> This is attributed to </w:t>
      </w:r>
      <w:r w:rsidR="00FF6D74">
        <w:rPr>
          <w:bCs/>
        </w:rPr>
        <w:t>3</w:t>
      </w:r>
      <w:r w:rsidR="002747CD">
        <w:rPr>
          <w:bCs/>
        </w:rPr>
        <w:t xml:space="preserve"> students</w:t>
      </w:r>
      <w:r w:rsidR="00FF6D74">
        <w:rPr>
          <w:bCs/>
        </w:rPr>
        <w:t>; whose medical conditions have impacted their attendance</w:t>
      </w:r>
      <w:r w:rsidR="002747CD">
        <w:rPr>
          <w:bCs/>
        </w:rPr>
        <w:t xml:space="preserve">. </w:t>
      </w:r>
    </w:p>
    <w:p w14:paraId="0815E85D" w14:textId="77777777" w:rsidR="00CA5074" w:rsidRDefault="00CA5074" w:rsidP="00571A9F">
      <w:pPr>
        <w:rPr>
          <w:b/>
        </w:rPr>
      </w:pPr>
    </w:p>
    <w:p w14:paraId="5CA3BDB6" w14:textId="483393F8" w:rsidR="00276CA3" w:rsidRDefault="005A3520" w:rsidP="00571A9F">
      <w:pPr>
        <w:rPr>
          <w:noProof/>
          <w:lang w:eastAsia="en-GB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816A5E9" wp14:editId="18F2B6D5">
            <wp:simplePos x="0" y="0"/>
            <wp:positionH relativeFrom="margin">
              <wp:posOffset>-78105</wp:posOffset>
            </wp:positionH>
            <wp:positionV relativeFrom="paragraph">
              <wp:posOffset>0</wp:posOffset>
            </wp:positionV>
            <wp:extent cx="2880995" cy="3303905"/>
            <wp:effectExtent l="0" t="0" r="14605" b="10795"/>
            <wp:wrapTight wrapText="bothSides">
              <wp:wrapPolygon edited="0">
                <wp:start x="0" y="0"/>
                <wp:lineTo x="0" y="21546"/>
                <wp:lineTo x="21567" y="21546"/>
                <wp:lineTo x="21567" y="0"/>
                <wp:lineTo x="0" y="0"/>
              </wp:wrapPolygon>
            </wp:wrapTight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6454254-966F-4D1F-A2D4-C43FC61E96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r>
        <w:t xml:space="preserve"> </w:t>
      </w:r>
      <w:r w:rsidR="00571A9F">
        <w:br/>
      </w:r>
      <w:r w:rsidR="0063762B">
        <w:rPr>
          <w:noProof/>
          <w:lang w:eastAsia="en-GB"/>
        </w:rPr>
        <w:tab/>
      </w:r>
      <w:r w:rsidR="0063762B">
        <w:rPr>
          <w:noProof/>
          <w:lang w:eastAsia="en-GB"/>
        </w:rPr>
        <w:tab/>
      </w:r>
      <w:r w:rsidR="0063762B">
        <w:rPr>
          <w:noProof/>
          <w:lang w:eastAsia="en-GB"/>
        </w:rPr>
        <w:tab/>
      </w:r>
      <w:r w:rsidR="0063762B">
        <w:rPr>
          <w:noProof/>
          <w:lang w:eastAsia="en-GB"/>
        </w:rPr>
        <w:tab/>
      </w:r>
      <w:r w:rsidR="0063762B">
        <w:rPr>
          <w:noProof/>
          <w:lang w:eastAsia="en-GB"/>
        </w:rPr>
        <w:tab/>
      </w:r>
    </w:p>
    <w:p w14:paraId="1663A192" w14:textId="073A114B" w:rsidR="005A3520" w:rsidRDefault="005A3520" w:rsidP="00571A9F">
      <w:pPr>
        <w:rPr>
          <w:noProof/>
          <w:lang w:eastAsia="en-GB"/>
        </w:rPr>
      </w:pPr>
    </w:p>
    <w:tbl>
      <w:tblPr>
        <w:tblStyle w:val="TableGrid"/>
        <w:tblpPr w:leftFromText="180" w:rightFromText="180" w:vertAnchor="text" w:horzAnchor="page" w:tblpX="5979" w:tblpY="311"/>
        <w:tblOverlap w:val="never"/>
        <w:tblW w:w="0" w:type="auto"/>
        <w:tblLook w:val="04A0" w:firstRow="1" w:lastRow="0" w:firstColumn="1" w:lastColumn="0" w:noHBand="0" w:noVBand="1"/>
      </w:tblPr>
      <w:tblGrid>
        <w:gridCol w:w="2898"/>
        <w:gridCol w:w="579"/>
      </w:tblGrid>
      <w:tr w:rsidR="005A3520" w:rsidRPr="0063762B" w14:paraId="2E0C61E4" w14:textId="77777777" w:rsidTr="005A3520">
        <w:trPr>
          <w:trHeight w:val="487"/>
        </w:trPr>
        <w:tc>
          <w:tcPr>
            <w:tcW w:w="2898" w:type="dxa"/>
            <w:tcBorders>
              <w:right w:val="single" w:sz="4" w:space="0" w:color="auto"/>
            </w:tcBorders>
            <w:shd w:val="clear" w:color="auto" w:fill="FFFF00"/>
            <w:noWrap/>
          </w:tcPr>
          <w:p w14:paraId="42AC17A8" w14:textId="77777777" w:rsidR="005A3520" w:rsidRPr="0063762B" w:rsidRDefault="005A3520" w:rsidP="005A3520">
            <w:pPr>
              <w:rPr>
                <w:noProof/>
                <w:sz w:val="18"/>
                <w:szCs w:val="16"/>
                <w:lang w:eastAsia="en-GB"/>
              </w:rPr>
            </w:pPr>
            <w:r>
              <w:rPr>
                <w:noProof/>
                <w:sz w:val="18"/>
                <w:szCs w:val="16"/>
                <w:lang w:eastAsia="en-GB"/>
              </w:rPr>
              <w:t>Attendance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F146FA8" w14:textId="77777777" w:rsidR="005A3520" w:rsidRPr="0063762B" w:rsidRDefault="005A3520" w:rsidP="005A3520">
            <w:pPr>
              <w:rPr>
                <w:noProof/>
                <w:sz w:val="18"/>
                <w:szCs w:val="16"/>
                <w:lang w:eastAsia="en-GB"/>
              </w:rPr>
            </w:pPr>
            <w:r>
              <w:rPr>
                <w:rFonts w:cs="Calibri"/>
                <w:color w:val="000000"/>
                <w:sz w:val="18"/>
                <w:szCs w:val="16"/>
              </w:rPr>
              <w:t>33</w:t>
            </w:r>
          </w:p>
        </w:tc>
      </w:tr>
      <w:tr w:rsidR="005A3520" w:rsidRPr="0063762B" w14:paraId="4A53BAA7" w14:textId="77777777" w:rsidTr="005A3520">
        <w:trPr>
          <w:trHeight w:val="487"/>
        </w:trPr>
        <w:tc>
          <w:tcPr>
            <w:tcW w:w="2898" w:type="dxa"/>
            <w:tcBorders>
              <w:right w:val="single" w:sz="4" w:space="0" w:color="auto"/>
            </w:tcBorders>
            <w:shd w:val="clear" w:color="auto" w:fill="C0504D" w:themeFill="accent2"/>
            <w:noWrap/>
          </w:tcPr>
          <w:p w14:paraId="2C1423D9" w14:textId="77777777" w:rsidR="005A3520" w:rsidRPr="0063762B" w:rsidRDefault="005A3520" w:rsidP="005A3520">
            <w:pPr>
              <w:rPr>
                <w:noProof/>
                <w:sz w:val="18"/>
                <w:szCs w:val="16"/>
                <w:lang w:eastAsia="en-GB"/>
              </w:rPr>
            </w:pPr>
            <w:r>
              <w:rPr>
                <w:noProof/>
                <w:sz w:val="18"/>
                <w:szCs w:val="16"/>
                <w:lang w:eastAsia="en-GB"/>
              </w:rPr>
              <w:t>Emotional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bottom"/>
          </w:tcPr>
          <w:p w14:paraId="1BB00244" w14:textId="77777777" w:rsidR="005A3520" w:rsidRPr="0063762B" w:rsidRDefault="005A3520" w:rsidP="005A3520">
            <w:pPr>
              <w:rPr>
                <w:noProof/>
                <w:sz w:val="18"/>
                <w:szCs w:val="16"/>
                <w:lang w:eastAsia="en-GB"/>
              </w:rPr>
            </w:pPr>
            <w:r>
              <w:rPr>
                <w:rFonts w:cs="Calibri"/>
                <w:color w:val="000000"/>
                <w:sz w:val="18"/>
                <w:szCs w:val="16"/>
              </w:rPr>
              <w:t>21</w:t>
            </w:r>
          </w:p>
        </w:tc>
      </w:tr>
      <w:tr w:rsidR="005A3520" w:rsidRPr="0063762B" w14:paraId="0A944F8E" w14:textId="77777777" w:rsidTr="005A3520">
        <w:trPr>
          <w:trHeight w:val="487"/>
        </w:trPr>
        <w:tc>
          <w:tcPr>
            <w:tcW w:w="2898" w:type="dxa"/>
            <w:tcBorders>
              <w:right w:val="single" w:sz="4" w:space="0" w:color="auto"/>
            </w:tcBorders>
            <w:shd w:val="clear" w:color="auto" w:fill="9BBB59" w:themeFill="accent3"/>
            <w:noWrap/>
          </w:tcPr>
          <w:p w14:paraId="092C6B3E" w14:textId="77777777" w:rsidR="005A3520" w:rsidRPr="0063762B" w:rsidRDefault="005A3520" w:rsidP="005A3520">
            <w:pPr>
              <w:rPr>
                <w:noProof/>
                <w:sz w:val="18"/>
                <w:szCs w:val="16"/>
                <w:lang w:eastAsia="en-GB"/>
              </w:rPr>
            </w:pPr>
            <w:r>
              <w:rPr>
                <w:noProof/>
                <w:sz w:val="18"/>
                <w:szCs w:val="16"/>
                <w:lang w:eastAsia="en-GB"/>
              </w:rPr>
              <w:t>Resources/training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bottom"/>
          </w:tcPr>
          <w:p w14:paraId="081AE372" w14:textId="77777777" w:rsidR="005A3520" w:rsidRPr="0063762B" w:rsidRDefault="005A3520" w:rsidP="005A3520">
            <w:pPr>
              <w:rPr>
                <w:noProof/>
                <w:sz w:val="18"/>
                <w:szCs w:val="16"/>
                <w:lang w:eastAsia="en-GB"/>
              </w:rPr>
            </w:pPr>
            <w:r>
              <w:rPr>
                <w:noProof/>
                <w:sz w:val="18"/>
                <w:szCs w:val="16"/>
                <w:lang w:eastAsia="en-GB"/>
              </w:rPr>
              <w:t>6</w:t>
            </w:r>
          </w:p>
        </w:tc>
      </w:tr>
      <w:tr w:rsidR="005A3520" w:rsidRPr="0063762B" w14:paraId="67361594" w14:textId="77777777" w:rsidTr="005A3520">
        <w:trPr>
          <w:trHeight w:val="487"/>
        </w:trPr>
        <w:tc>
          <w:tcPr>
            <w:tcW w:w="2898" w:type="dxa"/>
            <w:tcBorders>
              <w:right w:val="single" w:sz="4" w:space="0" w:color="auto"/>
            </w:tcBorders>
            <w:shd w:val="clear" w:color="auto" w:fill="8064A2" w:themeFill="accent4"/>
            <w:noWrap/>
          </w:tcPr>
          <w:p w14:paraId="76BCA478" w14:textId="77777777" w:rsidR="005A3520" w:rsidRPr="0063762B" w:rsidRDefault="005A3520" w:rsidP="005A3520">
            <w:pPr>
              <w:rPr>
                <w:noProof/>
                <w:sz w:val="18"/>
                <w:szCs w:val="16"/>
                <w:lang w:eastAsia="en-GB"/>
              </w:rPr>
            </w:pPr>
            <w:r>
              <w:rPr>
                <w:noProof/>
                <w:sz w:val="18"/>
                <w:szCs w:val="16"/>
                <w:lang w:eastAsia="en-GB"/>
              </w:rPr>
              <w:t>Inappropriate expectation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bottom"/>
          </w:tcPr>
          <w:p w14:paraId="3DFE7E0A" w14:textId="77777777" w:rsidR="005A3520" w:rsidRPr="0063762B" w:rsidRDefault="005A3520" w:rsidP="005A3520">
            <w:pPr>
              <w:rPr>
                <w:noProof/>
                <w:sz w:val="18"/>
                <w:szCs w:val="16"/>
                <w:lang w:eastAsia="en-GB"/>
              </w:rPr>
            </w:pPr>
            <w:r>
              <w:rPr>
                <w:noProof/>
                <w:sz w:val="18"/>
                <w:szCs w:val="16"/>
                <w:lang w:eastAsia="en-GB"/>
              </w:rPr>
              <w:t>28</w:t>
            </w:r>
          </w:p>
        </w:tc>
      </w:tr>
      <w:tr w:rsidR="005A3520" w:rsidRPr="0063762B" w14:paraId="0C340634" w14:textId="77777777" w:rsidTr="005A3520">
        <w:trPr>
          <w:trHeight w:val="487"/>
        </w:trPr>
        <w:tc>
          <w:tcPr>
            <w:tcW w:w="2898" w:type="dxa"/>
            <w:tcBorders>
              <w:right w:val="single" w:sz="4" w:space="0" w:color="auto"/>
            </w:tcBorders>
            <w:shd w:val="clear" w:color="auto" w:fill="92CDDC" w:themeFill="accent5" w:themeFillTint="99"/>
            <w:noWrap/>
          </w:tcPr>
          <w:p w14:paraId="20E6C7B4" w14:textId="77777777" w:rsidR="005A3520" w:rsidRPr="0063762B" w:rsidRDefault="005A3520" w:rsidP="005A3520">
            <w:pPr>
              <w:rPr>
                <w:noProof/>
                <w:sz w:val="18"/>
                <w:szCs w:val="16"/>
                <w:lang w:eastAsia="en-GB"/>
              </w:rPr>
            </w:pPr>
            <w:r>
              <w:rPr>
                <w:noProof/>
                <w:sz w:val="18"/>
                <w:szCs w:val="16"/>
                <w:lang w:eastAsia="en-GB"/>
              </w:rPr>
              <w:t>Unable to make provision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14:paraId="5087FE4F" w14:textId="77777777" w:rsidR="005A3520" w:rsidRPr="0063762B" w:rsidRDefault="005A3520" w:rsidP="005A3520">
            <w:pPr>
              <w:rPr>
                <w:noProof/>
                <w:sz w:val="18"/>
                <w:szCs w:val="16"/>
                <w:lang w:eastAsia="en-GB"/>
              </w:rPr>
            </w:pPr>
            <w:r>
              <w:rPr>
                <w:noProof/>
                <w:sz w:val="18"/>
                <w:szCs w:val="16"/>
                <w:lang w:eastAsia="en-GB"/>
              </w:rPr>
              <w:t>7</w:t>
            </w:r>
          </w:p>
        </w:tc>
      </w:tr>
      <w:tr w:rsidR="005A3520" w:rsidRPr="0063762B" w14:paraId="08D856AD" w14:textId="77777777" w:rsidTr="005A3520">
        <w:trPr>
          <w:trHeight w:val="487"/>
        </w:trPr>
        <w:tc>
          <w:tcPr>
            <w:tcW w:w="2898" w:type="dxa"/>
            <w:tcBorders>
              <w:right w:val="single" w:sz="4" w:space="0" w:color="auto"/>
            </w:tcBorders>
            <w:shd w:val="clear" w:color="auto" w:fill="F79646" w:themeFill="accent6"/>
            <w:noWrap/>
          </w:tcPr>
          <w:p w14:paraId="42DEA2C7" w14:textId="77777777" w:rsidR="005A3520" w:rsidRPr="0063762B" w:rsidRDefault="005A3520" w:rsidP="005A3520">
            <w:pPr>
              <w:rPr>
                <w:noProof/>
                <w:sz w:val="18"/>
                <w:szCs w:val="16"/>
                <w:lang w:eastAsia="en-GB"/>
              </w:rPr>
            </w:pPr>
            <w:r>
              <w:rPr>
                <w:noProof/>
                <w:sz w:val="18"/>
                <w:szCs w:val="16"/>
                <w:lang w:eastAsia="en-GB"/>
              </w:rPr>
              <w:t xml:space="preserve">Staffing inconsistencies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</w:tcPr>
          <w:p w14:paraId="7217745F" w14:textId="77777777" w:rsidR="005A3520" w:rsidRPr="0063762B" w:rsidRDefault="005A3520" w:rsidP="005A3520">
            <w:pPr>
              <w:rPr>
                <w:noProof/>
                <w:sz w:val="18"/>
                <w:szCs w:val="16"/>
                <w:lang w:eastAsia="en-GB"/>
              </w:rPr>
            </w:pPr>
            <w:r>
              <w:rPr>
                <w:rFonts w:cs="Calibri"/>
                <w:color w:val="000000"/>
                <w:sz w:val="18"/>
                <w:szCs w:val="16"/>
              </w:rPr>
              <w:t>63</w:t>
            </w:r>
          </w:p>
        </w:tc>
      </w:tr>
      <w:tr w:rsidR="005A3520" w:rsidRPr="0063762B" w14:paraId="0D1F85E6" w14:textId="77777777" w:rsidTr="005A3520">
        <w:trPr>
          <w:trHeight w:val="487"/>
        </w:trPr>
        <w:tc>
          <w:tcPr>
            <w:tcW w:w="2898" w:type="dxa"/>
            <w:shd w:val="clear" w:color="auto" w:fill="auto"/>
            <w:noWrap/>
            <w:hideMark/>
          </w:tcPr>
          <w:p w14:paraId="6E81EF8E" w14:textId="77777777" w:rsidR="005A3520" w:rsidRPr="0063762B" w:rsidRDefault="005A3520" w:rsidP="005A3520">
            <w:pPr>
              <w:rPr>
                <w:b/>
                <w:bCs/>
                <w:noProof/>
                <w:sz w:val="18"/>
                <w:szCs w:val="16"/>
                <w:lang w:eastAsia="en-GB"/>
              </w:rPr>
            </w:pPr>
            <w:r w:rsidRPr="0063762B">
              <w:rPr>
                <w:b/>
                <w:bCs/>
                <w:noProof/>
                <w:sz w:val="18"/>
                <w:szCs w:val="16"/>
                <w:lang w:eastAsia="en-GB"/>
              </w:rPr>
              <w:t>Grand Total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00A15" w14:textId="77777777" w:rsidR="005A3520" w:rsidRPr="0063762B" w:rsidRDefault="005A3520" w:rsidP="005A3520">
            <w:pPr>
              <w:rPr>
                <w:b/>
                <w:bCs/>
                <w:noProof/>
                <w:sz w:val="18"/>
                <w:szCs w:val="16"/>
                <w:lang w:eastAsia="en-GB"/>
              </w:rPr>
            </w:pPr>
            <w:r>
              <w:rPr>
                <w:b/>
                <w:bCs/>
                <w:noProof/>
                <w:sz w:val="18"/>
                <w:szCs w:val="16"/>
                <w:lang w:eastAsia="en-GB"/>
              </w:rPr>
              <w:t>158</w:t>
            </w:r>
          </w:p>
        </w:tc>
      </w:tr>
    </w:tbl>
    <w:p w14:paraId="59B62703" w14:textId="3C0383D8" w:rsidR="005A3520" w:rsidRDefault="005A3520" w:rsidP="00571A9F">
      <w:pPr>
        <w:rPr>
          <w:noProof/>
          <w:lang w:eastAsia="en-GB"/>
        </w:rPr>
      </w:pPr>
    </w:p>
    <w:p w14:paraId="6DE5C291" w14:textId="2266315C" w:rsidR="005A3520" w:rsidRDefault="005A3520" w:rsidP="00571A9F">
      <w:pPr>
        <w:rPr>
          <w:noProof/>
          <w:lang w:eastAsia="en-GB"/>
        </w:rPr>
      </w:pPr>
    </w:p>
    <w:p w14:paraId="61EC5277" w14:textId="0D6079DC" w:rsidR="005A3520" w:rsidRDefault="005A3520" w:rsidP="00571A9F">
      <w:pPr>
        <w:rPr>
          <w:noProof/>
          <w:lang w:eastAsia="en-GB"/>
        </w:rPr>
      </w:pPr>
    </w:p>
    <w:p w14:paraId="492FB454" w14:textId="4625D853" w:rsidR="005A3520" w:rsidRDefault="005A3520" w:rsidP="00571A9F">
      <w:pPr>
        <w:rPr>
          <w:noProof/>
          <w:lang w:eastAsia="en-GB"/>
        </w:rPr>
      </w:pPr>
    </w:p>
    <w:p w14:paraId="34E8D1E1" w14:textId="62C86387" w:rsidR="005A3520" w:rsidRDefault="005A3520" w:rsidP="00571A9F">
      <w:pPr>
        <w:rPr>
          <w:noProof/>
          <w:lang w:eastAsia="en-GB"/>
        </w:rPr>
      </w:pPr>
    </w:p>
    <w:p w14:paraId="3C9F1420" w14:textId="3DD3E08C" w:rsidR="005A3520" w:rsidRDefault="005A3520" w:rsidP="00571A9F">
      <w:pPr>
        <w:rPr>
          <w:noProof/>
          <w:lang w:eastAsia="en-GB"/>
        </w:rPr>
      </w:pPr>
    </w:p>
    <w:p w14:paraId="045A3B4C" w14:textId="14A17D52" w:rsidR="005A3520" w:rsidRDefault="005A3520" w:rsidP="00571A9F">
      <w:pPr>
        <w:rPr>
          <w:noProof/>
          <w:lang w:eastAsia="en-GB"/>
        </w:rPr>
      </w:pPr>
    </w:p>
    <w:p w14:paraId="12517ACC" w14:textId="5AE0ACF0" w:rsidR="005A3520" w:rsidRDefault="005A3520" w:rsidP="00571A9F">
      <w:pPr>
        <w:rPr>
          <w:noProof/>
          <w:lang w:eastAsia="en-GB"/>
        </w:rPr>
      </w:pPr>
    </w:p>
    <w:p w14:paraId="02F3C2FE" w14:textId="62B0B0B7" w:rsidR="005A3520" w:rsidRPr="005A3520" w:rsidRDefault="005A3520" w:rsidP="00571A9F">
      <w:pPr>
        <w:rPr>
          <w:bCs/>
        </w:rPr>
      </w:pPr>
      <w:r>
        <w:rPr>
          <w:bCs/>
        </w:rPr>
        <w:t xml:space="preserve">Staffing inconsistencies have been identified as the main reason for why targets are ‘Not on Track’. The school has continued to face significant challenges with regards to staffing, with both a high level of absenteeism and a difficulty in recruitment. Whilst being a national issue, staffing inconsistencies prove particularly detrimental to our students due to their additional needs. The school has been proactive in its recruitment strategy and its implementation of Local Authority </w:t>
      </w:r>
      <w:r w:rsidR="002C12E7">
        <w:rPr>
          <w:bCs/>
        </w:rPr>
        <w:t>procedures with regards to absence. Staffing continues to remain a challenge for the school but will hopefully stabilise moving forwards.</w:t>
      </w:r>
    </w:p>
    <w:p w14:paraId="0BD9188A" w14:textId="77777777" w:rsidR="005A3520" w:rsidRDefault="005A3520" w:rsidP="00571A9F">
      <w:pPr>
        <w:rPr>
          <w:b/>
          <w:u w:val="single"/>
        </w:rPr>
      </w:pPr>
    </w:p>
    <w:p w14:paraId="252BE7A6" w14:textId="5C8C4252" w:rsidR="00571A9F" w:rsidRDefault="00571A9F" w:rsidP="00571A9F">
      <w:pPr>
        <w:rPr>
          <w:b/>
          <w:u w:val="single"/>
        </w:rPr>
      </w:pPr>
      <w:r w:rsidRPr="007659B5">
        <w:rPr>
          <w:b/>
          <w:u w:val="single"/>
        </w:rPr>
        <w:t>Section 2: Pupil Premium and LAC</w:t>
      </w:r>
    </w:p>
    <w:p w14:paraId="20629676" w14:textId="77777777" w:rsidR="00571A9F" w:rsidRDefault="00571A9F" w:rsidP="00571A9F">
      <w:pPr>
        <w:rPr>
          <w:u w:val="single"/>
        </w:rPr>
      </w:pPr>
      <w:r>
        <w:rPr>
          <w:u w:val="single"/>
        </w:rPr>
        <w:t xml:space="preserve">Pupil Premium v non-Pupil Premium 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846"/>
        <w:gridCol w:w="1523"/>
        <w:gridCol w:w="1876"/>
        <w:gridCol w:w="1709"/>
        <w:gridCol w:w="2062"/>
      </w:tblGrid>
      <w:tr w:rsidR="00447FA8" w14:paraId="5D4A2C15" w14:textId="77777777" w:rsidTr="00A01AE8"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32E777" w14:textId="77777777" w:rsidR="00447FA8" w:rsidRDefault="00447FA8" w:rsidP="00447FA8">
            <w:pPr>
              <w:jc w:val="center"/>
              <w:rPr>
                <w:b/>
              </w:rPr>
            </w:pPr>
            <w:bookmarkStart w:id="0" w:name="_Hlk114737435"/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8E6755B" w14:textId="13E46887" w:rsidR="00447FA8" w:rsidRDefault="002C12E7" w:rsidP="00447FA8">
            <w:pPr>
              <w:jc w:val="center"/>
              <w:rPr>
                <w:rFonts w:eastAsia="Times New Roman" w:cs="Calibri"/>
                <w:b/>
                <w:sz w:val="22"/>
                <w:lang w:eastAsia="en-GB"/>
              </w:rPr>
            </w:pPr>
            <w:r>
              <w:rPr>
                <w:rFonts w:eastAsia="Times New Roman" w:cs="Calibri"/>
                <w:b/>
                <w:sz w:val="22"/>
                <w:lang w:eastAsia="en-GB"/>
              </w:rPr>
              <w:t>Spring 2022-23</w:t>
            </w:r>
          </w:p>
        </w:tc>
        <w:tc>
          <w:tcPr>
            <w:tcW w:w="3771" w:type="dxa"/>
            <w:gridSpan w:val="2"/>
            <w:shd w:val="clear" w:color="auto" w:fill="BFBFBF" w:themeFill="background1" w:themeFillShade="BF"/>
            <w:vAlign w:val="bottom"/>
          </w:tcPr>
          <w:p w14:paraId="5C30F595" w14:textId="3800F3A8" w:rsidR="00447FA8" w:rsidRDefault="002C12E7" w:rsidP="00447FA8">
            <w:pPr>
              <w:jc w:val="center"/>
              <w:rPr>
                <w:rFonts w:eastAsia="Times New Roman" w:cs="Calibri"/>
                <w:b/>
                <w:sz w:val="22"/>
                <w:lang w:eastAsia="en-GB"/>
              </w:rPr>
            </w:pPr>
            <w:r>
              <w:rPr>
                <w:rFonts w:eastAsia="Times New Roman" w:cs="Calibri"/>
                <w:b/>
                <w:sz w:val="22"/>
                <w:lang w:eastAsia="en-GB"/>
              </w:rPr>
              <w:t>Autumn 2022-2023</w:t>
            </w:r>
          </w:p>
        </w:tc>
      </w:tr>
      <w:tr w:rsidR="00447FA8" w14:paraId="55E427FF" w14:textId="77777777" w:rsidTr="00A01AE8"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A06C9" w14:textId="77777777" w:rsidR="00447FA8" w:rsidRDefault="00447FA8" w:rsidP="00447FA8">
            <w:pPr>
              <w:jc w:val="center"/>
              <w:rPr>
                <w:b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3308BD" w14:textId="77777777" w:rsidR="00447FA8" w:rsidRPr="002C12E7" w:rsidRDefault="00C34D86" w:rsidP="00447FA8">
            <w:pPr>
              <w:jc w:val="center"/>
              <w:rPr>
                <w:b/>
                <w:sz w:val="22"/>
              </w:rPr>
            </w:pPr>
            <w:r w:rsidRPr="002C12E7">
              <w:rPr>
                <w:b/>
                <w:sz w:val="22"/>
              </w:rPr>
              <w:t>Non pupil premium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BE30B95" w14:textId="77777777" w:rsidR="00447FA8" w:rsidRPr="002C12E7" w:rsidRDefault="00C34D86" w:rsidP="00447FA8">
            <w:pPr>
              <w:jc w:val="center"/>
              <w:rPr>
                <w:b/>
                <w:sz w:val="22"/>
              </w:rPr>
            </w:pPr>
            <w:r w:rsidRPr="002C12E7">
              <w:rPr>
                <w:b/>
                <w:sz w:val="22"/>
              </w:rPr>
              <w:t>Pupil premium</w:t>
            </w:r>
          </w:p>
        </w:tc>
        <w:tc>
          <w:tcPr>
            <w:tcW w:w="1709" w:type="dxa"/>
            <w:shd w:val="clear" w:color="auto" w:fill="BFBFBF" w:themeFill="background1" w:themeFillShade="BF"/>
          </w:tcPr>
          <w:p w14:paraId="00403F11" w14:textId="61431CFE" w:rsidR="00447FA8" w:rsidRPr="002C12E7" w:rsidRDefault="00A01AE8" w:rsidP="00447FA8">
            <w:pPr>
              <w:jc w:val="center"/>
              <w:rPr>
                <w:b/>
                <w:sz w:val="22"/>
              </w:rPr>
            </w:pPr>
            <w:r w:rsidRPr="002C12E7">
              <w:rPr>
                <w:b/>
                <w:sz w:val="22"/>
              </w:rPr>
              <w:t>Non pupil premium</w:t>
            </w:r>
          </w:p>
        </w:tc>
        <w:tc>
          <w:tcPr>
            <w:tcW w:w="2062" w:type="dxa"/>
            <w:shd w:val="clear" w:color="auto" w:fill="BFBFBF" w:themeFill="background1" w:themeFillShade="BF"/>
          </w:tcPr>
          <w:p w14:paraId="3BC028A5" w14:textId="7C4E46C0" w:rsidR="00447FA8" w:rsidRPr="002C12E7" w:rsidRDefault="00A01AE8" w:rsidP="00447FA8">
            <w:pPr>
              <w:jc w:val="center"/>
              <w:rPr>
                <w:b/>
                <w:sz w:val="22"/>
              </w:rPr>
            </w:pPr>
            <w:r w:rsidRPr="002C12E7">
              <w:rPr>
                <w:b/>
                <w:sz w:val="22"/>
              </w:rPr>
              <w:t>Pupil premium</w:t>
            </w:r>
          </w:p>
        </w:tc>
      </w:tr>
      <w:tr w:rsidR="002C12E7" w14:paraId="5F7CC5FD" w14:textId="77777777" w:rsidTr="00A01AE8">
        <w:tc>
          <w:tcPr>
            <w:tcW w:w="1846" w:type="dxa"/>
            <w:tcBorders>
              <w:top w:val="single" w:sz="4" w:space="0" w:color="auto"/>
            </w:tcBorders>
          </w:tcPr>
          <w:p w14:paraId="2CDF32A3" w14:textId="77777777" w:rsidR="002C12E7" w:rsidRPr="002C12E7" w:rsidRDefault="002C12E7" w:rsidP="002C12E7">
            <w:pPr>
              <w:jc w:val="center"/>
              <w:rPr>
                <w:sz w:val="22"/>
                <w:szCs w:val="20"/>
              </w:rPr>
            </w:pPr>
            <w:r w:rsidRPr="002C12E7">
              <w:rPr>
                <w:sz w:val="22"/>
                <w:szCs w:val="20"/>
              </w:rPr>
              <w:t>Not On Track</w:t>
            </w:r>
          </w:p>
        </w:tc>
        <w:tc>
          <w:tcPr>
            <w:tcW w:w="1523" w:type="dxa"/>
          </w:tcPr>
          <w:p w14:paraId="09A65842" w14:textId="1BAABA66" w:rsidR="002C12E7" w:rsidRPr="002C12E7" w:rsidRDefault="002C12E7" w:rsidP="002C12E7">
            <w:pPr>
              <w:jc w:val="center"/>
              <w:rPr>
                <w:sz w:val="22"/>
                <w:szCs w:val="20"/>
              </w:rPr>
            </w:pPr>
            <w:r w:rsidRPr="002C12E7">
              <w:rPr>
                <w:sz w:val="22"/>
                <w:szCs w:val="20"/>
              </w:rPr>
              <w:t>6.8%</w:t>
            </w:r>
          </w:p>
        </w:tc>
        <w:tc>
          <w:tcPr>
            <w:tcW w:w="1876" w:type="dxa"/>
          </w:tcPr>
          <w:p w14:paraId="4D948290" w14:textId="3DD595EC" w:rsidR="002C12E7" w:rsidRPr="002C12E7" w:rsidRDefault="002C12E7" w:rsidP="002C12E7">
            <w:pPr>
              <w:jc w:val="center"/>
              <w:rPr>
                <w:sz w:val="22"/>
                <w:szCs w:val="20"/>
              </w:rPr>
            </w:pPr>
            <w:r w:rsidRPr="002C12E7">
              <w:rPr>
                <w:sz w:val="22"/>
                <w:szCs w:val="20"/>
              </w:rPr>
              <w:t>2.6%</w:t>
            </w:r>
          </w:p>
        </w:tc>
        <w:tc>
          <w:tcPr>
            <w:tcW w:w="1709" w:type="dxa"/>
          </w:tcPr>
          <w:p w14:paraId="5561BD0E" w14:textId="010AFB6F" w:rsidR="002C12E7" w:rsidRPr="002C12E7" w:rsidRDefault="002C12E7" w:rsidP="002C12E7">
            <w:pPr>
              <w:jc w:val="center"/>
              <w:rPr>
                <w:sz w:val="22"/>
                <w:szCs w:val="20"/>
              </w:rPr>
            </w:pPr>
            <w:r w:rsidRPr="002C12E7">
              <w:rPr>
                <w:sz w:val="22"/>
                <w:szCs w:val="20"/>
              </w:rPr>
              <w:t>12%</w:t>
            </w:r>
          </w:p>
        </w:tc>
        <w:tc>
          <w:tcPr>
            <w:tcW w:w="2062" w:type="dxa"/>
          </w:tcPr>
          <w:p w14:paraId="219EADC3" w14:textId="238EB5E3" w:rsidR="002C12E7" w:rsidRPr="002C12E7" w:rsidRDefault="002C12E7" w:rsidP="002C12E7">
            <w:pPr>
              <w:jc w:val="center"/>
              <w:rPr>
                <w:sz w:val="22"/>
                <w:szCs w:val="20"/>
              </w:rPr>
            </w:pPr>
            <w:r w:rsidRPr="002C12E7">
              <w:rPr>
                <w:sz w:val="22"/>
                <w:szCs w:val="20"/>
              </w:rPr>
              <w:t>8%</w:t>
            </w:r>
          </w:p>
        </w:tc>
      </w:tr>
      <w:tr w:rsidR="002C12E7" w14:paraId="4223DE9F" w14:textId="77777777" w:rsidTr="00A01AE8">
        <w:tc>
          <w:tcPr>
            <w:tcW w:w="1846" w:type="dxa"/>
          </w:tcPr>
          <w:p w14:paraId="50C464EF" w14:textId="77777777" w:rsidR="002C12E7" w:rsidRPr="002C12E7" w:rsidRDefault="002C12E7" w:rsidP="002C12E7">
            <w:pPr>
              <w:jc w:val="center"/>
              <w:rPr>
                <w:sz w:val="22"/>
                <w:szCs w:val="20"/>
              </w:rPr>
            </w:pPr>
            <w:r w:rsidRPr="002C12E7">
              <w:rPr>
                <w:sz w:val="22"/>
                <w:szCs w:val="20"/>
              </w:rPr>
              <w:t>On Track</w:t>
            </w:r>
          </w:p>
        </w:tc>
        <w:tc>
          <w:tcPr>
            <w:tcW w:w="1523" w:type="dxa"/>
          </w:tcPr>
          <w:p w14:paraId="1960FF7D" w14:textId="142B64AC" w:rsidR="002C12E7" w:rsidRPr="002C12E7" w:rsidRDefault="002C12E7" w:rsidP="002C12E7">
            <w:pPr>
              <w:jc w:val="center"/>
              <w:rPr>
                <w:sz w:val="22"/>
                <w:szCs w:val="20"/>
              </w:rPr>
            </w:pPr>
            <w:r w:rsidRPr="002C12E7">
              <w:rPr>
                <w:sz w:val="22"/>
                <w:szCs w:val="20"/>
              </w:rPr>
              <w:t>93.2%</w:t>
            </w:r>
          </w:p>
        </w:tc>
        <w:tc>
          <w:tcPr>
            <w:tcW w:w="1876" w:type="dxa"/>
          </w:tcPr>
          <w:p w14:paraId="39363002" w14:textId="373759C6" w:rsidR="002C12E7" w:rsidRPr="002C12E7" w:rsidRDefault="002C12E7" w:rsidP="002C12E7">
            <w:pPr>
              <w:jc w:val="center"/>
              <w:rPr>
                <w:sz w:val="22"/>
                <w:szCs w:val="20"/>
              </w:rPr>
            </w:pPr>
            <w:r w:rsidRPr="002C12E7">
              <w:rPr>
                <w:sz w:val="22"/>
                <w:szCs w:val="20"/>
              </w:rPr>
              <w:t>97.4%</w:t>
            </w:r>
          </w:p>
        </w:tc>
        <w:tc>
          <w:tcPr>
            <w:tcW w:w="1709" w:type="dxa"/>
          </w:tcPr>
          <w:p w14:paraId="6EDC8F25" w14:textId="0308EB02" w:rsidR="002C12E7" w:rsidRPr="002C12E7" w:rsidRDefault="002C12E7" w:rsidP="002C12E7">
            <w:pPr>
              <w:jc w:val="center"/>
              <w:rPr>
                <w:sz w:val="22"/>
                <w:szCs w:val="20"/>
              </w:rPr>
            </w:pPr>
            <w:r w:rsidRPr="002C12E7">
              <w:rPr>
                <w:sz w:val="22"/>
                <w:szCs w:val="20"/>
              </w:rPr>
              <w:t>88%</w:t>
            </w:r>
          </w:p>
        </w:tc>
        <w:tc>
          <w:tcPr>
            <w:tcW w:w="2062" w:type="dxa"/>
          </w:tcPr>
          <w:p w14:paraId="1E6C7727" w14:textId="40D48F9D" w:rsidR="002C12E7" w:rsidRPr="002C12E7" w:rsidRDefault="002C12E7" w:rsidP="002C12E7">
            <w:pPr>
              <w:jc w:val="center"/>
              <w:rPr>
                <w:sz w:val="22"/>
                <w:szCs w:val="20"/>
              </w:rPr>
            </w:pPr>
            <w:r w:rsidRPr="002C12E7">
              <w:rPr>
                <w:sz w:val="22"/>
                <w:szCs w:val="20"/>
              </w:rPr>
              <w:t>92%</w:t>
            </w:r>
          </w:p>
        </w:tc>
      </w:tr>
      <w:bookmarkEnd w:id="0"/>
    </w:tbl>
    <w:p w14:paraId="7636F226" w14:textId="75F15B7E" w:rsidR="002C12E7" w:rsidRDefault="002C12E7" w:rsidP="002C12E7"/>
    <w:p w14:paraId="474FEDE7" w14:textId="4B6211A1" w:rsidR="002C12E7" w:rsidRPr="002C12E7" w:rsidRDefault="002C12E7" w:rsidP="002C12E7">
      <w:r>
        <w:t>Positively, the data demonstrates that the Pupil Premium cohort continue to outperform the non-pupil premium, in relation to the proportion of targets ‘On Track</w:t>
      </w:r>
      <w:r w:rsidR="00694CF8">
        <w:t>’</w:t>
      </w:r>
      <w:r>
        <w:t xml:space="preserve">. </w:t>
      </w:r>
      <w:r w:rsidR="00D72B88">
        <w:t xml:space="preserve">It must be acknowledged that social deprivation is not the main barrier to learning for students with complex learning difficulties, however the </w:t>
      </w:r>
      <w:r w:rsidR="00D72B88">
        <w:lastRenderedPageBreak/>
        <w:t xml:space="preserve">data indicates there has been an effective use of the </w:t>
      </w:r>
      <w:r>
        <w:t xml:space="preserve">Pupil </w:t>
      </w:r>
      <w:r w:rsidR="00694CF8">
        <w:t>P</w:t>
      </w:r>
      <w:r>
        <w:t>remium funding</w:t>
      </w:r>
      <w:r w:rsidR="00D72B88">
        <w:t>.</w:t>
      </w:r>
      <w:r>
        <w:t xml:space="preserve"> </w:t>
      </w:r>
      <w:r w:rsidR="00D72B88">
        <w:t xml:space="preserve">This funding </w:t>
      </w:r>
      <w:r>
        <w:t>has allowed the school to provide multiple learning opportunities</w:t>
      </w:r>
      <w:r w:rsidR="00D72B88">
        <w:t xml:space="preserve"> and additional provision. </w:t>
      </w:r>
    </w:p>
    <w:p w14:paraId="5D095122" w14:textId="77777777" w:rsidR="002C12E7" w:rsidRDefault="002C12E7" w:rsidP="00571A9F">
      <w:pPr>
        <w:jc w:val="center"/>
        <w:rPr>
          <w:u w:val="single"/>
        </w:rPr>
      </w:pPr>
    </w:p>
    <w:p w14:paraId="1F590970" w14:textId="6F2E2C1C" w:rsidR="00CC6DA2" w:rsidRDefault="00CC6DA2" w:rsidP="00CC6DA2">
      <w:pPr>
        <w:rPr>
          <w:u w:val="single"/>
        </w:rPr>
      </w:pPr>
      <w:r w:rsidRPr="000E57EB">
        <w:rPr>
          <w:u w:val="single"/>
        </w:rPr>
        <w:t xml:space="preserve">LAC </w:t>
      </w:r>
      <w:r w:rsidR="00D72B88">
        <w:rPr>
          <w:u w:val="single"/>
        </w:rPr>
        <w:t>Spring</w:t>
      </w:r>
      <w:r w:rsidRPr="000E57EB">
        <w:rPr>
          <w:u w:val="single"/>
        </w:rPr>
        <w:t xml:space="preserve"> </w:t>
      </w:r>
      <w:r w:rsidR="00D72B88">
        <w:rPr>
          <w:u w:val="single"/>
        </w:rPr>
        <w:t>T</w:t>
      </w:r>
      <w:r w:rsidRPr="000E57EB">
        <w:rPr>
          <w:u w:val="single"/>
        </w:rPr>
        <w:t xml:space="preserve">erm </w:t>
      </w: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2060"/>
        <w:gridCol w:w="2193"/>
        <w:gridCol w:w="2268"/>
        <w:gridCol w:w="2500"/>
      </w:tblGrid>
      <w:tr w:rsidR="00D72B88" w14:paraId="1C97157B" w14:textId="0F7E6076" w:rsidTr="007504AE"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3F5E573" w14:textId="77777777" w:rsidR="00D72B88" w:rsidRDefault="00D72B88" w:rsidP="003936C4">
            <w:pPr>
              <w:jc w:val="center"/>
              <w:rPr>
                <w:b/>
              </w:rPr>
            </w:pPr>
          </w:p>
        </w:tc>
        <w:tc>
          <w:tcPr>
            <w:tcW w:w="69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E47591E" w14:textId="2588F508" w:rsidR="00D72B88" w:rsidRDefault="00D72B88" w:rsidP="003936C4">
            <w:pPr>
              <w:jc w:val="center"/>
              <w:rPr>
                <w:rFonts w:eastAsia="Times New Roman" w:cs="Calibri"/>
                <w:b/>
                <w:sz w:val="22"/>
                <w:lang w:eastAsia="en-GB"/>
              </w:rPr>
            </w:pPr>
            <w:r>
              <w:rPr>
                <w:rFonts w:eastAsia="Times New Roman" w:cs="Calibri"/>
                <w:b/>
                <w:sz w:val="22"/>
                <w:lang w:eastAsia="en-GB"/>
              </w:rPr>
              <w:t>Spring 2022-23</w:t>
            </w:r>
          </w:p>
        </w:tc>
      </w:tr>
      <w:tr w:rsidR="00D72B88" w:rsidRPr="002C12E7" w14:paraId="56E2B090" w14:textId="1232D454" w:rsidTr="00D72B88"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FC21C" w14:textId="77777777" w:rsidR="00D72B88" w:rsidRDefault="00D72B88" w:rsidP="003936C4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668F61" w14:textId="12B640CB" w:rsidR="00D72B88" w:rsidRPr="002C12E7" w:rsidRDefault="00D72B88" w:rsidP="003936C4">
            <w:pPr>
              <w:jc w:val="center"/>
              <w:rPr>
                <w:b/>
                <w:sz w:val="22"/>
              </w:rPr>
            </w:pPr>
            <w:proofErr w:type="gramStart"/>
            <w:r w:rsidRPr="002C12E7">
              <w:rPr>
                <w:b/>
                <w:sz w:val="22"/>
              </w:rPr>
              <w:t xml:space="preserve">Non </w:t>
            </w:r>
            <w:r>
              <w:rPr>
                <w:b/>
                <w:sz w:val="22"/>
              </w:rPr>
              <w:t>LAC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5974299" w14:textId="7F802534" w:rsidR="00D72B88" w:rsidRPr="002C12E7" w:rsidRDefault="00D72B88" w:rsidP="003936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LAC</w:t>
            </w: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3085AE1" w14:textId="237AF56C" w:rsidR="00D72B88" w:rsidRDefault="000C1069" w:rsidP="003936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 w:rsidR="00D72B88" w:rsidRPr="002C12E7" w14:paraId="7B6961EB" w14:textId="329344B4" w:rsidTr="00D72B88">
        <w:tc>
          <w:tcPr>
            <w:tcW w:w="2060" w:type="dxa"/>
            <w:tcBorders>
              <w:top w:val="single" w:sz="4" w:space="0" w:color="auto"/>
            </w:tcBorders>
          </w:tcPr>
          <w:p w14:paraId="519C5B01" w14:textId="77777777" w:rsidR="00D72B88" w:rsidRPr="002C12E7" w:rsidRDefault="00D72B88" w:rsidP="003936C4">
            <w:pPr>
              <w:jc w:val="center"/>
              <w:rPr>
                <w:sz w:val="22"/>
                <w:szCs w:val="20"/>
              </w:rPr>
            </w:pPr>
            <w:r w:rsidRPr="002C12E7">
              <w:rPr>
                <w:sz w:val="22"/>
                <w:szCs w:val="20"/>
              </w:rPr>
              <w:t>Not On Track</w:t>
            </w:r>
          </w:p>
        </w:tc>
        <w:tc>
          <w:tcPr>
            <w:tcW w:w="2193" w:type="dxa"/>
          </w:tcPr>
          <w:p w14:paraId="765C1545" w14:textId="58C28112" w:rsidR="00D72B88" w:rsidRPr="002C12E7" w:rsidRDefault="00D72B88" w:rsidP="003936C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  <w:r w:rsidRPr="002C12E7">
              <w:rPr>
                <w:sz w:val="22"/>
                <w:szCs w:val="20"/>
              </w:rPr>
              <w:t>%</w:t>
            </w:r>
          </w:p>
        </w:tc>
        <w:tc>
          <w:tcPr>
            <w:tcW w:w="2268" w:type="dxa"/>
          </w:tcPr>
          <w:p w14:paraId="45A8E516" w14:textId="65E0C420" w:rsidR="00D72B88" w:rsidRPr="002C12E7" w:rsidRDefault="00D72B88" w:rsidP="003936C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</w:t>
            </w:r>
            <w:r w:rsidRPr="002C12E7">
              <w:rPr>
                <w:sz w:val="22"/>
                <w:szCs w:val="20"/>
              </w:rPr>
              <w:t>%</w:t>
            </w:r>
          </w:p>
        </w:tc>
        <w:tc>
          <w:tcPr>
            <w:tcW w:w="2500" w:type="dxa"/>
          </w:tcPr>
          <w:p w14:paraId="56BF747F" w14:textId="20652690" w:rsidR="00D72B88" w:rsidRDefault="00D72B88" w:rsidP="003936C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7.3%</w:t>
            </w:r>
          </w:p>
        </w:tc>
      </w:tr>
      <w:tr w:rsidR="00D72B88" w:rsidRPr="002C12E7" w14:paraId="31ED3BFC" w14:textId="09E51471" w:rsidTr="00D72B88">
        <w:tc>
          <w:tcPr>
            <w:tcW w:w="2060" w:type="dxa"/>
          </w:tcPr>
          <w:p w14:paraId="14DE67EA" w14:textId="77777777" w:rsidR="00D72B88" w:rsidRPr="002C12E7" w:rsidRDefault="00D72B88" w:rsidP="003936C4">
            <w:pPr>
              <w:jc w:val="center"/>
              <w:rPr>
                <w:sz w:val="22"/>
                <w:szCs w:val="20"/>
              </w:rPr>
            </w:pPr>
            <w:r w:rsidRPr="002C12E7">
              <w:rPr>
                <w:sz w:val="22"/>
                <w:szCs w:val="20"/>
              </w:rPr>
              <w:t>On Track</w:t>
            </w:r>
          </w:p>
        </w:tc>
        <w:tc>
          <w:tcPr>
            <w:tcW w:w="2193" w:type="dxa"/>
          </w:tcPr>
          <w:p w14:paraId="33453315" w14:textId="3CA5F433" w:rsidR="00D72B88" w:rsidRPr="002C12E7" w:rsidRDefault="00D72B88" w:rsidP="003936C4">
            <w:pPr>
              <w:jc w:val="center"/>
              <w:rPr>
                <w:sz w:val="22"/>
                <w:szCs w:val="20"/>
              </w:rPr>
            </w:pPr>
            <w:r w:rsidRPr="002C12E7">
              <w:rPr>
                <w:sz w:val="22"/>
                <w:szCs w:val="20"/>
              </w:rPr>
              <w:t>93%</w:t>
            </w:r>
          </w:p>
        </w:tc>
        <w:tc>
          <w:tcPr>
            <w:tcW w:w="2268" w:type="dxa"/>
          </w:tcPr>
          <w:p w14:paraId="00C57384" w14:textId="4553F433" w:rsidR="00D72B88" w:rsidRPr="002C12E7" w:rsidRDefault="00D72B88" w:rsidP="003936C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86</w:t>
            </w:r>
            <w:r w:rsidRPr="002C12E7">
              <w:rPr>
                <w:sz w:val="22"/>
                <w:szCs w:val="20"/>
              </w:rPr>
              <w:t>%</w:t>
            </w:r>
          </w:p>
        </w:tc>
        <w:tc>
          <w:tcPr>
            <w:tcW w:w="2500" w:type="dxa"/>
          </w:tcPr>
          <w:p w14:paraId="344DE089" w14:textId="73827C42" w:rsidR="00D72B88" w:rsidRDefault="00D72B88" w:rsidP="003936C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92.7%</w:t>
            </w:r>
          </w:p>
        </w:tc>
      </w:tr>
    </w:tbl>
    <w:p w14:paraId="40D4769F" w14:textId="72193511" w:rsidR="00141718" w:rsidRDefault="00141718" w:rsidP="00141718">
      <w:pPr>
        <w:rPr>
          <w:u w:val="single"/>
        </w:rPr>
      </w:pPr>
    </w:p>
    <w:p w14:paraId="4C15CC07" w14:textId="49DF8081" w:rsidR="00D72B88" w:rsidRPr="00AE346C" w:rsidRDefault="00AE346C" w:rsidP="00141718">
      <w:r>
        <w:t xml:space="preserve">Although there is an attainment gap between LAC and non-LAC students at The Meadows, the data is still positive in comparison with national statistics. Educational outcomes for our LAC students are monitored by the Virtual School within </w:t>
      </w:r>
      <w:r w:rsidR="00694CF8">
        <w:t>their</w:t>
      </w:r>
      <w:r>
        <w:t xml:space="preserve"> termly PEP meetings. Pupil Premium </w:t>
      </w:r>
      <w:r w:rsidR="00694CF8">
        <w:t>P</w:t>
      </w:r>
      <w:r>
        <w:t>lus spend is deployed to deliver targeted support to enable the students to meet their targets.</w:t>
      </w:r>
    </w:p>
    <w:p w14:paraId="5D42AF23" w14:textId="77777777" w:rsidR="00AE346C" w:rsidRDefault="00AE346C" w:rsidP="00571A9F">
      <w:pPr>
        <w:rPr>
          <w:b/>
        </w:rPr>
      </w:pPr>
    </w:p>
    <w:p w14:paraId="6F59D669" w14:textId="3DED8CE3" w:rsidR="00571A9F" w:rsidRDefault="00571A9F" w:rsidP="00571A9F">
      <w:pPr>
        <w:rPr>
          <w:b/>
        </w:rPr>
      </w:pPr>
      <w:r>
        <w:rPr>
          <w:b/>
        </w:rPr>
        <w:t>Comparison by Pathway</w:t>
      </w:r>
    </w:p>
    <w:tbl>
      <w:tblPr>
        <w:tblW w:w="8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599"/>
        <w:gridCol w:w="1841"/>
        <w:gridCol w:w="1720"/>
        <w:gridCol w:w="1858"/>
      </w:tblGrid>
      <w:tr w:rsidR="002055A1" w14:paraId="08AA3B4C" w14:textId="77777777" w:rsidTr="006F424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3666A" w14:textId="77777777" w:rsidR="002055A1" w:rsidRDefault="002055A1" w:rsidP="002055A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FFCDC7B" w14:textId="7BE8BFA0" w:rsidR="002055A1" w:rsidRDefault="00AE346C" w:rsidP="002055A1">
            <w:pPr>
              <w:spacing w:after="0" w:line="240" w:lineRule="auto"/>
              <w:jc w:val="center"/>
              <w:rPr>
                <w:rFonts w:eastAsia="Times New Roman" w:cs="Calibri"/>
                <w:b/>
                <w:sz w:val="22"/>
                <w:lang w:eastAsia="en-GB"/>
              </w:rPr>
            </w:pPr>
            <w:r>
              <w:rPr>
                <w:rFonts w:eastAsia="Times New Roman" w:cs="Calibri"/>
                <w:b/>
                <w:sz w:val="22"/>
                <w:lang w:eastAsia="en-GB"/>
              </w:rPr>
              <w:t>Spring 2022-2023</w:t>
            </w:r>
          </w:p>
        </w:tc>
        <w:tc>
          <w:tcPr>
            <w:tcW w:w="3578" w:type="dxa"/>
            <w:gridSpan w:val="2"/>
            <w:shd w:val="clear" w:color="auto" w:fill="BFBFBF" w:themeFill="background1" w:themeFillShade="BF"/>
            <w:noWrap/>
            <w:vAlign w:val="bottom"/>
          </w:tcPr>
          <w:p w14:paraId="42A32AB5" w14:textId="083EBA91" w:rsidR="002055A1" w:rsidRDefault="00AE346C" w:rsidP="002055A1">
            <w:pPr>
              <w:spacing w:after="0" w:line="240" w:lineRule="auto"/>
              <w:jc w:val="center"/>
              <w:rPr>
                <w:rFonts w:eastAsia="Times New Roman" w:cs="Calibri"/>
                <w:b/>
                <w:sz w:val="22"/>
                <w:lang w:eastAsia="en-GB"/>
              </w:rPr>
            </w:pPr>
            <w:r>
              <w:rPr>
                <w:rFonts w:eastAsia="Times New Roman" w:cs="Calibri"/>
                <w:b/>
                <w:sz w:val="22"/>
                <w:lang w:eastAsia="en-GB"/>
              </w:rPr>
              <w:t>Autumn 2022-2023</w:t>
            </w:r>
          </w:p>
        </w:tc>
      </w:tr>
      <w:tr w:rsidR="002055A1" w14:paraId="7E835978" w14:textId="77777777" w:rsidTr="006F561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8869" w14:textId="77777777" w:rsidR="002055A1" w:rsidRDefault="002055A1" w:rsidP="002055A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6CAE7A9" w14:textId="01FADFD6" w:rsidR="002055A1" w:rsidRDefault="001A42D7" w:rsidP="002055A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eastAsia="en-GB"/>
              </w:rPr>
            </w:pPr>
            <w:r w:rsidRPr="001A42D7">
              <w:rPr>
                <w:rFonts w:eastAsia="Times New Roman" w:cs="Calibri"/>
                <w:b/>
                <w:bCs/>
                <w:color w:val="000000"/>
                <w:sz w:val="22"/>
                <w:lang w:eastAsia="en-GB"/>
              </w:rPr>
              <w:t>Not on Track</w:t>
            </w:r>
          </w:p>
        </w:tc>
        <w:tc>
          <w:tcPr>
            <w:tcW w:w="1841" w:type="dxa"/>
            <w:shd w:val="clear" w:color="auto" w:fill="BFBFBF" w:themeFill="background1" w:themeFillShade="BF"/>
            <w:vAlign w:val="bottom"/>
          </w:tcPr>
          <w:p w14:paraId="3125E4C2" w14:textId="315F1C81" w:rsidR="002055A1" w:rsidRDefault="001A42D7" w:rsidP="002055A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lang w:eastAsia="en-GB"/>
              </w:rPr>
            </w:pPr>
            <w:r w:rsidRPr="001A42D7">
              <w:rPr>
                <w:rFonts w:eastAsia="Times New Roman" w:cs="Calibri"/>
                <w:b/>
                <w:bCs/>
                <w:color w:val="000000"/>
                <w:sz w:val="22"/>
                <w:lang w:eastAsia="en-GB"/>
              </w:rPr>
              <w:t>On Track</w:t>
            </w:r>
          </w:p>
        </w:tc>
        <w:tc>
          <w:tcPr>
            <w:tcW w:w="1720" w:type="dxa"/>
            <w:shd w:val="clear" w:color="auto" w:fill="BFBFBF" w:themeFill="background1" w:themeFillShade="BF"/>
            <w:noWrap/>
            <w:vAlign w:val="bottom"/>
          </w:tcPr>
          <w:p w14:paraId="15C5C052" w14:textId="7D8C954F" w:rsidR="002055A1" w:rsidRDefault="001A42D7" w:rsidP="002055A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lang w:eastAsia="en-GB"/>
              </w:rPr>
              <w:t>Not on Track</w:t>
            </w:r>
          </w:p>
        </w:tc>
        <w:tc>
          <w:tcPr>
            <w:tcW w:w="1858" w:type="dxa"/>
            <w:shd w:val="clear" w:color="auto" w:fill="BFBFBF" w:themeFill="background1" w:themeFillShade="BF"/>
            <w:noWrap/>
            <w:vAlign w:val="bottom"/>
          </w:tcPr>
          <w:p w14:paraId="5E6FB519" w14:textId="6E974678" w:rsidR="002055A1" w:rsidRDefault="001A42D7" w:rsidP="002055A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lang w:eastAsia="en-GB"/>
              </w:rPr>
              <w:t>On Track</w:t>
            </w:r>
          </w:p>
        </w:tc>
      </w:tr>
      <w:tr w:rsidR="00AE346C" w14:paraId="24D60F5E" w14:textId="77777777" w:rsidTr="006F561F">
        <w:trPr>
          <w:trHeight w:val="300"/>
        </w:trPr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452F" w14:textId="77777777" w:rsidR="00AE346C" w:rsidRDefault="00AE346C" w:rsidP="00AE346C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>
              <w:rPr>
                <w:rFonts w:eastAsia="Times New Roman" w:cs="Calibri"/>
                <w:color w:val="000000"/>
                <w:sz w:val="22"/>
                <w:lang w:eastAsia="en-GB"/>
              </w:rPr>
              <w:t>Formal</w:t>
            </w:r>
          </w:p>
        </w:tc>
        <w:tc>
          <w:tcPr>
            <w:tcW w:w="1599" w:type="dxa"/>
            <w:vAlign w:val="bottom"/>
          </w:tcPr>
          <w:p w14:paraId="41C6E7D4" w14:textId="5C645F2A" w:rsidR="00AE346C" w:rsidRDefault="00AE346C" w:rsidP="00AE34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>
              <w:rPr>
                <w:rFonts w:eastAsia="Times New Roman" w:cs="Calibri"/>
                <w:color w:val="000000"/>
                <w:sz w:val="22"/>
                <w:lang w:eastAsia="en-GB"/>
              </w:rPr>
              <w:t>4.1%</w:t>
            </w:r>
          </w:p>
        </w:tc>
        <w:tc>
          <w:tcPr>
            <w:tcW w:w="1841" w:type="dxa"/>
            <w:vAlign w:val="bottom"/>
          </w:tcPr>
          <w:p w14:paraId="06B87BFF" w14:textId="3C5151D3" w:rsidR="00AE346C" w:rsidRDefault="00AE346C" w:rsidP="00AE34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>
              <w:rPr>
                <w:rFonts w:eastAsia="Times New Roman" w:cs="Calibri"/>
                <w:color w:val="000000"/>
                <w:sz w:val="22"/>
                <w:lang w:eastAsia="en-GB"/>
              </w:rPr>
              <w:t>95.9%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E79A027" w14:textId="15F9CB14" w:rsidR="00AE346C" w:rsidRDefault="00AE346C" w:rsidP="00AE34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>
              <w:rPr>
                <w:rFonts w:eastAsia="Times New Roman" w:cs="Calibri"/>
                <w:color w:val="000000"/>
                <w:sz w:val="22"/>
                <w:lang w:eastAsia="en-GB"/>
              </w:rPr>
              <w:t>4.6%</w:t>
            </w:r>
          </w:p>
        </w:tc>
        <w:tc>
          <w:tcPr>
            <w:tcW w:w="1858" w:type="dxa"/>
            <w:shd w:val="clear" w:color="auto" w:fill="auto"/>
            <w:noWrap/>
            <w:vAlign w:val="bottom"/>
          </w:tcPr>
          <w:p w14:paraId="4B01F30D" w14:textId="64A75EF0" w:rsidR="00AE346C" w:rsidRDefault="00AE346C" w:rsidP="00AE34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>
              <w:rPr>
                <w:rFonts w:eastAsia="Times New Roman" w:cs="Calibri"/>
                <w:color w:val="000000"/>
                <w:sz w:val="22"/>
                <w:lang w:eastAsia="en-GB"/>
              </w:rPr>
              <w:t>95.4%</w:t>
            </w:r>
          </w:p>
        </w:tc>
      </w:tr>
      <w:tr w:rsidR="00AE346C" w14:paraId="31E8C888" w14:textId="77777777" w:rsidTr="006F561F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318543A" w14:textId="77777777" w:rsidR="00AE346C" w:rsidRDefault="00AE346C" w:rsidP="00AE346C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>
              <w:rPr>
                <w:rFonts w:eastAsia="Times New Roman" w:cs="Calibri"/>
                <w:color w:val="000000"/>
                <w:sz w:val="22"/>
                <w:lang w:eastAsia="en-GB"/>
              </w:rPr>
              <w:t>Semi Formal</w:t>
            </w:r>
          </w:p>
        </w:tc>
        <w:tc>
          <w:tcPr>
            <w:tcW w:w="1599" w:type="dxa"/>
            <w:vAlign w:val="bottom"/>
          </w:tcPr>
          <w:p w14:paraId="17640F10" w14:textId="20D30AB2" w:rsidR="00AE346C" w:rsidRDefault="00AE346C" w:rsidP="00AE34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>
              <w:rPr>
                <w:rFonts w:eastAsia="Times New Roman" w:cs="Calibri"/>
                <w:color w:val="000000"/>
                <w:sz w:val="22"/>
                <w:lang w:eastAsia="en-GB"/>
              </w:rPr>
              <w:t>9.7%</w:t>
            </w:r>
          </w:p>
        </w:tc>
        <w:tc>
          <w:tcPr>
            <w:tcW w:w="1841" w:type="dxa"/>
            <w:vAlign w:val="bottom"/>
          </w:tcPr>
          <w:p w14:paraId="74A2920E" w14:textId="5924A6FF" w:rsidR="00AE346C" w:rsidRDefault="00AE346C" w:rsidP="00AE34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>
              <w:rPr>
                <w:rFonts w:eastAsia="Times New Roman" w:cs="Calibri"/>
                <w:color w:val="000000"/>
                <w:sz w:val="22"/>
                <w:lang w:eastAsia="en-GB"/>
              </w:rPr>
              <w:t>90.3%</w:t>
            </w:r>
          </w:p>
        </w:tc>
        <w:tc>
          <w:tcPr>
            <w:tcW w:w="1720" w:type="dxa"/>
            <w:noWrap/>
            <w:vAlign w:val="bottom"/>
          </w:tcPr>
          <w:p w14:paraId="1BCA1A99" w14:textId="74A458F4" w:rsidR="00AE346C" w:rsidRDefault="00AE346C" w:rsidP="00AE34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>
              <w:rPr>
                <w:rFonts w:eastAsia="Times New Roman" w:cs="Calibri"/>
                <w:color w:val="000000"/>
                <w:sz w:val="22"/>
                <w:lang w:eastAsia="en-GB"/>
              </w:rPr>
              <w:t>13.6%</w:t>
            </w:r>
          </w:p>
        </w:tc>
        <w:tc>
          <w:tcPr>
            <w:tcW w:w="1858" w:type="dxa"/>
            <w:noWrap/>
            <w:vAlign w:val="bottom"/>
          </w:tcPr>
          <w:p w14:paraId="336B2EA2" w14:textId="68422737" w:rsidR="00AE346C" w:rsidRDefault="00AE346C" w:rsidP="00AE34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>
              <w:rPr>
                <w:rFonts w:eastAsia="Times New Roman" w:cs="Calibri"/>
                <w:color w:val="000000"/>
                <w:sz w:val="22"/>
                <w:lang w:eastAsia="en-GB"/>
              </w:rPr>
              <w:t>86.4%</w:t>
            </w:r>
          </w:p>
        </w:tc>
      </w:tr>
      <w:tr w:rsidR="00AE346C" w14:paraId="71A2F269" w14:textId="77777777" w:rsidTr="006F561F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A61CE6A" w14:textId="77777777" w:rsidR="00AE346C" w:rsidRDefault="00AE346C" w:rsidP="00AE346C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>
              <w:rPr>
                <w:rFonts w:eastAsia="Times New Roman" w:cs="Calibri"/>
                <w:color w:val="000000"/>
                <w:sz w:val="22"/>
                <w:lang w:eastAsia="en-GB"/>
              </w:rPr>
              <w:t>Braided</w:t>
            </w:r>
          </w:p>
        </w:tc>
        <w:tc>
          <w:tcPr>
            <w:tcW w:w="1599" w:type="dxa"/>
            <w:vAlign w:val="bottom"/>
          </w:tcPr>
          <w:p w14:paraId="25389D83" w14:textId="199B4F16" w:rsidR="00AE346C" w:rsidRDefault="00AE346C" w:rsidP="00AE34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>
              <w:rPr>
                <w:rFonts w:eastAsia="Times New Roman" w:cs="Calibri"/>
                <w:color w:val="000000"/>
                <w:sz w:val="22"/>
                <w:lang w:eastAsia="en-GB"/>
              </w:rPr>
              <w:t>4.8%</w:t>
            </w:r>
          </w:p>
        </w:tc>
        <w:tc>
          <w:tcPr>
            <w:tcW w:w="1841" w:type="dxa"/>
            <w:vAlign w:val="bottom"/>
          </w:tcPr>
          <w:p w14:paraId="07FF7EBD" w14:textId="77DEED24" w:rsidR="00AE346C" w:rsidRDefault="00AE346C" w:rsidP="00AE34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>
              <w:rPr>
                <w:rFonts w:eastAsia="Times New Roman" w:cs="Calibri"/>
                <w:color w:val="000000"/>
                <w:sz w:val="22"/>
                <w:lang w:eastAsia="en-GB"/>
              </w:rPr>
              <w:t>95.2%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FADCB75" w14:textId="629BBA30" w:rsidR="00AE346C" w:rsidRDefault="00AE346C" w:rsidP="00AE34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>
              <w:rPr>
                <w:rFonts w:eastAsia="Times New Roman" w:cs="Calibri"/>
                <w:color w:val="000000"/>
                <w:sz w:val="22"/>
                <w:lang w:eastAsia="en-GB"/>
              </w:rPr>
              <w:t>11.4%</w:t>
            </w:r>
          </w:p>
        </w:tc>
        <w:tc>
          <w:tcPr>
            <w:tcW w:w="1858" w:type="dxa"/>
            <w:shd w:val="clear" w:color="auto" w:fill="auto"/>
            <w:noWrap/>
            <w:vAlign w:val="bottom"/>
          </w:tcPr>
          <w:p w14:paraId="79634D8C" w14:textId="1744CB33" w:rsidR="00AE346C" w:rsidRDefault="00AE346C" w:rsidP="00AE34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n-GB"/>
              </w:rPr>
            </w:pPr>
            <w:r>
              <w:rPr>
                <w:rFonts w:eastAsia="Times New Roman" w:cs="Calibri"/>
                <w:color w:val="000000"/>
                <w:sz w:val="22"/>
                <w:lang w:eastAsia="en-GB"/>
              </w:rPr>
              <w:t>88.6%</w:t>
            </w:r>
          </w:p>
        </w:tc>
      </w:tr>
      <w:tr w:rsidR="00AE346C" w14:paraId="729B548E" w14:textId="77777777" w:rsidTr="006F561F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</w:tcPr>
          <w:p w14:paraId="133A9E68" w14:textId="77777777" w:rsidR="00AE346C" w:rsidRDefault="00AE346C" w:rsidP="00AE34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lang w:eastAsia="en-GB"/>
              </w:rPr>
            </w:pPr>
            <w:proofErr w:type="gramStart"/>
            <w:r>
              <w:rPr>
                <w:rFonts w:eastAsia="Times New Roman" w:cs="Calibri"/>
                <w:color w:val="000000"/>
                <w:sz w:val="22"/>
                <w:lang w:eastAsia="en-GB"/>
              </w:rPr>
              <w:t>Pre Formal</w:t>
            </w:r>
            <w:proofErr w:type="gramEnd"/>
          </w:p>
        </w:tc>
        <w:tc>
          <w:tcPr>
            <w:tcW w:w="1599" w:type="dxa"/>
            <w:vAlign w:val="bottom"/>
          </w:tcPr>
          <w:p w14:paraId="4ADBC3C9" w14:textId="2BCDB766" w:rsidR="00AE346C" w:rsidRPr="002055A1" w:rsidRDefault="00AE346C" w:rsidP="00AE346C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2"/>
                <w:lang w:eastAsia="en-GB"/>
              </w:rPr>
            </w:pPr>
            <w:r>
              <w:rPr>
                <w:rFonts w:eastAsia="Times New Roman" w:cs="Calibri"/>
                <w:bCs/>
                <w:color w:val="000000"/>
                <w:sz w:val="22"/>
                <w:lang w:eastAsia="en-GB"/>
              </w:rPr>
              <w:t>8.6%</w:t>
            </w:r>
          </w:p>
        </w:tc>
        <w:tc>
          <w:tcPr>
            <w:tcW w:w="1841" w:type="dxa"/>
            <w:vAlign w:val="bottom"/>
          </w:tcPr>
          <w:p w14:paraId="6BF2E536" w14:textId="1AE6BAB0" w:rsidR="00AE346C" w:rsidRPr="002055A1" w:rsidRDefault="00AE346C" w:rsidP="00AE346C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2"/>
                <w:lang w:eastAsia="en-GB"/>
              </w:rPr>
            </w:pPr>
            <w:r>
              <w:rPr>
                <w:rFonts w:eastAsia="Times New Roman" w:cs="Calibri"/>
                <w:bCs/>
                <w:color w:val="000000"/>
                <w:sz w:val="22"/>
                <w:lang w:eastAsia="en-GB"/>
              </w:rPr>
              <w:t>91.4%</w:t>
            </w:r>
          </w:p>
        </w:tc>
        <w:tc>
          <w:tcPr>
            <w:tcW w:w="1720" w:type="dxa"/>
            <w:noWrap/>
            <w:vAlign w:val="bottom"/>
          </w:tcPr>
          <w:p w14:paraId="605037BC" w14:textId="7A497432" w:rsidR="00AE346C" w:rsidRDefault="00AE346C" w:rsidP="00AE346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eastAsia="Times New Roman" w:cs="Calibri"/>
                <w:bCs/>
                <w:color w:val="000000"/>
                <w:sz w:val="22"/>
                <w:lang w:eastAsia="en-GB"/>
              </w:rPr>
              <w:t>24.4%</w:t>
            </w:r>
          </w:p>
        </w:tc>
        <w:tc>
          <w:tcPr>
            <w:tcW w:w="1858" w:type="dxa"/>
            <w:noWrap/>
            <w:vAlign w:val="bottom"/>
          </w:tcPr>
          <w:p w14:paraId="00770F87" w14:textId="464EA4CB" w:rsidR="00AE346C" w:rsidRDefault="00AE346C" w:rsidP="00AE346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eastAsia="Times New Roman" w:cs="Calibri"/>
                <w:bCs/>
                <w:color w:val="000000"/>
                <w:sz w:val="22"/>
                <w:lang w:eastAsia="en-GB"/>
              </w:rPr>
              <w:t>75.6%</w:t>
            </w:r>
          </w:p>
        </w:tc>
      </w:tr>
      <w:tr w:rsidR="00AE346C" w14:paraId="18B129B6" w14:textId="77777777" w:rsidTr="006F561F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</w:tcPr>
          <w:p w14:paraId="4C07B35D" w14:textId="77777777" w:rsidR="00AE346C" w:rsidRDefault="00AE346C" w:rsidP="00AE34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lang w:eastAsia="en-GB"/>
              </w:rPr>
              <w:t>Grand Total</w:t>
            </w:r>
          </w:p>
        </w:tc>
        <w:tc>
          <w:tcPr>
            <w:tcW w:w="1599" w:type="dxa"/>
            <w:vAlign w:val="bottom"/>
          </w:tcPr>
          <w:p w14:paraId="5E78CBD4" w14:textId="6EEF75BF" w:rsidR="00AE346C" w:rsidRDefault="00AE346C" w:rsidP="00AE346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lang w:eastAsia="en-GB"/>
              </w:rPr>
              <w:t>7.3%</w:t>
            </w:r>
          </w:p>
        </w:tc>
        <w:tc>
          <w:tcPr>
            <w:tcW w:w="1841" w:type="dxa"/>
            <w:vAlign w:val="bottom"/>
          </w:tcPr>
          <w:p w14:paraId="5B306413" w14:textId="3E0B0B56" w:rsidR="00AE346C" w:rsidRDefault="00AE346C" w:rsidP="00AE346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lang w:eastAsia="en-GB"/>
              </w:rPr>
              <w:t>92.7%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A7C017E" w14:textId="079282A6" w:rsidR="00AE346C" w:rsidRDefault="00AE346C" w:rsidP="00AE346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lang w:eastAsia="en-GB"/>
              </w:rPr>
              <w:t>12%</w:t>
            </w:r>
          </w:p>
        </w:tc>
        <w:tc>
          <w:tcPr>
            <w:tcW w:w="1858" w:type="dxa"/>
            <w:shd w:val="clear" w:color="auto" w:fill="auto"/>
            <w:noWrap/>
            <w:vAlign w:val="bottom"/>
          </w:tcPr>
          <w:p w14:paraId="325241C0" w14:textId="238E9B62" w:rsidR="00AE346C" w:rsidRDefault="00AE346C" w:rsidP="00AE346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lang w:eastAsia="en-GB"/>
              </w:rPr>
              <w:t>88%</w:t>
            </w:r>
          </w:p>
        </w:tc>
      </w:tr>
    </w:tbl>
    <w:p w14:paraId="5F99DF1E" w14:textId="77777777" w:rsidR="00571A9F" w:rsidRDefault="00571A9F" w:rsidP="00571A9F">
      <w:pPr>
        <w:jc w:val="center"/>
        <w:rPr>
          <w:u w:val="single"/>
        </w:rPr>
      </w:pPr>
    </w:p>
    <w:p w14:paraId="667BDC55" w14:textId="37DBCFE4" w:rsidR="006D3920" w:rsidRDefault="00AE346C" w:rsidP="00571A9F">
      <w:r>
        <w:t xml:space="preserve">Across all the domains, the data shows </w:t>
      </w:r>
      <w:r w:rsidR="006D3920">
        <w:t xml:space="preserve">an improvement in the proportion of targets identified as being ‘On Track’; with the most significant improvement within the </w:t>
      </w:r>
      <w:proofErr w:type="spellStart"/>
      <w:r w:rsidR="006D3920">
        <w:t>Preformal</w:t>
      </w:r>
      <w:proofErr w:type="spellEnd"/>
      <w:r w:rsidR="006D3920">
        <w:t xml:space="preserve"> Pathway.</w:t>
      </w:r>
    </w:p>
    <w:p w14:paraId="06C329E2" w14:textId="1CF9CAEB" w:rsidR="006D3920" w:rsidRDefault="006D3920" w:rsidP="00571A9F">
      <w:r>
        <w:t xml:space="preserve">The </w:t>
      </w:r>
      <w:proofErr w:type="spellStart"/>
      <w:r>
        <w:t>Preformal</w:t>
      </w:r>
      <w:proofErr w:type="spellEnd"/>
      <w:r>
        <w:t xml:space="preserve"> Pathway has recently been subject to a full review and restructure; including the removal of accreditation, the removal of chronological age groups and the embedding of the EQUALS curriculum. Provision and target setting has become more appropriate in this area. </w:t>
      </w:r>
    </w:p>
    <w:p w14:paraId="5AF0D6AE" w14:textId="1E51C40F" w:rsidR="00571A9F" w:rsidRDefault="00571A9F" w:rsidP="00571A9F"/>
    <w:p w14:paraId="41DB3C34" w14:textId="77777777" w:rsidR="00694CF8" w:rsidRDefault="00694CF8" w:rsidP="00571A9F"/>
    <w:p w14:paraId="79AF9133" w14:textId="5F62479D" w:rsidR="006D3920" w:rsidRDefault="006D3920" w:rsidP="00571A9F"/>
    <w:p w14:paraId="2DC3FE5A" w14:textId="57621490" w:rsidR="006D3920" w:rsidRDefault="006D3920" w:rsidP="00571A9F">
      <w:pPr>
        <w:rPr>
          <w:b/>
          <w:bCs/>
        </w:rPr>
      </w:pPr>
      <w:r>
        <w:rPr>
          <w:b/>
          <w:bCs/>
        </w:rPr>
        <w:lastRenderedPageBreak/>
        <w:t>Analysis of Maths and Reading Targets</w:t>
      </w:r>
    </w:p>
    <w:p w14:paraId="68BBB526" w14:textId="2FDE1FD1" w:rsidR="006D3920" w:rsidRDefault="006D3920" w:rsidP="00571A9F">
      <w:r>
        <w:t xml:space="preserve">In response to advice from the School Improvement Advisor, subject-specific analysis has taken place for the first time in the Spring Term. </w:t>
      </w:r>
      <w:r w:rsidR="000C1069">
        <w:t>The school will continue to analyse assessment data from Maths and Reading in order for the school to drive improvements in these key areas.</w:t>
      </w:r>
    </w:p>
    <w:p w14:paraId="1703FCB5" w14:textId="18968226" w:rsidR="006D3920" w:rsidRDefault="000C1069" w:rsidP="00571A9F">
      <w:r>
        <w:t xml:space="preserve">Analysing the data from the two subjects, indicates Maths and Reading sit slightly below </w:t>
      </w:r>
      <w:r>
        <w:t>the overall school performance</w:t>
      </w:r>
      <w:r>
        <w:t xml:space="preserve">. However, there is little disparity between the subjects. </w:t>
      </w: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2060"/>
        <w:gridCol w:w="2193"/>
        <w:gridCol w:w="2268"/>
        <w:gridCol w:w="2500"/>
      </w:tblGrid>
      <w:tr w:rsidR="000C1069" w14:paraId="0C33299A" w14:textId="77777777" w:rsidTr="003936C4"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A69CBE" w14:textId="77777777" w:rsidR="000C1069" w:rsidRDefault="000C1069" w:rsidP="003936C4">
            <w:pPr>
              <w:jc w:val="center"/>
              <w:rPr>
                <w:b/>
              </w:rPr>
            </w:pPr>
          </w:p>
        </w:tc>
        <w:tc>
          <w:tcPr>
            <w:tcW w:w="69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BD81890" w14:textId="77777777" w:rsidR="000C1069" w:rsidRDefault="000C1069" w:rsidP="003936C4">
            <w:pPr>
              <w:jc w:val="center"/>
              <w:rPr>
                <w:rFonts w:eastAsia="Times New Roman" w:cs="Calibri"/>
                <w:b/>
                <w:sz w:val="22"/>
                <w:lang w:eastAsia="en-GB"/>
              </w:rPr>
            </w:pPr>
            <w:r>
              <w:rPr>
                <w:rFonts w:eastAsia="Times New Roman" w:cs="Calibri"/>
                <w:b/>
                <w:sz w:val="22"/>
                <w:lang w:eastAsia="en-GB"/>
              </w:rPr>
              <w:t>Spring 2022-23</w:t>
            </w:r>
          </w:p>
        </w:tc>
      </w:tr>
      <w:tr w:rsidR="000C1069" w:rsidRPr="002C12E7" w14:paraId="109CF0CF" w14:textId="77777777" w:rsidTr="003936C4"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FB1E5" w14:textId="77777777" w:rsidR="000C1069" w:rsidRDefault="000C1069" w:rsidP="003936C4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E85377" w14:textId="2B68A98C" w:rsidR="000C1069" w:rsidRPr="002C12E7" w:rsidRDefault="000C1069" w:rsidP="003936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Maths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6D6DBB0" w14:textId="2F613085" w:rsidR="000C1069" w:rsidRPr="002C12E7" w:rsidRDefault="000C1069" w:rsidP="003936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Reading</w:t>
            </w: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BB6D883" w14:textId="355D0647" w:rsidR="000C1069" w:rsidRDefault="000C1069" w:rsidP="003936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Overall School Performance</w:t>
            </w:r>
          </w:p>
        </w:tc>
      </w:tr>
      <w:tr w:rsidR="000C1069" w:rsidRPr="002C12E7" w14:paraId="5AC6A7C4" w14:textId="77777777" w:rsidTr="003936C4">
        <w:tc>
          <w:tcPr>
            <w:tcW w:w="2060" w:type="dxa"/>
            <w:tcBorders>
              <w:top w:val="single" w:sz="4" w:space="0" w:color="auto"/>
            </w:tcBorders>
          </w:tcPr>
          <w:p w14:paraId="6FCEF928" w14:textId="77777777" w:rsidR="000C1069" w:rsidRPr="002C12E7" w:rsidRDefault="000C1069" w:rsidP="003936C4">
            <w:pPr>
              <w:jc w:val="center"/>
              <w:rPr>
                <w:sz w:val="22"/>
                <w:szCs w:val="20"/>
              </w:rPr>
            </w:pPr>
            <w:r w:rsidRPr="002C12E7">
              <w:rPr>
                <w:sz w:val="22"/>
                <w:szCs w:val="20"/>
              </w:rPr>
              <w:t>Not On Track</w:t>
            </w:r>
          </w:p>
        </w:tc>
        <w:tc>
          <w:tcPr>
            <w:tcW w:w="2193" w:type="dxa"/>
          </w:tcPr>
          <w:p w14:paraId="72396A11" w14:textId="6A696709" w:rsidR="000C1069" w:rsidRPr="002C12E7" w:rsidRDefault="000C1069" w:rsidP="003936C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9.34%</w:t>
            </w:r>
          </w:p>
        </w:tc>
        <w:tc>
          <w:tcPr>
            <w:tcW w:w="2268" w:type="dxa"/>
          </w:tcPr>
          <w:p w14:paraId="1FA6F5CE" w14:textId="3A89AF36" w:rsidR="000C1069" w:rsidRPr="002C12E7" w:rsidRDefault="000C1069" w:rsidP="003936C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11.11%</w:t>
            </w:r>
          </w:p>
        </w:tc>
        <w:tc>
          <w:tcPr>
            <w:tcW w:w="2500" w:type="dxa"/>
          </w:tcPr>
          <w:p w14:paraId="63309B67" w14:textId="77777777" w:rsidR="000C1069" w:rsidRDefault="000C1069" w:rsidP="003936C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7.3%</w:t>
            </w:r>
          </w:p>
        </w:tc>
      </w:tr>
      <w:tr w:rsidR="000C1069" w:rsidRPr="002C12E7" w14:paraId="08937BBE" w14:textId="77777777" w:rsidTr="003936C4">
        <w:tc>
          <w:tcPr>
            <w:tcW w:w="2060" w:type="dxa"/>
          </w:tcPr>
          <w:p w14:paraId="121EF2E2" w14:textId="77777777" w:rsidR="000C1069" w:rsidRPr="002C12E7" w:rsidRDefault="000C1069" w:rsidP="003936C4">
            <w:pPr>
              <w:jc w:val="center"/>
              <w:rPr>
                <w:sz w:val="22"/>
                <w:szCs w:val="20"/>
              </w:rPr>
            </w:pPr>
            <w:r w:rsidRPr="002C12E7">
              <w:rPr>
                <w:sz w:val="22"/>
                <w:szCs w:val="20"/>
              </w:rPr>
              <w:t>On Track</w:t>
            </w:r>
          </w:p>
        </w:tc>
        <w:tc>
          <w:tcPr>
            <w:tcW w:w="2193" w:type="dxa"/>
          </w:tcPr>
          <w:p w14:paraId="48587210" w14:textId="2D0CA688" w:rsidR="000C1069" w:rsidRPr="002C12E7" w:rsidRDefault="000C1069" w:rsidP="003936C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90.66%</w:t>
            </w:r>
          </w:p>
        </w:tc>
        <w:tc>
          <w:tcPr>
            <w:tcW w:w="2268" w:type="dxa"/>
          </w:tcPr>
          <w:p w14:paraId="041C9EDE" w14:textId="43230E39" w:rsidR="000C1069" w:rsidRPr="002C12E7" w:rsidRDefault="000C1069" w:rsidP="003936C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88.89%</w:t>
            </w:r>
          </w:p>
        </w:tc>
        <w:tc>
          <w:tcPr>
            <w:tcW w:w="2500" w:type="dxa"/>
          </w:tcPr>
          <w:p w14:paraId="59074FF6" w14:textId="77777777" w:rsidR="000C1069" w:rsidRDefault="000C1069" w:rsidP="003936C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92.7%</w:t>
            </w:r>
          </w:p>
        </w:tc>
      </w:tr>
    </w:tbl>
    <w:p w14:paraId="2351E93E" w14:textId="64307C53" w:rsidR="000C1069" w:rsidRDefault="000C1069" w:rsidP="00571A9F"/>
    <w:p w14:paraId="331E6175" w14:textId="77777777" w:rsidR="000C1069" w:rsidRDefault="000C1069" w:rsidP="00571A9F"/>
    <w:p w14:paraId="1BA0C229" w14:textId="77777777" w:rsidR="000C1069" w:rsidRPr="006D3920" w:rsidRDefault="000C1069" w:rsidP="00571A9F"/>
    <w:sectPr w:rsidR="000C1069" w:rsidRPr="006D3920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24A36" w14:textId="77777777" w:rsidR="00761C1D" w:rsidRDefault="00761C1D">
      <w:pPr>
        <w:spacing w:after="0" w:line="240" w:lineRule="auto"/>
      </w:pPr>
      <w:r>
        <w:separator/>
      </w:r>
    </w:p>
  </w:endnote>
  <w:endnote w:type="continuationSeparator" w:id="0">
    <w:p w14:paraId="6FD7BAA6" w14:textId="77777777" w:rsidR="00761C1D" w:rsidRDefault="0076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6594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B30CF0" w14:textId="77777777" w:rsidR="00302B87" w:rsidRDefault="00302B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C1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A044886" w14:textId="77777777" w:rsidR="00302B87" w:rsidRDefault="00302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624A" w14:textId="77777777" w:rsidR="00761C1D" w:rsidRDefault="00761C1D">
      <w:pPr>
        <w:spacing w:after="0" w:line="240" w:lineRule="auto"/>
      </w:pPr>
      <w:r>
        <w:separator/>
      </w:r>
    </w:p>
  </w:footnote>
  <w:footnote w:type="continuationSeparator" w:id="0">
    <w:p w14:paraId="6D869F50" w14:textId="77777777" w:rsidR="00761C1D" w:rsidRDefault="00761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04FE"/>
    <w:multiLevelType w:val="hybridMultilevel"/>
    <w:tmpl w:val="0916D8F0"/>
    <w:lvl w:ilvl="0" w:tplc="33BC04AE">
      <w:start w:val="10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9C0B5D"/>
    <w:multiLevelType w:val="hybridMultilevel"/>
    <w:tmpl w:val="0ED2E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D3B33"/>
    <w:multiLevelType w:val="hybridMultilevel"/>
    <w:tmpl w:val="605048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05A27"/>
    <w:multiLevelType w:val="hybridMultilevel"/>
    <w:tmpl w:val="E8B4B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45076"/>
    <w:multiLevelType w:val="hybridMultilevel"/>
    <w:tmpl w:val="1E7E1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47E9"/>
    <w:multiLevelType w:val="hybridMultilevel"/>
    <w:tmpl w:val="FFD89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46660"/>
    <w:multiLevelType w:val="hybridMultilevel"/>
    <w:tmpl w:val="68C4C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57CC2"/>
    <w:multiLevelType w:val="hybridMultilevel"/>
    <w:tmpl w:val="8362D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BC04AE">
      <w:start w:val="10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671C1"/>
    <w:multiLevelType w:val="hybridMultilevel"/>
    <w:tmpl w:val="08CA7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BC04AE">
      <w:start w:val="10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747A4"/>
    <w:multiLevelType w:val="hybridMultilevel"/>
    <w:tmpl w:val="55B2F3DE"/>
    <w:lvl w:ilvl="0" w:tplc="33BC04AE">
      <w:start w:val="10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4676D7"/>
    <w:multiLevelType w:val="hybridMultilevel"/>
    <w:tmpl w:val="605048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86C94"/>
    <w:multiLevelType w:val="hybridMultilevel"/>
    <w:tmpl w:val="4842763C"/>
    <w:lvl w:ilvl="0" w:tplc="96B2A194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12208D"/>
    <w:multiLevelType w:val="hybridMultilevel"/>
    <w:tmpl w:val="395E16AE"/>
    <w:lvl w:ilvl="0" w:tplc="F98C2978">
      <w:start w:val="2019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C07243"/>
    <w:multiLevelType w:val="hybridMultilevel"/>
    <w:tmpl w:val="FF24C5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86E2C"/>
    <w:multiLevelType w:val="hybridMultilevel"/>
    <w:tmpl w:val="F7066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95883"/>
    <w:multiLevelType w:val="hybridMultilevel"/>
    <w:tmpl w:val="D4764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14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934"/>
    <w:rsid w:val="00005122"/>
    <w:rsid w:val="00031FED"/>
    <w:rsid w:val="00040DC9"/>
    <w:rsid w:val="00046ECF"/>
    <w:rsid w:val="0004745D"/>
    <w:rsid w:val="0005213A"/>
    <w:rsid w:val="00070C09"/>
    <w:rsid w:val="0007683A"/>
    <w:rsid w:val="0008249E"/>
    <w:rsid w:val="00086B69"/>
    <w:rsid w:val="0009637C"/>
    <w:rsid w:val="000B122F"/>
    <w:rsid w:val="000C1069"/>
    <w:rsid w:val="000E4DFC"/>
    <w:rsid w:val="000E57EB"/>
    <w:rsid w:val="000F29F6"/>
    <w:rsid w:val="0010280A"/>
    <w:rsid w:val="00121C7A"/>
    <w:rsid w:val="00141718"/>
    <w:rsid w:val="00154D86"/>
    <w:rsid w:val="00160AC6"/>
    <w:rsid w:val="00160E36"/>
    <w:rsid w:val="001645A5"/>
    <w:rsid w:val="001775DE"/>
    <w:rsid w:val="001925AC"/>
    <w:rsid w:val="001A42D7"/>
    <w:rsid w:val="001A4FF6"/>
    <w:rsid w:val="001C5919"/>
    <w:rsid w:val="001D7349"/>
    <w:rsid w:val="00200700"/>
    <w:rsid w:val="002055A1"/>
    <w:rsid w:val="00205A93"/>
    <w:rsid w:val="00245BBD"/>
    <w:rsid w:val="002471B0"/>
    <w:rsid w:val="00262A2E"/>
    <w:rsid w:val="0027334C"/>
    <w:rsid w:val="002747CD"/>
    <w:rsid w:val="00276CA3"/>
    <w:rsid w:val="00281C00"/>
    <w:rsid w:val="00282C86"/>
    <w:rsid w:val="00284F54"/>
    <w:rsid w:val="002A012C"/>
    <w:rsid w:val="002B1410"/>
    <w:rsid w:val="002C0421"/>
    <w:rsid w:val="002C12E7"/>
    <w:rsid w:val="002C6B0C"/>
    <w:rsid w:val="00302B87"/>
    <w:rsid w:val="003043CD"/>
    <w:rsid w:val="00316F09"/>
    <w:rsid w:val="00323294"/>
    <w:rsid w:val="0033587F"/>
    <w:rsid w:val="0034143B"/>
    <w:rsid w:val="00350FE0"/>
    <w:rsid w:val="00353D75"/>
    <w:rsid w:val="00363802"/>
    <w:rsid w:val="003B00DA"/>
    <w:rsid w:val="003D3516"/>
    <w:rsid w:val="003D367A"/>
    <w:rsid w:val="003E09B2"/>
    <w:rsid w:val="003E286A"/>
    <w:rsid w:val="004014E9"/>
    <w:rsid w:val="004024A9"/>
    <w:rsid w:val="004116D1"/>
    <w:rsid w:val="00447FA8"/>
    <w:rsid w:val="004526C4"/>
    <w:rsid w:val="004566D1"/>
    <w:rsid w:val="00460E9B"/>
    <w:rsid w:val="00463C29"/>
    <w:rsid w:val="00472AF6"/>
    <w:rsid w:val="00474CD2"/>
    <w:rsid w:val="004B1DA2"/>
    <w:rsid w:val="004D0F4B"/>
    <w:rsid w:val="004E119A"/>
    <w:rsid w:val="004F1283"/>
    <w:rsid w:val="005011D2"/>
    <w:rsid w:val="00511D91"/>
    <w:rsid w:val="00514858"/>
    <w:rsid w:val="00536FFE"/>
    <w:rsid w:val="00570D8E"/>
    <w:rsid w:val="00571A9F"/>
    <w:rsid w:val="00573440"/>
    <w:rsid w:val="005A3520"/>
    <w:rsid w:val="005C1994"/>
    <w:rsid w:val="005C44F5"/>
    <w:rsid w:val="005F05D1"/>
    <w:rsid w:val="005F0618"/>
    <w:rsid w:val="005F2D32"/>
    <w:rsid w:val="005F60C5"/>
    <w:rsid w:val="0060661A"/>
    <w:rsid w:val="006253CF"/>
    <w:rsid w:val="00632F91"/>
    <w:rsid w:val="00636074"/>
    <w:rsid w:val="0063762B"/>
    <w:rsid w:val="00650AE0"/>
    <w:rsid w:val="00650CD7"/>
    <w:rsid w:val="00655953"/>
    <w:rsid w:val="006661FB"/>
    <w:rsid w:val="00666F8B"/>
    <w:rsid w:val="0067093D"/>
    <w:rsid w:val="00670E0C"/>
    <w:rsid w:val="00675C82"/>
    <w:rsid w:val="0068332E"/>
    <w:rsid w:val="00694CF8"/>
    <w:rsid w:val="0069589D"/>
    <w:rsid w:val="006B65D5"/>
    <w:rsid w:val="006C01F3"/>
    <w:rsid w:val="006C2858"/>
    <w:rsid w:val="006C5273"/>
    <w:rsid w:val="006D16E2"/>
    <w:rsid w:val="006D3920"/>
    <w:rsid w:val="006D5005"/>
    <w:rsid w:val="006E2962"/>
    <w:rsid w:val="006E2E54"/>
    <w:rsid w:val="006F4246"/>
    <w:rsid w:val="006F561F"/>
    <w:rsid w:val="00705A0F"/>
    <w:rsid w:val="0072094D"/>
    <w:rsid w:val="00741485"/>
    <w:rsid w:val="0075227B"/>
    <w:rsid w:val="00760947"/>
    <w:rsid w:val="00761C1D"/>
    <w:rsid w:val="00762CF2"/>
    <w:rsid w:val="007659B5"/>
    <w:rsid w:val="00780388"/>
    <w:rsid w:val="00781C56"/>
    <w:rsid w:val="00783D07"/>
    <w:rsid w:val="007858DA"/>
    <w:rsid w:val="007918A7"/>
    <w:rsid w:val="00792C97"/>
    <w:rsid w:val="00795CFC"/>
    <w:rsid w:val="0079762D"/>
    <w:rsid w:val="007A02DF"/>
    <w:rsid w:val="007B26D2"/>
    <w:rsid w:val="007C351A"/>
    <w:rsid w:val="007F0DE3"/>
    <w:rsid w:val="007F534D"/>
    <w:rsid w:val="00813B28"/>
    <w:rsid w:val="00826D58"/>
    <w:rsid w:val="00846CB7"/>
    <w:rsid w:val="00853051"/>
    <w:rsid w:val="00874FF9"/>
    <w:rsid w:val="00877CEE"/>
    <w:rsid w:val="008B45F1"/>
    <w:rsid w:val="008B4B8C"/>
    <w:rsid w:val="008B5992"/>
    <w:rsid w:val="008C0338"/>
    <w:rsid w:val="008C6DF9"/>
    <w:rsid w:val="008D3271"/>
    <w:rsid w:val="008D51F9"/>
    <w:rsid w:val="008E6FDB"/>
    <w:rsid w:val="009050C8"/>
    <w:rsid w:val="0091336D"/>
    <w:rsid w:val="00917C3A"/>
    <w:rsid w:val="00932E45"/>
    <w:rsid w:val="00936C50"/>
    <w:rsid w:val="0093743F"/>
    <w:rsid w:val="009427C0"/>
    <w:rsid w:val="00952764"/>
    <w:rsid w:val="0096680C"/>
    <w:rsid w:val="00967268"/>
    <w:rsid w:val="00972B22"/>
    <w:rsid w:val="0098668B"/>
    <w:rsid w:val="009A25C7"/>
    <w:rsid w:val="009B10E4"/>
    <w:rsid w:val="009D6027"/>
    <w:rsid w:val="009F4376"/>
    <w:rsid w:val="009F7EE3"/>
    <w:rsid w:val="009F7F13"/>
    <w:rsid w:val="00A01AE8"/>
    <w:rsid w:val="00A033CE"/>
    <w:rsid w:val="00A27A28"/>
    <w:rsid w:val="00A412E7"/>
    <w:rsid w:val="00A41896"/>
    <w:rsid w:val="00A80312"/>
    <w:rsid w:val="00A84825"/>
    <w:rsid w:val="00A849C9"/>
    <w:rsid w:val="00AA5265"/>
    <w:rsid w:val="00AB1EDD"/>
    <w:rsid w:val="00AE0367"/>
    <w:rsid w:val="00AE346C"/>
    <w:rsid w:val="00AE60A0"/>
    <w:rsid w:val="00AF2A18"/>
    <w:rsid w:val="00B02435"/>
    <w:rsid w:val="00B20E71"/>
    <w:rsid w:val="00B52A55"/>
    <w:rsid w:val="00B564B5"/>
    <w:rsid w:val="00B73308"/>
    <w:rsid w:val="00BA3BC4"/>
    <w:rsid w:val="00BB755D"/>
    <w:rsid w:val="00BC2CEE"/>
    <w:rsid w:val="00BD08E1"/>
    <w:rsid w:val="00BD5934"/>
    <w:rsid w:val="00C06515"/>
    <w:rsid w:val="00C34D86"/>
    <w:rsid w:val="00C51C50"/>
    <w:rsid w:val="00C55052"/>
    <w:rsid w:val="00C84F5C"/>
    <w:rsid w:val="00C9138C"/>
    <w:rsid w:val="00C9193D"/>
    <w:rsid w:val="00C97FE7"/>
    <w:rsid w:val="00CA35F0"/>
    <w:rsid w:val="00CA5074"/>
    <w:rsid w:val="00CA6C10"/>
    <w:rsid w:val="00CC6DA2"/>
    <w:rsid w:val="00CF0F45"/>
    <w:rsid w:val="00CF4FA7"/>
    <w:rsid w:val="00CF7FDC"/>
    <w:rsid w:val="00D01E9E"/>
    <w:rsid w:val="00D04211"/>
    <w:rsid w:val="00D05463"/>
    <w:rsid w:val="00D238F2"/>
    <w:rsid w:val="00D30A81"/>
    <w:rsid w:val="00D357A2"/>
    <w:rsid w:val="00D62365"/>
    <w:rsid w:val="00D72B88"/>
    <w:rsid w:val="00D8652C"/>
    <w:rsid w:val="00D87101"/>
    <w:rsid w:val="00D971F2"/>
    <w:rsid w:val="00DA42F4"/>
    <w:rsid w:val="00DC449D"/>
    <w:rsid w:val="00DC49F5"/>
    <w:rsid w:val="00DE0ED5"/>
    <w:rsid w:val="00DE4463"/>
    <w:rsid w:val="00DF332D"/>
    <w:rsid w:val="00E01EE2"/>
    <w:rsid w:val="00E10298"/>
    <w:rsid w:val="00E16AE1"/>
    <w:rsid w:val="00E34BA2"/>
    <w:rsid w:val="00E418DB"/>
    <w:rsid w:val="00E45408"/>
    <w:rsid w:val="00E47732"/>
    <w:rsid w:val="00E53063"/>
    <w:rsid w:val="00E7416E"/>
    <w:rsid w:val="00E77600"/>
    <w:rsid w:val="00E815CD"/>
    <w:rsid w:val="00E922D2"/>
    <w:rsid w:val="00EA2B76"/>
    <w:rsid w:val="00EB2CF1"/>
    <w:rsid w:val="00EB531A"/>
    <w:rsid w:val="00ED12A5"/>
    <w:rsid w:val="00ED6285"/>
    <w:rsid w:val="00EF1260"/>
    <w:rsid w:val="00F04803"/>
    <w:rsid w:val="00F10DB5"/>
    <w:rsid w:val="00F129B6"/>
    <w:rsid w:val="00F17BD7"/>
    <w:rsid w:val="00F478D0"/>
    <w:rsid w:val="00F63ADC"/>
    <w:rsid w:val="00F71596"/>
    <w:rsid w:val="00F74D81"/>
    <w:rsid w:val="00F87C2E"/>
    <w:rsid w:val="00F96941"/>
    <w:rsid w:val="00FB0E39"/>
    <w:rsid w:val="00FB2C1A"/>
    <w:rsid w:val="00FC3071"/>
    <w:rsid w:val="00FC6AC8"/>
    <w:rsid w:val="00FD1673"/>
    <w:rsid w:val="00FE64B5"/>
    <w:rsid w:val="00FE76B0"/>
    <w:rsid w:val="00FF4D73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8BCD5"/>
  <w15:chartTrackingRefBased/>
  <w15:docId w15:val="{3FDBF9CA-604E-4EB8-840E-FC66186D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mds-svr-ads-001\Office%20Share\Admin\Senior%20Team\Sam%20Forbes\Previous%20Assesment%20Results\DATA%20March%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400" b="1" i="0" u="none" strike="noStrike" baseline="0">
                <a:effectLst/>
              </a:rPr>
              <a:t> </a:t>
            </a:r>
            <a:r>
              <a:rPr lang="en-GB" sz="1400" b="1" i="0" u="none" strike="noStrike" baseline="0">
                <a:solidFill>
                  <a:sysClr val="windowText" lastClr="000000"/>
                </a:solidFill>
                <a:effectLst/>
              </a:rPr>
              <a:t>‘Not On Track’ Breakdown</a:t>
            </a:r>
            <a:endParaRPr lang="en-GB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1.4035300447886546E-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2824783888315337E-2"/>
          <c:y val="0.22513900779467413"/>
          <c:w val="0.6308282355116569"/>
          <c:h val="0.523896031767360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A83-48DC-9314-69662080F7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A83-48DC-9314-69662080F7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A83-48DC-9314-69662080F7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A83-48DC-9314-69662080F72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A83-48DC-9314-69662080F72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A83-48DC-9314-69662080F72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'Chart 1 Domain'!$A$42:$A$47</c:f>
              <c:strCache>
                <c:ptCount val="6"/>
                <c:pt idx="0">
                  <c:v>1-Attendance </c:v>
                </c:pt>
                <c:pt idx="1">
                  <c:v>3-Emotional</c:v>
                </c:pt>
                <c:pt idx="2">
                  <c:v>4-Resources / training</c:v>
                </c:pt>
                <c:pt idx="3">
                  <c:v>5-Inappropriate expectation</c:v>
                </c:pt>
                <c:pt idx="4">
                  <c:v>6-Unable to make provision</c:v>
                </c:pt>
                <c:pt idx="5">
                  <c:v>7-Staffing inconsistencies</c:v>
                </c:pt>
              </c:strCache>
            </c:strRef>
          </c:cat>
          <c:val>
            <c:numRef>
              <c:f>'Chart 1 Domain'!$B$42:$B$47</c:f>
              <c:numCache>
                <c:formatCode>General</c:formatCode>
                <c:ptCount val="6"/>
                <c:pt idx="0">
                  <c:v>33</c:v>
                </c:pt>
                <c:pt idx="1">
                  <c:v>21</c:v>
                </c:pt>
                <c:pt idx="2">
                  <c:v>6</c:v>
                </c:pt>
                <c:pt idx="3">
                  <c:v>28</c:v>
                </c:pt>
                <c:pt idx="4">
                  <c:v>7</c:v>
                </c:pt>
                <c:pt idx="5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A83-48DC-9314-69662080F7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Meadows Sports College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Forbes</dc:creator>
  <cp:keywords/>
  <dc:description/>
  <cp:lastModifiedBy>Graham Spencer</cp:lastModifiedBy>
  <cp:revision>3</cp:revision>
  <cp:lastPrinted>2022-05-26T07:21:00Z</cp:lastPrinted>
  <dcterms:created xsi:type="dcterms:W3CDTF">2023-05-18T14:09:00Z</dcterms:created>
  <dcterms:modified xsi:type="dcterms:W3CDTF">2023-05-18T14:50:00Z</dcterms:modified>
</cp:coreProperties>
</file>