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69" w:rsidRDefault="00566769" w:rsidP="00566769">
      <w:pPr>
        <w:jc w:val="center"/>
        <w:rPr>
          <w:sz w:val="44"/>
          <w:szCs w:val="44"/>
          <w:u w:val="single"/>
        </w:rPr>
      </w:pPr>
      <w:r w:rsidRPr="00566769">
        <w:rPr>
          <w:sz w:val="44"/>
          <w:szCs w:val="44"/>
          <w:u w:val="single"/>
        </w:rPr>
        <w:t xml:space="preserve">2019-20 </w:t>
      </w:r>
      <w:r w:rsidR="0039530A" w:rsidRPr="0066592E">
        <w:rPr>
          <w:sz w:val="44"/>
          <w:szCs w:val="44"/>
          <w:u w:val="single"/>
        </w:rPr>
        <w:t>Spring</w:t>
      </w:r>
      <w:r w:rsidRPr="00566769">
        <w:rPr>
          <w:sz w:val="44"/>
          <w:szCs w:val="44"/>
          <w:u w:val="single"/>
        </w:rPr>
        <w:t xml:space="preserve"> Term Data Report</w:t>
      </w:r>
    </w:p>
    <w:p w:rsidR="0017128D" w:rsidRPr="00566769" w:rsidRDefault="0017128D" w:rsidP="00566769">
      <w:pPr>
        <w:jc w:val="center"/>
        <w:rPr>
          <w:sz w:val="44"/>
          <w:szCs w:val="44"/>
          <w:u w:val="single"/>
        </w:rPr>
      </w:pPr>
    </w:p>
    <w:p w:rsidR="00566769" w:rsidRDefault="0066592E" w:rsidP="00566769">
      <w:pPr>
        <w:pStyle w:val="ListParagraph"/>
        <w:numPr>
          <w:ilvl w:val="0"/>
          <w:numId w:val="1"/>
        </w:numPr>
      </w:pPr>
      <w:r>
        <w:t>Second</w:t>
      </w:r>
      <w:r w:rsidR="00566769">
        <w:t xml:space="preserve"> report based on EHCP targets, not the obsolete P-Levels and National Progression Guidance. </w:t>
      </w:r>
    </w:p>
    <w:p w:rsidR="00C47F86" w:rsidRDefault="00566769" w:rsidP="00566769">
      <w:pPr>
        <w:pStyle w:val="ListParagraph"/>
        <w:numPr>
          <w:ilvl w:val="0"/>
          <w:numId w:val="1"/>
        </w:numPr>
      </w:pPr>
      <w:r>
        <w:t>Teachers re</w:t>
      </w:r>
      <w:r w:rsidR="00C47F86">
        <w:t xml:space="preserve">quired to make two judgements: </w:t>
      </w:r>
    </w:p>
    <w:p w:rsidR="00C47F86" w:rsidRDefault="00C47F86" w:rsidP="00C47F86">
      <w:pPr>
        <w:pStyle w:val="ListParagraph"/>
        <w:numPr>
          <w:ilvl w:val="0"/>
          <w:numId w:val="3"/>
        </w:numPr>
      </w:pPr>
      <w:r>
        <w:t>F</w:t>
      </w:r>
      <w:r w:rsidR="00566769">
        <w:t>or each EHCP target</w:t>
      </w:r>
      <w:r w:rsidR="007A3CC0">
        <w:t>,</w:t>
      </w:r>
      <w:r w:rsidR="00C765E3">
        <w:t xml:space="preserve"> </w:t>
      </w:r>
      <w:r w:rsidR="00566769">
        <w:t xml:space="preserve">is the student ‘on track’ to reach their ‘expected outcome’? </w:t>
      </w:r>
    </w:p>
    <w:p w:rsidR="00566769" w:rsidRDefault="00566769" w:rsidP="00C765E3">
      <w:pPr>
        <w:pStyle w:val="ListParagraph"/>
        <w:numPr>
          <w:ilvl w:val="0"/>
          <w:numId w:val="3"/>
        </w:numPr>
      </w:pPr>
      <w:r>
        <w:t>If the student is ‘not on track’, why?</w:t>
      </w:r>
    </w:p>
    <w:p w:rsidR="00566769" w:rsidRDefault="00566769" w:rsidP="00566769">
      <w:pPr>
        <w:pStyle w:val="ListParagraph"/>
        <w:numPr>
          <w:ilvl w:val="0"/>
          <w:numId w:val="1"/>
        </w:numPr>
      </w:pPr>
      <w:r>
        <w:t>Teachers</w:t>
      </w:r>
      <w:r w:rsidR="003A7E9D">
        <w:t>’</w:t>
      </w:r>
      <w:r>
        <w:t xml:space="preserve"> judgements</w:t>
      </w:r>
      <w:r w:rsidR="0066592E">
        <w:t xml:space="preserve"> required to be evidence-based.</w:t>
      </w:r>
    </w:p>
    <w:p w:rsidR="00566769" w:rsidRDefault="00566769" w:rsidP="00566769">
      <w:pPr>
        <w:pStyle w:val="ListParagraph"/>
        <w:numPr>
          <w:ilvl w:val="0"/>
          <w:numId w:val="1"/>
        </w:numPr>
      </w:pPr>
      <w:r>
        <w:t>The data presented in this report is analysed against three criteria:</w:t>
      </w:r>
      <w:r w:rsidR="00C47F86">
        <w:t xml:space="preserve"> </w:t>
      </w:r>
      <w:r>
        <w:t xml:space="preserve">EHCP domain, Pathway (in line with our curriculum model) and by Pupil Premium. </w:t>
      </w:r>
    </w:p>
    <w:p w:rsidR="00566769" w:rsidRDefault="00DD0223" w:rsidP="0066592E">
      <w:pPr>
        <w:pStyle w:val="ListParagraph"/>
        <w:numPr>
          <w:ilvl w:val="0"/>
          <w:numId w:val="1"/>
        </w:numPr>
      </w:pPr>
      <w:r>
        <w:t>The report is based on data returns fo</w:t>
      </w:r>
      <w:r w:rsidR="000510EF">
        <w:t xml:space="preserve">r </w:t>
      </w:r>
      <w:r w:rsidR="000510EF" w:rsidRPr="0066592E">
        <w:t>1</w:t>
      </w:r>
      <w:r w:rsidR="0039530A" w:rsidRPr="0066592E">
        <w:t>64</w:t>
      </w:r>
      <w:r w:rsidR="000510EF">
        <w:t xml:space="preserve"> </w:t>
      </w:r>
      <w:r w:rsidR="00C1147D">
        <w:t xml:space="preserve">students, compared to </w:t>
      </w:r>
      <w:proofErr w:type="gramStart"/>
      <w:r w:rsidR="00C1147D">
        <w:t>Autumn’s</w:t>
      </w:r>
      <w:proofErr w:type="gramEnd"/>
      <w:r w:rsidR="00C1147D">
        <w:t xml:space="preserve"> data set of 128</w:t>
      </w:r>
      <w:r>
        <w:t xml:space="preserve">. </w:t>
      </w:r>
      <w:r w:rsidR="00C1147D">
        <w:t>The small number of</w:t>
      </w:r>
      <w:r w:rsidR="003A7E9D">
        <w:t xml:space="preserve"> students not included in the report </w:t>
      </w:r>
      <w:r w:rsidR="00C1147D">
        <w:t>are</w:t>
      </w:r>
      <w:r w:rsidR="003A7E9D">
        <w:t xml:space="preserve"> new starters, or on roll but have not attended the site for a considerable per</w:t>
      </w:r>
      <w:r w:rsidR="00C765E3">
        <w:t xml:space="preserve">iod </w:t>
      </w:r>
      <w:r w:rsidR="003A7E9D">
        <w:t>(predominantly for medical issues), or suffering from degenerative conditions.</w:t>
      </w:r>
    </w:p>
    <w:p w:rsidR="007E4B9F" w:rsidRDefault="00C1147D" w:rsidP="0066592E">
      <w:pPr>
        <w:pStyle w:val="ListParagraph"/>
        <w:numPr>
          <w:ilvl w:val="0"/>
          <w:numId w:val="1"/>
        </w:numPr>
      </w:pPr>
      <w:r>
        <w:t xml:space="preserve">To aid analysis, data from </w:t>
      </w:r>
      <w:proofErr w:type="gramStart"/>
      <w:r>
        <w:t>Autumn’s</w:t>
      </w:r>
      <w:proofErr w:type="gramEnd"/>
      <w:r w:rsidR="007E4B9F">
        <w:t xml:space="preserve"> Governors’ repor</w:t>
      </w:r>
      <w:r>
        <w:t>t is included</w:t>
      </w:r>
      <w:r w:rsidR="007E4B9F">
        <w:t>.</w:t>
      </w:r>
    </w:p>
    <w:p w:rsidR="00566769" w:rsidRPr="000E5CE0" w:rsidRDefault="00566769">
      <w:pPr>
        <w:rPr>
          <w:u w:val="single"/>
        </w:rPr>
      </w:pPr>
      <w:r>
        <w:br w:type="page"/>
      </w:r>
      <w:r w:rsidRPr="000E5CE0">
        <w:rPr>
          <w:b/>
          <w:u w:val="single"/>
        </w:rPr>
        <w:lastRenderedPageBreak/>
        <w:t>Section 1 – EHCP Domain</w:t>
      </w:r>
    </w:p>
    <w:tbl>
      <w:tblPr>
        <w:tblpPr w:leftFromText="180" w:rightFromText="180" w:vertAnchor="page" w:horzAnchor="margin" w:tblpY="2026"/>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701"/>
        <w:gridCol w:w="1701"/>
        <w:gridCol w:w="1572"/>
      </w:tblGrid>
      <w:tr w:rsidR="00566769" w:rsidTr="00E01EB0">
        <w:trPr>
          <w:trHeight w:val="283"/>
        </w:trPr>
        <w:tc>
          <w:tcPr>
            <w:tcW w:w="4673" w:type="dxa"/>
            <w:shd w:val="clear" w:color="auto" w:fill="D9D9D9" w:themeFill="background1" w:themeFillShade="D9"/>
            <w:noWrap/>
            <w:vAlign w:val="bottom"/>
            <w:hideMark/>
          </w:tcPr>
          <w:p w:rsidR="00566769" w:rsidRPr="00E01EB0" w:rsidRDefault="00E01EB0" w:rsidP="00A52B0B">
            <w:pPr>
              <w:spacing w:after="0" w:line="240" w:lineRule="auto"/>
              <w:rPr>
                <w:rFonts w:eastAsia="Times New Roman" w:cs="Calibri"/>
                <w:b/>
                <w:sz w:val="22"/>
                <w:lang w:eastAsia="en-GB"/>
              </w:rPr>
            </w:pPr>
            <w:r w:rsidRPr="00E01EB0">
              <w:rPr>
                <w:rFonts w:eastAsia="Times New Roman" w:cs="Calibri"/>
                <w:b/>
                <w:sz w:val="22"/>
                <w:lang w:eastAsia="en-GB"/>
              </w:rPr>
              <w:t>EHCP Domains</w:t>
            </w:r>
          </w:p>
        </w:tc>
        <w:tc>
          <w:tcPr>
            <w:tcW w:w="1701" w:type="dxa"/>
            <w:shd w:val="clear" w:color="auto" w:fill="D9D9D9" w:themeFill="background1" w:themeFillShade="D9"/>
            <w:noWrap/>
            <w:vAlign w:val="bottom"/>
            <w:hideMark/>
          </w:tcPr>
          <w:p w:rsidR="00566769" w:rsidRPr="00E01EB0" w:rsidRDefault="00566769" w:rsidP="00A52B0B">
            <w:pPr>
              <w:spacing w:after="0" w:line="240" w:lineRule="auto"/>
              <w:jc w:val="center"/>
              <w:rPr>
                <w:rFonts w:eastAsia="Times New Roman" w:cs="Calibri"/>
                <w:b/>
                <w:sz w:val="22"/>
                <w:lang w:eastAsia="en-GB"/>
              </w:rPr>
            </w:pPr>
            <w:r w:rsidRPr="00E01EB0">
              <w:rPr>
                <w:rFonts w:eastAsia="Times New Roman" w:cs="Calibri"/>
                <w:b/>
                <w:sz w:val="22"/>
                <w:lang w:eastAsia="en-GB"/>
              </w:rPr>
              <w:t>Not on T</w:t>
            </w:r>
            <w:r w:rsidRPr="00E01EB0">
              <w:rPr>
                <w:b/>
                <w:sz w:val="22"/>
              </w:rPr>
              <w:t>rack</w:t>
            </w:r>
          </w:p>
        </w:tc>
        <w:tc>
          <w:tcPr>
            <w:tcW w:w="1701" w:type="dxa"/>
            <w:shd w:val="clear" w:color="auto" w:fill="D9D9D9" w:themeFill="background1" w:themeFillShade="D9"/>
            <w:noWrap/>
            <w:vAlign w:val="bottom"/>
            <w:hideMark/>
          </w:tcPr>
          <w:p w:rsidR="00566769" w:rsidRPr="00E01EB0" w:rsidRDefault="00566769" w:rsidP="00A52B0B">
            <w:pPr>
              <w:spacing w:after="0" w:line="240" w:lineRule="auto"/>
              <w:jc w:val="center"/>
              <w:rPr>
                <w:rFonts w:eastAsia="Times New Roman" w:cs="Calibri"/>
                <w:b/>
                <w:sz w:val="22"/>
                <w:lang w:eastAsia="en-GB"/>
              </w:rPr>
            </w:pPr>
            <w:r w:rsidRPr="00E01EB0">
              <w:rPr>
                <w:rFonts w:eastAsia="Times New Roman" w:cs="Calibri"/>
                <w:b/>
                <w:sz w:val="22"/>
                <w:lang w:eastAsia="en-GB"/>
              </w:rPr>
              <w:t>On T</w:t>
            </w:r>
            <w:r w:rsidRPr="00E01EB0">
              <w:rPr>
                <w:b/>
                <w:sz w:val="22"/>
              </w:rPr>
              <w:t>rack</w:t>
            </w:r>
          </w:p>
        </w:tc>
        <w:tc>
          <w:tcPr>
            <w:tcW w:w="1572" w:type="dxa"/>
            <w:shd w:val="clear" w:color="auto" w:fill="D9D9D9" w:themeFill="background1" w:themeFillShade="D9"/>
            <w:noWrap/>
            <w:vAlign w:val="bottom"/>
            <w:hideMark/>
          </w:tcPr>
          <w:p w:rsidR="00566769" w:rsidRPr="00E01EB0" w:rsidRDefault="00566769" w:rsidP="00A52B0B">
            <w:pPr>
              <w:spacing w:after="0" w:line="240" w:lineRule="auto"/>
              <w:jc w:val="center"/>
              <w:rPr>
                <w:rFonts w:eastAsia="Times New Roman" w:cs="Calibri"/>
                <w:b/>
                <w:sz w:val="22"/>
                <w:lang w:eastAsia="en-GB"/>
              </w:rPr>
            </w:pPr>
            <w:r w:rsidRPr="00E01EB0">
              <w:rPr>
                <w:rFonts w:eastAsia="Times New Roman" w:cs="Calibri"/>
                <w:b/>
                <w:sz w:val="22"/>
                <w:lang w:eastAsia="en-GB"/>
              </w:rPr>
              <w:t>Grand Total</w:t>
            </w:r>
          </w:p>
        </w:tc>
      </w:tr>
      <w:tr w:rsidR="00566769" w:rsidTr="00730FB7">
        <w:trPr>
          <w:trHeight w:val="283"/>
        </w:trPr>
        <w:tc>
          <w:tcPr>
            <w:tcW w:w="4673" w:type="dxa"/>
            <w:shd w:val="clear" w:color="auto" w:fill="auto"/>
            <w:noWrap/>
            <w:vAlign w:val="bottom"/>
            <w:hideMark/>
          </w:tcPr>
          <w:p w:rsidR="00566769" w:rsidRDefault="00566769" w:rsidP="00566769">
            <w:pPr>
              <w:spacing w:after="0" w:line="240" w:lineRule="auto"/>
              <w:rPr>
                <w:rFonts w:eastAsia="Times New Roman" w:cs="Calibri"/>
                <w:sz w:val="22"/>
                <w:lang w:eastAsia="en-GB"/>
              </w:rPr>
            </w:pPr>
            <w:r>
              <w:rPr>
                <w:rFonts w:eastAsia="Times New Roman" w:cs="Calibri"/>
                <w:sz w:val="22"/>
                <w:lang w:eastAsia="en-GB"/>
              </w:rPr>
              <w:t>C</w:t>
            </w:r>
            <w:r w:rsidR="00E01EB0">
              <w:rPr>
                <w:rFonts w:eastAsia="Times New Roman" w:cs="Calibri"/>
                <w:sz w:val="22"/>
                <w:lang w:eastAsia="en-GB"/>
              </w:rPr>
              <w:t>ognition and Learning</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35</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492</w:t>
            </w:r>
          </w:p>
        </w:tc>
        <w:tc>
          <w:tcPr>
            <w:tcW w:w="1572" w:type="dxa"/>
            <w:shd w:val="clear" w:color="auto" w:fill="auto"/>
            <w:noWrap/>
            <w:vAlign w:val="bottom"/>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31.3%</w:t>
            </w:r>
          </w:p>
        </w:tc>
      </w:tr>
      <w:tr w:rsidR="00566769" w:rsidTr="00730FB7">
        <w:trPr>
          <w:trHeight w:val="283"/>
        </w:trPr>
        <w:tc>
          <w:tcPr>
            <w:tcW w:w="4673" w:type="dxa"/>
            <w:shd w:val="clear" w:color="auto" w:fill="auto"/>
            <w:noWrap/>
            <w:vAlign w:val="bottom"/>
            <w:hideMark/>
          </w:tcPr>
          <w:p w:rsidR="00566769" w:rsidRDefault="00566769" w:rsidP="00566769">
            <w:pPr>
              <w:spacing w:after="0" w:line="240" w:lineRule="auto"/>
              <w:rPr>
                <w:rFonts w:eastAsia="Times New Roman" w:cs="Calibri"/>
                <w:sz w:val="22"/>
                <w:lang w:eastAsia="en-GB"/>
              </w:rPr>
            </w:pPr>
            <w:r>
              <w:rPr>
                <w:rFonts w:eastAsia="Times New Roman" w:cs="Calibri"/>
                <w:sz w:val="22"/>
                <w:lang w:eastAsia="en-GB"/>
              </w:rPr>
              <w:t>I</w:t>
            </w:r>
            <w:r w:rsidR="00E01EB0">
              <w:rPr>
                <w:rFonts w:eastAsia="Times New Roman" w:cs="Calibri"/>
                <w:sz w:val="22"/>
                <w:lang w:eastAsia="en-GB"/>
              </w:rPr>
              <w:t>ndependence</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40</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282</w:t>
            </w:r>
          </w:p>
        </w:tc>
        <w:tc>
          <w:tcPr>
            <w:tcW w:w="1572" w:type="dxa"/>
            <w:shd w:val="clear" w:color="auto" w:fill="auto"/>
            <w:noWrap/>
            <w:vAlign w:val="bottom"/>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19.1%</w:t>
            </w:r>
          </w:p>
        </w:tc>
      </w:tr>
      <w:tr w:rsidR="00566769" w:rsidTr="00730FB7">
        <w:trPr>
          <w:trHeight w:val="283"/>
        </w:trPr>
        <w:tc>
          <w:tcPr>
            <w:tcW w:w="4673" w:type="dxa"/>
            <w:shd w:val="clear" w:color="auto" w:fill="auto"/>
            <w:noWrap/>
            <w:vAlign w:val="bottom"/>
            <w:hideMark/>
          </w:tcPr>
          <w:p w:rsidR="00566769" w:rsidRDefault="00E01EB0" w:rsidP="00566769">
            <w:pPr>
              <w:spacing w:after="0" w:line="240" w:lineRule="auto"/>
              <w:rPr>
                <w:rFonts w:eastAsia="Times New Roman" w:cs="Calibri"/>
                <w:sz w:val="22"/>
                <w:lang w:eastAsia="en-GB"/>
              </w:rPr>
            </w:pPr>
            <w:r>
              <w:rPr>
                <w:rFonts w:eastAsia="Times New Roman" w:cs="Calibri"/>
                <w:sz w:val="22"/>
                <w:lang w:eastAsia="en-GB"/>
              </w:rPr>
              <w:t>Physical and Sensory</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28</w:t>
            </w:r>
          </w:p>
        </w:tc>
        <w:tc>
          <w:tcPr>
            <w:tcW w:w="1701" w:type="dxa"/>
            <w:shd w:val="clear" w:color="auto" w:fill="auto"/>
            <w:noWrap/>
            <w:vAlign w:val="bottom"/>
            <w:hideMark/>
          </w:tcPr>
          <w:p w:rsidR="00566769" w:rsidRDefault="00566769" w:rsidP="00730FB7">
            <w:pPr>
              <w:spacing w:after="0" w:line="240" w:lineRule="auto"/>
              <w:jc w:val="center"/>
              <w:rPr>
                <w:rFonts w:eastAsia="Times New Roman" w:cs="Calibri"/>
                <w:sz w:val="22"/>
                <w:lang w:eastAsia="en-GB"/>
              </w:rPr>
            </w:pPr>
            <w:r>
              <w:rPr>
                <w:rFonts w:eastAsia="Times New Roman" w:cs="Calibri"/>
                <w:sz w:val="22"/>
                <w:lang w:eastAsia="en-GB"/>
              </w:rPr>
              <w:t>1</w:t>
            </w:r>
            <w:r w:rsidR="00730FB7">
              <w:rPr>
                <w:rFonts w:eastAsia="Times New Roman" w:cs="Calibri"/>
                <w:sz w:val="22"/>
                <w:lang w:eastAsia="en-GB"/>
              </w:rPr>
              <w:t>42</w:t>
            </w:r>
          </w:p>
        </w:tc>
        <w:tc>
          <w:tcPr>
            <w:tcW w:w="1572" w:type="dxa"/>
            <w:shd w:val="clear" w:color="auto" w:fill="auto"/>
            <w:noWrap/>
            <w:vAlign w:val="bottom"/>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10.0%</w:t>
            </w:r>
          </w:p>
        </w:tc>
      </w:tr>
      <w:tr w:rsidR="00566769" w:rsidTr="00730FB7">
        <w:trPr>
          <w:trHeight w:val="283"/>
        </w:trPr>
        <w:tc>
          <w:tcPr>
            <w:tcW w:w="4673" w:type="dxa"/>
            <w:shd w:val="clear" w:color="auto" w:fill="auto"/>
            <w:noWrap/>
            <w:vAlign w:val="bottom"/>
            <w:hideMark/>
          </w:tcPr>
          <w:p w:rsidR="00566769" w:rsidRDefault="00E01EB0" w:rsidP="00566769">
            <w:pPr>
              <w:spacing w:after="0" w:line="240" w:lineRule="auto"/>
              <w:rPr>
                <w:rFonts w:eastAsia="Times New Roman" w:cs="Calibri"/>
                <w:sz w:val="22"/>
                <w:lang w:eastAsia="en-GB"/>
              </w:rPr>
            </w:pPr>
            <w:r>
              <w:rPr>
                <w:rFonts w:eastAsia="Times New Roman" w:cs="Calibri"/>
                <w:sz w:val="22"/>
                <w:lang w:eastAsia="en-GB"/>
              </w:rPr>
              <w:t>Social, Emotional Wellbeing</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18</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290</w:t>
            </w:r>
          </w:p>
        </w:tc>
        <w:tc>
          <w:tcPr>
            <w:tcW w:w="1572" w:type="dxa"/>
            <w:shd w:val="clear" w:color="auto" w:fill="auto"/>
            <w:noWrap/>
            <w:vAlign w:val="bottom"/>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18.3%</w:t>
            </w:r>
          </w:p>
        </w:tc>
      </w:tr>
      <w:tr w:rsidR="00566769" w:rsidTr="00730FB7">
        <w:trPr>
          <w:trHeight w:val="283"/>
        </w:trPr>
        <w:tc>
          <w:tcPr>
            <w:tcW w:w="4673" w:type="dxa"/>
            <w:shd w:val="clear" w:color="auto" w:fill="auto"/>
            <w:noWrap/>
            <w:vAlign w:val="bottom"/>
            <w:hideMark/>
          </w:tcPr>
          <w:p w:rsidR="00566769" w:rsidRDefault="00E01EB0" w:rsidP="00566769">
            <w:pPr>
              <w:spacing w:after="0" w:line="240" w:lineRule="auto"/>
              <w:rPr>
                <w:rFonts w:eastAsia="Times New Roman" w:cs="Calibri"/>
                <w:sz w:val="22"/>
                <w:lang w:eastAsia="en-GB"/>
              </w:rPr>
            </w:pPr>
            <w:r>
              <w:rPr>
                <w:rFonts w:eastAsia="Times New Roman" w:cs="Calibri"/>
                <w:sz w:val="22"/>
                <w:lang w:eastAsia="en-GB"/>
              </w:rPr>
              <w:t>Speech, Language and Communication</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28</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330</w:t>
            </w:r>
          </w:p>
        </w:tc>
        <w:tc>
          <w:tcPr>
            <w:tcW w:w="1572" w:type="dxa"/>
            <w:shd w:val="clear" w:color="auto" w:fill="auto"/>
            <w:noWrap/>
            <w:vAlign w:val="bottom"/>
          </w:tcPr>
          <w:p w:rsidR="00566769" w:rsidRDefault="00730FB7" w:rsidP="00566769">
            <w:pPr>
              <w:spacing w:after="0" w:line="240" w:lineRule="auto"/>
              <w:jc w:val="center"/>
              <w:rPr>
                <w:rFonts w:eastAsia="Times New Roman" w:cs="Calibri"/>
                <w:sz w:val="22"/>
                <w:lang w:eastAsia="en-GB"/>
              </w:rPr>
            </w:pPr>
            <w:r>
              <w:rPr>
                <w:rFonts w:eastAsia="Times New Roman" w:cs="Calibri"/>
                <w:sz w:val="22"/>
                <w:lang w:eastAsia="en-GB"/>
              </w:rPr>
              <w:t>21.3%</w:t>
            </w:r>
          </w:p>
        </w:tc>
      </w:tr>
      <w:tr w:rsidR="00566769" w:rsidTr="00730FB7">
        <w:trPr>
          <w:trHeight w:val="283"/>
        </w:trPr>
        <w:tc>
          <w:tcPr>
            <w:tcW w:w="4673" w:type="dxa"/>
            <w:shd w:val="clear" w:color="auto" w:fill="auto"/>
            <w:noWrap/>
            <w:vAlign w:val="bottom"/>
            <w:hideMark/>
          </w:tcPr>
          <w:p w:rsidR="00566769" w:rsidRDefault="00566769" w:rsidP="00566769">
            <w:pPr>
              <w:spacing w:after="0" w:line="240" w:lineRule="auto"/>
              <w:rPr>
                <w:rFonts w:eastAsia="Times New Roman" w:cs="Calibri"/>
                <w:b/>
                <w:bCs/>
                <w:sz w:val="22"/>
                <w:lang w:eastAsia="en-GB"/>
              </w:rPr>
            </w:pPr>
            <w:r>
              <w:rPr>
                <w:rFonts w:eastAsia="Times New Roman" w:cs="Calibri"/>
                <w:b/>
                <w:bCs/>
                <w:sz w:val="22"/>
                <w:lang w:eastAsia="en-GB"/>
              </w:rPr>
              <w:t>Grand Total</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b/>
                <w:bCs/>
                <w:sz w:val="22"/>
                <w:lang w:eastAsia="en-GB"/>
              </w:rPr>
            </w:pPr>
            <w:r>
              <w:rPr>
                <w:rFonts w:eastAsia="Times New Roman" w:cs="Calibri"/>
                <w:b/>
                <w:bCs/>
                <w:sz w:val="22"/>
                <w:lang w:eastAsia="en-GB"/>
              </w:rPr>
              <w:t>147</w:t>
            </w:r>
          </w:p>
        </w:tc>
        <w:tc>
          <w:tcPr>
            <w:tcW w:w="1701" w:type="dxa"/>
            <w:shd w:val="clear" w:color="auto" w:fill="auto"/>
            <w:noWrap/>
            <w:vAlign w:val="bottom"/>
            <w:hideMark/>
          </w:tcPr>
          <w:p w:rsidR="00566769" w:rsidRDefault="00730FB7" w:rsidP="00566769">
            <w:pPr>
              <w:spacing w:after="0" w:line="240" w:lineRule="auto"/>
              <w:jc w:val="center"/>
              <w:rPr>
                <w:rFonts w:eastAsia="Times New Roman" w:cs="Calibri"/>
                <w:b/>
                <w:bCs/>
                <w:sz w:val="22"/>
                <w:lang w:eastAsia="en-GB"/>
              </w:rPr>
            </w:pPr>
            <w:r>
              <w:rPr>
                <w:rFonts w:eastAsia="Times New Roman" w:cs="Calibri"/>
                <w:b/>
                <w:bCs/>
                <w:sz w:val="22"/>
                <w:lang w:eastAsia="en-GB"/>
              </w:rPr>
              <w:t>1536</w:t>
            </w:r>
          </w:p>
        </w:tc>
        <w:tc>
          <w:tcPr>
            <w:tcW w:w="1572" w:type="dxa"/>
            <w:shd w:val="clear" w:color="auto" w:fill="auto"/>
            <w:noWrap/>
            <w:vAlign w:val="bottom"/>
          </w:tcPr>
          <w:p w:rsidR="00566769" w:rsidRDefault="00730FB7" w:rsidP="00566769">
            <w:pPr>
              <w:spacing w:after="0" w:line="240" w:lineRule="auto"/>
              <w:jc w:val="center"/>
              <w:rPr>
                <w:rFonts w:eastAsia="Times New Roman" w:cs="Calibri"/>
                <w:b/>
                <w:bCs/>
                <w:sz w:val="22"/>
                <w:lang w:eastAsia="en-GB"/>
              </w:rPr>
            </w:pPr>
            <w:r>
              <w:rPr>
                <w:rFonts w:eastAsia="Times New Roman" w:cs="Calibri"/>
                <w:b/>
                <w:bCs/>
                <w:sz w:val="22"/>
                <w:lang w:eastAsia="en-GB"/>
              </w:rPr>
              <w:t>1683</w:t>
            </w:r>
          </w:p>
        </w:tc>
      </w:tr>
    </w:tbl>
    <w:p w:rsidR="007B1C21" w:rsidRDefault="00276D00">
      <w:r w:rsidRPr="00A52B0B">
        <w:rPr>
          <w:b/>
          <w:noProof/>
          <w:lang w:eastAsia="en-GB"/>
        </w:rPr>
        <w:drawing>
          <wp:anchor distT="0" distB="0" distL="114300" distR="114300" simplePos="0" relativeHeight="251659264" behindDoc="1" locked="0" layoutInCell="1" allowOverlap="1">
            <wp:simplePos x="0" y="0"/>
            <wp:positionH relativeFrom="margin">
              <wp:posOffset>-213360</wp:posOffset>
            </wp:positionH>
            <wp:positionV relativeFrom="paragraph">
              <wp:posOffset>3952240</wp:posOffset>
            </wp:positionV>
            <wp:extent cx="2952750" cy="2042160"/>
            <wp:effectExtent l="0" t="0" r="0" b="15240"/>
            <wp:wrapTight wrapText="bothSides">
              <wp:wrapPolygon edited="0">
                <wp:start x="0" y="0"/>
                <wp:lineTo x="0" y="21560"/>
                <wp:lineTo x="21461" y="21560"/>
                <wp:lineTo x="21461"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posOffset>-45720</wp:posOffset>
            </wp:positionH>
            <wp:positionV relativeFrom="paragraph">
              <wp:posOffset>1341755</wp:posOffset>
            </wp:positionV>
            <wp:extent cx="2838450" cy="2428875"/>
            <wp:effectExtent l="0" t="0" r="0" b="9525"/>
            <wp:wrapTight wrapText="bothSides">
              <wp:wrapPolygon edited="0">
                <wp:start x="0" y="0"/>
                <wp:lineTo x="0" y="21515"/>
                <wp:lineTo x="21455" y="21515"/>
                <wp:lineTo x="21455"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30FB7">
        <w:rPr>
          <w:noProof/>
          <w:lang w:eastAsia="en-GB"/>
        </w:rPr>
        <w:drawing>
          <wp:inline distT="0" distB="0" distL="0" distR="0" wp14:anchorId="0716EC7F" wp14:editId="157B827B">
            <wp:extent cx="2667000" cy="2432685"/>
            <wp:effectExtent l="0" t="0" r="0" b="57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0FB7" w:rsidRDefault="00A07107">
      <w:pPr>
        <w:rPr>
          <w:b/>
        </w:rPr>
      </w:pPr>
      <w:r>
        <w:rPr>
          <w:noProof/>
          <w:lang w:eastAsia="en-GB"/>
        </w:rPr>
        <w:drawing>
          <wp:inline distT="0" distB="0" distL="0" distR="0" wp14:anchorId="42CB3DE1" wp14:editId="63B42282">
            <wp:extent cx="2828925" cy="20574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147D" w:rsidRDefault="00C1147D">
      <w:pPr>
        <w:rPr>
          <w:b/>
        </w:rPr>
      </w:pPr>
    </w:p>
    <w:p w:rsidR="00730FB7" w:rsidRPr="00C1147D" w:rsidRDefault="00C1147D">
      <w:r w:rsidRPr="00C1147D">
        <w:t xml:space="preserve">Across all domains, there has been a </w:t>
      </w:r>
      <w:r w:rsidR="00CE51EB" w:rsidRPr="00CE51EB">
        <w:t>1.6</w:t>
      </w:r>
      <w:r w:rsidRPr="00CE51EB">
        <w:t>%</w:t>
      </w:r>
      <w:r w:rsidRPr="00C1147D">
        <w:t xml:space="preserve"> improvement in students ‘on track’, compared to </w:t>
      </w:r>
      <w:proofErr w:type="gramStart"/>
      <w:r w:rsidRPr="00C1147D">
        <w:t>Autumn</w:t>
      </w:r>
      <w:proofErr w:type="gramEnd"/>
      <w:r w:rsidRPr="00C1147D">
        <w:t>.</w:t>
      </w:r>
    </w:p>
    <w:p w:rsidR="00C1147D" w:rsidRDefault="00C1147D">
      <w:pPr>
        <w:rPr>
          <w:b/>
        </w:rPr>
      </w:pPr>
    </w:p>
    <w:p w:rsidR="00730FB7" w:rsidRDefault="00730FB7">
      <w:pPr>
        <w:rPr>
          <w:b/>
        </w:rPr>
      </w:pPr>
    </w:p>
    <w:p w:rsidR="00730FB7" w:rsidRDefault="00730FB7">
      <w:pPr>
        <w:rPr>
          <w:b/>
        </w:rPr>
      </w:pPr>
    </w:p>
    <w:p w:rsidR="00730FB7" w:rsidRDefault="00730FB7">
      <w:pPr>
        <w:rPr>
          <w:b/>
        </w:rPr>
      </w:pPr>
    </w:p>
    <w:p w:rsidR="00730FB7" w:rsidRDefault="00730FB7">
      <w:pPr>
        <w:rPr>
          <w:b/>
        </w:rPr>
      </w:pPr>
    </w:p>
    <w:p w:rsidR="00FC797A" w:rsidRDefault="00FE4F0D">
      <w:pPr>
        <w:rPr>
          <w:b/>
        </w:rPr>
      </w:pPr>
      <w:r w:rsidRPr="00A52B0B">
        <w:rPr>
          <w:b/>
        </w:rPr>
        <w:t>Comparison by domain</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1563"/>
        <w:gridCol w:w="1276"/>
        <w:gridCol w:w="1417"/>
        <w:gridCol w:w="1503"/>
      </w:tblGrid>
      <w:tr w:rsidR="00A07107" w:rsidTr="00A07107">
        <w:trPr>
          <w:trHeight w:val="300"/>
        </w:trPr>
        <w:tc>
          <w:tcPr>
            <w:tcW w:w="3262" w:type="dxa"/>
            <w:tcBorders>
              <w:top w:val="nil"/>
              <w:left w:val="nil"/>
            </w:tcBorders>
            <w:shd w:val="clear" w:color="auto" w:fill="FFFFFF" w:themeFill="background1"/>
            <w:noWrap/>
            <w:vAlign w:val="bottom"/>
          </w:tcPr>
          <w:p w:rsidR="00A07107" w:rsidRPr="00A52B0B" w:rsidRDefault="00A07107">
            <w:pPr>
              <w:spacing w:after="0" w:line="240" w:lineRule="auto"/>
              <w:rPr>
                <w:rFonts w:eastAsia="Times New Roman" w:cs="Calibri"/>
                <w:b/>
                <w:sz w:val="22"/>
                <w:lang w:eastAsia="en-GB"/>
              </w:rPr>
            </w:pPr>
          </w:p>
        </w:tc>
        <w:tc>
          <w:tcPr>
            <w:tcW w:w="2839" w:type="dxa"/>
            <w:gridSpan w:val="2"/>
            <w:shd w:val="clear" w:color="auto" w:fill="D9D9D9" w:themeFill="background1" w:themeFillShade="D9"/>
            <w:noWrap/>
            <w:vAlign w:val="bottom"/>
          </w:tcPr>
          <w:p w:rsidR="00A07107" w:rsidRPr="00A52B0B" w:rsidRDefault="00A07107">
            <w:pPr>
              <w:spacing w:after="0" w:line="240" w:lineRule="auto"/>
              <w:jc w:val="center"/>
              <w:rPr>
                <w:rFonts w:eastAsia="Times New Roman" w:cs="Calibri"/>
                <w:b/>
                <w:sz w:val="22"/>
                <w:lang w:eastAsia="en-GB"/>
              </w:rPr>
            </w:pPr>
            <w:r>
              <w:rPr>
                <w:rFonts w:eastAsia="Times New Roman" w:cs="Calibri"/>
                <w:b/>
                <w:sz w:val="22"/>
                <w:lang w:eastAsia="en-GB"/>
              </w:rPr>
              <w:t>Autumn</w:t>
            </w:r>
          </w:p>
        </w:tc>
        <w:tc>
          <w:tcPr>
            <w:tcW w:w="2920" w:type="dxa"/>
            <w:gridSpan w:val="2"/>
            <w:shd w:val="clear" w:color="auto" w:fill="D9D9D9" w:themeFill="background1" w:themeFillShade="D9"/>
          </w:tcPr>
          <w:p w:rsidR="00A07107" w:rsidRPr="00A52B0B" w:rsidRDefault="00A07107">
            <w:pPr>
              <w:spacing w:after="0" w:line="240" w:lineRule="auto"/>
              <w:jc w:val="center"/>
              <w:rPr>
                <w:rFonts w:eastAsia="Times New Roman" w:cs="Calibri"/>
                <w:b/>
                <w:sz w:val="22"/>
                <w:lang w:eastAsia="en-GB"/>
              </w:rPr>
            </w:pPr>
            <w:r>
              <w:rPr>
                <w:rFonts w:eastAsia="Times New Roman" w:cs="Calibri"/>
                <w:b/>
                <w:sz w:val="22"/>
                <w:lang w:eastAsia="en-GB"/>
              </w:rPr>
              <w:t>Spring</w:t>
            </w:r>
          </w:p>
        </w:tc>
      </w:tr>
      <w:tr w:rsidR="00A07107" w:rsidTr="0066592E">
        <w:trPr>
          <w:trHeight w:val="300"/>
        </w:trPr>
        <w:tc>
          <w:tcPr>
            <w:tcW w:w="3262" w:type="dxa"/>
            <w:shd w:val="clear" w:color="auto" w:fill="D9D9D9" w:themeFill="background1" w:themeFillShade="D9"/>
            <w:noWrap/>
            <w:vAlign w:val="bottom"/>
            <w:hideMark/>
          </w:tcPr>
          <w:p w:rsidR="00A07107" w:rsidRPr="00A52B0B" w:rsidRDefault="00A07107" w:rsidP="00A07107">
            <w:pPr>
              <w:spacing w:after="0" w:line="240" w:lineRule="auto"/>
              <w:rPr>
                <w:rFonts w:eastAsia="Times New Roman" w:cs="Calibri"/>
                <w:b/>
                <w:sz w:val="22"/>
                <w:lang w:eastAsia="en-GB"/>
              </w:rPr>
            </w:pPr>
            <w:r w:rsidRPr="00A52B0B">
              <w:rPr>
                <w:rFonts w:eastAsia="Times New Roman" w:cs="Calibri"/>
                <w:b/>
                <w:sz w:val="22"/>
                <w:lang w:eastAsia="en-GB"/>
              </w:rPr>
              <w:t>EHCP Domains</w:t>
            </w:r>
          </w:p>
        </w:tc>
        <w:tc>
          <w:tcPr>
            <w:tcW w:w="1563" w:type="dxa"/>
            <w:shd w:val="clear" w:color="auto" w:fill="D9D9D9" w:themeFill="background1" w:themeFillShade="D9"/>
            <w:noWrap/>
            <w:vAlign w:val="bottom"/>
            <w:hideMark/>
          </w:tcPr>
          <w:p w:rsidR="00A07107" w:rsidRPr="00A52B0B" w:rsidRDefault="00A07107" w:rsidP="00A07107">
            <w:pPr>
              <w:spacing w:after="0" w:line="240" w:lineRule="auto"/>
              <w:jc w:val="center"/>
              <w:rPr>
                <w:rFonts w:eastAsia="Times New Roman" w:cs="Calibri"/>
                <w:b/>
                <w:sz w:val="22"/>
                <w:lang w:eastAsia="en-GB"/>
              </w:rPr>
            </w:pPr>
            <w:r w:rsidRPr="00A52B0B">
              <w:rPr>
                <w:rFonts w:eastAsia="Times New Roman" w:cs="Calibri"/>
                <w:b/>
                <w:sz w:val="22"/>
                <w:lang w:eastAsia="en-GB"/>
              </w:rPr>
              <w:t>Not On Track</w:t>
            </w:r>
          </w:p>
        </w:tc>
        <w:tc>
          <w:tcPr>
            <w:tcW w:w="1276" w:type="dxa"/>
            <w:shd w:val="clear" w:color="auto" w:fill="D9D9D9" w:themeFill="background1" w:themeFillShade="D9"/>
            <w:noWrap/>
            <w:vAlign w:val="bottom"/>
            <w:hideMark/>
          </w:tcPr>
          <w:p w:rsidR="00A07107" w:rsidRPr="00A52B0B" w:rsidRDefault="00A07107" w:rsidP="00A07107">
            <w:pPr>
              <w:spacing w:after="0" w:line="240" w:lineRule="auto"/>
              <w:jc w:val="center"/>
              <w:rPr>
                <w:rFonts w:eastAsia="Times New Roman" w:cs="Calibri"/>
                <w:b/>
                <w:sz w:val="22"/>
                <w:lang w:eastAsia="en-GB"/>
              </w:rPr>
            </w:pPr>
            <w:r w:rsidRPr="00A52B0B">
              <w:rPr>
                <w:rFonts w:eastAsia="Times New Roman" w:cs="Calibri"/>
                <w:b/>
                <w:sz w:val="22"/>
                <w:lang w:eastAsia="en-GB"/>
              </w:rPr>
              <w:t>On Track</w:t>
            </w:r>
          </w:p>
        </w:tc>
        <w:tc>
          <w:tcPr>
            <w:tcW w:w="1417" w:type="dxa"/>
            <w:shd w:val="clear" w:color="auto" w:fill="D9D9D9" w:themeFill="background1" w:themeFillShade="D9"/>
            <w:vAlign w:val="bottom"/>
          </w:tcPr>
          <w:p w:rsidR="00A07107" w:rsidRPr="00A52B0B" w:rsidRDefault="00A07107" w:rsidP="00A07107">
            <w:pPr>
              <w:spacing w:after="0" w:line="240" w:lineRule="auto"/>
              <w:jc w:val="center"/>
              <w:rPr>
                <w:rFonts w:eastAsia="Times New Roman" w:cs="Calibri"/>
                <w:b/>
                <w:sz w:val="22"/>
                <w:lang w:eastAsia="en-GB"/>
              </w:rPr>
            </w:pPr>
            <w:r w:rsidRPr="00A52B0B">
              <w:rPr>
                <w:rFonts w:eastAsia="Times New Roman" w:cs="Calibri"/>
                <w:b/>
                <w:sz w:val="22"/>
                <w:lang w:eastAsia="en-GB"/>
              </w:rPr>
              <w:t>Not On Track</w:t>
            </w:r>
          </w:p>
        </w:tc>
        <w:tc>
          <w:tcPr>
            <w:tcW w:w="1503" w:type="dxa"/>
            <w:shd w:val="clear" w:color="auto" w:fill="D9D9D9" w:themeFill="background1" w:themeFillShade="D9"/>
            <w:vAlign w:val="bottom"/>
          </w:tcPr>
          <w:p w:rsidR="00A07107" w:rsidRPr="00A52B0B" w:rsidRDefault="00A07107" w:rsidP="00A07107">
            <w:pPr>
              <w:spacing w:after="0" w:line="240" w:lineRule="auto"/>
              <w:jc w:val="center"/>
              <w:rPr>
                <w:rFonts w:eastAsia="Times New Roman" w:cs="Calibri"/>
                <w:b/>
                <w:sz w:val="22"/>
                <w:lang w:eastAsia="en-GB"/>
              </w:rPr>
            </w:pPr>
            <w:r w:rsidRPr="00A52B0B">
              <w:rPr>
                <w:rFonts w:eastAsia="Times New Roman" w:cs="Calibri"/>
                <w:b/>
                <w:sz w:val="22"/>
                <w:lang w:eastAsia="en-GB"/>
              </w:rPr>
              <w:t>On Track</w:t>
            </w:r>
          </w:p>
        </w:tc>
      </w:tr>
      <w:tr w:rsidR="00A07107" w:rsidTr="00A07107">
        <w:trPr>
          <w:trHeight w:val="300"/>
        </w:trPr>
        <w:tc>
          <w:tcPr>
            <w:tcW w:w="3262" w:type="dxa"/>
            <w:shd w:val="clear" w:color="auto" w:fill="auto"/>
            <w:noWrap/>
            <w:vAlign w:val="bottom"/>
            <w:hideMark/>
          </w:tcPr>
          <w:p w:rsidR="00A07107" w:rsidRDefault="00A07107">
            <w:pPr>
              <w:spacing w:after="0" w:line="240" w:lineRule="auto"/>
              <w:rPr>
                <w:rFonts w:eastAsia="Times New Roman" w:cs="Calibri"/>
                <w:sz w:val="22"/>
                <w:lang w:eastAsia="en-GB"/>
              </w:rPr>
            </w:pPr>
            <w:r>
              <w:rPr>
                <w:rFonts w:eastAsia="Times New Roman" w:cs="Calibri"/>
                <w:sz w:val="22"/>
                <w:lang w:eastAsia="en-GB"/>
              </w:rPr>
              <w:t xml:space="preserve">Cognition and Learning </w:t>
            </w:r>
          </w:p>
        </w:tc>
        <w:tc>
          <w:tcPr>
            <w:tcW w:w="1563" w:type="dxa"/>
            <w:shd w:val="clear" w:color="auto" w:fill="auto"/>
            <w:noWrap/>
            <w:vAlign w:val="bottom"/>
            <w:hideMark/>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12.47%</w:t>
            </w:r>
          </w:p>
        </w:tc>
        <w:tc>
          <w:tcPr>
            <w:tcW w:w="1276" w:type="dxa"/>
            <w:shd w:val="clear" w:color="auto" w:fill="auto"/>
            <w:noWrap/>
            <w:vAlign w:val="bottom"/>
            <w:hideMark/>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87.53%</w:t>
            </w:r>
          </w:p>
        </w:tc>
        <w:tc>
          <w:tcPr>
            <w:tcW w:w="1417"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6.64%</w:t>
            </w:r>
          </w:p>
        </w:tc>
        <w:tc>
          <w:tcPr>
            <w:tcW w:w="1503"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93.36%</w:t>
            </w:r>
          </w:p>
        </w:tc>
      </w:tr>
      <w:tr w:rsidR="00A07107" w:rsidTr="00A07107">
        <w:trPr>
          <w:trHeight w:val="300"/>
        </w:trPr>
        <w:tc>
          <w:tcPr>
            <w:tcW w:w="3262" w:type="dxa"/>
            <w:shd w:val="clear" w:color="auto" w:fill="auto"/>
            <w:noWrap/>
            <w:vAlign w:val="bottom"/>
            <w:hideMark/>
          </w:tcPr>
          <w:p w:rsidR="00A07107" w:rsidRDefault="00A07107">
            <w:pPr>
              <w:spacing w:after="0" w:line="240" w:lineRule="auto"/>
              <w:rPr>
                <w:rFonts w:eastAsia="Times New Roman" w:cs="Calibri"/>
                <w:sz w:val="22"/>
                <w:lang w:eastAsia="en-GB"/>
              </w:rPr>
            </w:pPr>
            <w:r>
              <w:rPr>
                <w:rFonts w:eastAsia="Times New Roman" w:cs="Calibri"/>
                <w:sz w:val="22"/>
                <w:lang w:eastAsia="en-GB"/>
              </w:rPr>
              <w:t>Independence</w:t>
            </w:r>
          </w:p>
        </w:tc>
        <w:tc>
          <w:tcPr>
            <w:tcW w:w="1563" w:type="dxa"/>
            <w:shd w:val="clear" w:color="auto" w:fill="auto"/>
            <w:noWrap/>
            <w:vAlign w:val="bottom"/>
            <w:hideMark/>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9.28%</w:t>
            </w:r>
          </w:p>
        </w:tc>
        <w:tc>
          <w:tcPr>
            <w:tcW w:w="1276" w:type="dxa"/>
            <w:shd w:val="clear" w:color="auto" w:fill="auto"/>
            <w:noWrap/>
            <w:vAlign w:val="bottom"/>
            <w:hideMark/>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90.72%</w:t>
            </w:r>
          </w:p>
        </w:tc>
        <w:tc>
          <w:tcPr>
            <w:tcW w:w="1417"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12.42%</w:t>
            </w:r>
          </w:p>
        </w:tc>
        <w:tc>
          <w:tcPr>
            <w:tcW w:w="1503"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87.58%</w:t>
            </w:r>
          </w:p>
        </w:tc>
      </w:tr>
      <w:tr w:rsidR="00A07107" w:rsidTr="00A07107">
        <w:trPr>
          <w:trHeight w:val="300"/>
        </w:trPr>
        <w:tc>
          <w:tcPr>
            <w:tcW w:w="3262" w:type="dxa"/>
            <w:shd w:val="clear" w:color="auto" w:fill="auto"/>
            <w:noWrap/>
            <w:vAlign w:val="bottom"/>
            <w:hideMark/>
          </w:tcPr>
          <w:p w:rsidR="00A07107" w:rsidRDefault="00A07107">
            <w:pPr>
              <w:spacing w:after="0" w:line="240" w:lineRule="auto"/>
              <w:rPr>
                <w:rFonts w:eastAsia="Times New Roman" w:cs="Calibri"/>
                <w:sz w:val="22"/>
                <w:lang w:eastAsia="en-GB"/>
              </w:rPr>
            </w:pPr>
            <w:r>
              <w:rPr>
                <w:rFonts w:eastAsia="Times New Roman" w:cs="Calibri"/>
                <w:sz w:val="22"/>
                <w:lang w:eastAsia="en-GB"/>
              </w:rPr>
              <w:t>Physical and Sensory</w:t>
            </w:r>
          </w:p>
        </w:tc>
        <w:tc>
          <w:tcPr>
            <w:tcW w:w="1563" w:type="dxa"/>
            <w:shd w:val="clear" w:color="auto" w:fill="auto"/>
            <w:noWrap/>
            <w:vAlign w:val="bottom"/>
            <w:hideMark/>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13.64%</w:t>
            </w:r>
          </w:p>
        </w:tc>
        <w:tc>
          <w:tcPr>
            <w:tcW w:w="1276" w:type="dxa"/>
            <w:shd w:val="clear" w:color="auto" w:fill="auto"/>
            <w:noWrap/>
            <w:vAlign w:val="bottom"/>
            <w:hideMark/>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86.36%</w:t>
            </w:r>
          </w:p>
        </w:tc>
        <w:tc>
          <w:tcPr>
            <w:tcW w:w="1417"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15.48%</w:t>
            </w:r>
          </w:p>
        </w:tc>
        <w:tc>
          <w:tcPr>
            <w:tcW w:w="1503"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84.52%</w:t>
            </w:r>
          </w:p>
        </w:tc>
      </w:tr>
      <w:tr w:rsidR="00A07107" w:rsidTr="00A07107">
        <w:trPr>
          <w:trHeight w:val="300"/>
        </w:trPr>
        <w:tc>
          <w:tcPr>
            <w:tcW w:w="3262" w:type="dxa"/>
            <w:shd w:val="clear" w:color="auto" w:fill="auto"/>
            <w:noWrap/>
            <w:vAlign w:val="bottom"/>
            <w:hideMark/>
          </w:tcPr>
          <w:p w:rsidR="00A07107" w:rsidRDefault="00A07107">
            <w:pPr>
              <w:spacing w:after="0" w:line="240" w:lineRule="auto"/>
              <w:rPr>
                <w:rFonts w:eastAsia="Times New Roman" w:cs="Calibri"/>
                <w:sz w:val="22"/>
                <w:lang w:eastAsia="en-GB"/>
              </w:rPr>
            </w:pPr>
            <w:r>
              <w:rPr>
                <w:rFonts w:eastAsia="Times New Roman" w:cs="Calibri"/>
                <w:sz w:val="22"/>
                <w:lang w:eastAsia="en-GB"/>
              </w:rPr>
              <w:t xml:space="preserve">Social Emotional Wellbeing </w:t>
            </w:r>
          </w:p>
        </w:tc>
        <w:tc>
          <w:tcPr>
            <w:tcW w:w="1563" w:type="dxa"/>
            <w:shd w:val="clear" w:color="auto" w:fill="auto"/>
            <w:noWrap/>
            <w:vAlign w:val="bottom"/>
            <w:hideMark/>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6.38%</w:t>
            </w:r>
          </w:p>
        </w:tc>
        <w:tc>
          <w:tcPr>
            <w:tcW w:w="1276" w:type="dxa"/>
            <w:shd w:val="clear" w:color="auto" w:fill="auto"/>
            <w:noWrap/>
            <w:vAlign w:val="bottom"/>
            <w:hideMark/>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93.62%</w:t>
            </w:r>
          </w:p>
        </w:tc>
        <w:tc>
          <w:tcPr>
            <w:tcW w:w="1417"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5.84%</w:t>
            </w:r>
          </w:p>
        </w:tc>
        <w:tc>
          <w:tcPr>
            <w:tcW w:w="1503"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94.16%</w:t>
            </w:r>
          </w:p>
        </w:tc>
      </w:tr>
      <w:tr w:rsidR="00A07107" w:rsidTr="00A07107">
        <w:trPr>
          <w:trHeight w:val="300"/>
        </w:trPr>
        <w:tc>
          <w:tcPr>
            <w:tcW w:w="3262" w:type="dxa"/>
            <w:shd w:val="clear" w:color="auto" w:fill="auto"/>
            <w:noWrap/>
            <w:vAlign w:val="bottom"/>
            <w:hideMark/>
          </w:tcPr>
          <w:p w:rsidR="00A07107" w:rsidRDefault="00A07107">
            <w:pPr>
              <w:spacing w:after="0" w:line="240" w:lineRule="auto"/>
              <w:rPr>
                <w:rFonts w:eastAsia="Times New Roman" w:cs="Calibri"/>
                <w:sz w:val="22"/>
                <w:lang w:eastAsia="en-GB"/>
              </w:rPr>
            </w:pPr>
            <w:r>
              <w:rPr>
                <w:rFonts w:eastAsia="Times New Roman" w:cs="Calibri"/>
                <w:sz w:val="22"/>
                <w:lang w:eastAsia="en-GB"/>
              </w:rPr>
              <w:t>Speech, Language and Communication</w:t>
            </w:r>
          </w:p>
        </w:tc>
        <w:tc>
          <w:tcPr>
            <w:tcW w:w="1563" w:type="dxa"/>
            <w:shd w:val="clear" w:color="auto" w:fill="auto"/>
            <w:noWrap/>
            <w:vAlign w:val="bottom"/>
            <w:hideMark/>
          </w:tcPr>
          <w:p w:rsidR="00A07107" w:rsidRDefault="00A07107" w:rsidP="00726A7B">
            <w:pPr>
              <w:spacing w:after="0" w:line="240" w:lineRule="auto"/>
              <w:jc w:val="center"/>
              <w:rPr>
                <w:rFonts w:eastAsia="Times New Roman" w:cs="Calibri"/>
                <w:sz w:val="22"/>
                <w:lang w:eastAsia="en-GB"/>
              </w:rPr>
            </w:pPr>
            <w:r>
              <w:rPr>
                <w:rFonts w:eastAsia="Times New Roman" w:cs="Calibri"/>
                <w:sz w:val="22"/>
                <w:lang w:eastAsia="en-GB"/>
              </w:rPr>
              <w:t>9.65%</w:t>
            </w:r>
          </w:p>
          <w:p w:rsidR="008C7E92" w:rsidRDefault="008C7E92" w:rsidP="008C7E92">
            <w:pPr>
              <w:spacing w:after="0" w:line="240" w:lineRule="auto"/>
              <w:rPr>
                <w:rFonts w:eastAsia="Times New Roman" w:cs="Calibri"/>
                <w:sz w:val="22"/>
                <w:lang w:eastAsia="en-GB"/>
              </w:rPr>
            </w:pPr>
          </w:p>
        </w:tc>
        <w:tc>
          <w:tcPr>
            <w:tcW w:w="1276" w:type="dxa"/>
            <w:shd w:val="clear" w:color="auto" w:fill="auto"/>
            <w:noWrap/>
            <w:vAlign w:val="bottom"/>
            <w:hideMark/>
          </w:tcPr>
          <w:p w:rsidR="00A07107" w:rsidRDefault="00276D00" w:rsidP="00276D00">
            <w:pPr>
              <w:spacing w:after="0" w:line="240" w:lineRule="auto"/>
              <w:jc w:val="center"/>
              <w:rPr>
                <w:rFonts w:eastAsia="Times New Roman" w:cs="Calibri"/>
                <w:sz w:val="22"/>
                <w:lang w:eastAsia="en-GB"/>
              </w:rPr>
            </w:pPr>
            <w:r>
              <w:rPr>
                <w:rFonts w:eastAsia="Times New Roman" w:cs="Calibri"/>
                <w:sz w:val="22"/>
                <w:lang w:eastAsia="en-GB"/>
              </w:rPr>
              <w:t>90.35%</w:t>
            </w:r>
          </w:p>
        </w:tc>
        <w:tc>
          <w:tcPr>
            <w:tcW w:w="1417"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7.82%</w:t>
            </w:r>
          </w:p>
        </w:tc>
        <w:tc>
          <w:tcPr>
            <w:tcW w:w="1503" w:type="dxa"/>
          </w:tcPr>
          <w:p w:rsidR="00A07107" w:rsidRDefault="00A07107" w:rsidP="00A52B0B">
            <w:pPr>
              <w:spacing w:after="0" w:line="240" w:lineRule="auto"/>
              <w:jc w:val="center"/>
              <w:rPr>
                <w:rFonts w:eastAsia="Times New Roman" w:cs="Calibri"/>
                <w:sz w:val="22"/>
                <w:lang w:eastAsia="en-GB"/>
              </w:rPr>
            </w:pPr>
            <w:r>
              <w:rPr>
                <w:rFonts w:eastAsia="Times New Roman" w:cs="Calibri"/>
                <w:sz w:val="22"/>
                <w:lang w:eastAsia="en-GB"/>
              </w:rPr>
              <w:t>92.81%</w:t>
            </w:r>
          </w:p>
        </w:tc>
      </w:tr>
      <w:tr w:rsidR="00A07107" w:rsidTr="00A07107">
        <w:trPr>
          <w:trHeight w:val="300"/>
        </w:trPr>
        <w:tc>
          <w:tcPr>
            <w:tcW w:w="3262" w:type="dxa"/>
            <w:shd w:val="clear" w:color="auto" w:fill="auto"/>
            <w:noWrap/>
            <w:vAlign w:val="bottom"/>
            <w:hideMark/>
          </w:tcPr>
          <w:p w:rsidR="00A07107" w:rsidRDefault="00A07107">
            <w:pPr>
              <w:spacing w:after="0" w:line="240" w:lineRule="auto"/>
              <w:rPr>
                <w:rFonts w:eastAsia="Times New Roman" w:cs="Calibri"/>
                <w:b/>
                <w:bCs/>
                <w:sz w:val="22"/>
                <w:lang w:eastAsia="en-GB"/>
              </w:rPr>
            </w:pPr>
            <w:r>
              <w:rPr>
                <w:rFonts w:eastAsia="Times New Roman" w:cs="Calibri"/>
                <w:b/>
                <w:bCs/>
                <w:sz w:val="22"/>
                <w:lang w:eastAsia="en-GB"/>
              </w:rPr>
              <w:t>Grand Total</w:t>
            </w:r>
          </w:p>
        </w:tc>
        <w:tc>
          <w:tcPr>
            <w:tcW w:w="1563" w:type="dxa"/>
            <w:shd w:val="clear" w:color="auto" w:fill="auto"/>
            <w:noWrap/>
            <w:vAlign w:val="bottom"/>
            <w:hideMark/>
          </w:tcPr>
          <w:p w:rsidR="00A07107" w:rsidRDefault="00A07107" w:rsidP="00A52B0B">
            <w:pPr>
              <w:spacing w:after="0" w:line="240" w:lineRule="auto"/>
              <w:jc w:val="center"/>
              <w:rPr>
                <w:rFonts w:eastAsia="Times New Roman" w:cs="Calibri"/>
                <w:b/>
                <w:bCs/>
                <w:sz w:val="22"/>
                <w:lang w:eastAsia="en-GB"/>
              </w:rPr>
            </w:pPr>
            <w:r>
              <w:rPr>
                <w:rFonts w:eastAsia="Times New Roman" w:cs="Calibri"/>
                <w:b/>
                <w:bCs/>
                <w:sz w:val="22"/>
                <w:lang w:eastAsia="en-GB"/>
              </w:rPr>
              <w:t>10.27%</w:t>
            </w:r>
          </w:p>
        </w:tc>
        <w:tc>
          <w:tcPr>
            <w:tcW w:w="1276" w:type="dxa"/>
            <w:shd w:val="clear" w:color="auto" w:fill="auto"/>
            <w:noWrap/>
            <w:vAlign w:val="bottom"/>
            <w:hideMark/>
          </w:tcPr>
          <w:p w:rsidR="00A07107" w:rsidRDefault="00A07107" w:rsidP="00A52B0B">
            <w:pPr>
              <w:spacing w:after="0" w:line="240" w:lineRule="auto"/>
              <w:jc w:val="center"/>
              <w:rPr>
                <w:rFonts w:eastAsia="Times New Roman" w:cs="Calibri"/>
                <w:b/>
                <w:bCs/>
                <w:sz w:val="22"/>
                <w:lang w:eastAsia="en-GB"/>
              </w:rPr>
            </w:pPr>
            <w:r>
              <w:rPr>
                <w:rFonts w:eastAsia="Times New Roman" w:cs="Calibri"/>
                <w:b/>
                <w:bCs/>
                <w:sz w:val="22"/>
                <w:lang w:eastAsia="en-GB"/>
              </w:rPr>
              <w:t>89.73%</w:t>
            </w:r>
          </w:p>
        </w:tc>
        <w:tc>
          <w:tcPr>
            <w:tcW w:w="1417" w:type="dxa"/>
          </w:tcPr>
          <w:p w:rsidR="00A07107" w:rsidRDefault="00A07107" w:rsidP="00A52B0B">
            <w:pPr>
              <w:spacing w:after="0" w:line="240" w:lineRule="auto"/>
              <w:jc w:val="center"/>
              <w:rPr>
                <w:rFonts w:eastAsia="Times New Roman" w:cs="Calibri"/>
                <w:b/>
                <w:bCs/>
                <w:sz w:val="22"/>
                <w:lang w:eastAsia="en-GB"/>
              </w:rPr>
            </w:pPr>
            <w:r>
              <w:rPr>
                <w:rFonts w:eastAsia="Times New Roman" w:cs="Calibri"/>
                <w:b/>
                <w:bCs/>
                <w:sz w:val="22"/>
                <w:lang w:eastAsia="en-GB"/>
              </w:rPr>
              <w:t>8.73%</w:t>
            </w:r>
          </w:p>
        </w:tc>
        <w:tc>
          <w:tcPr>
            <w:tcW w:w="1503" w:type="dxa"/>
          </w:tcPr>
          <w:p w:rsidR="00A07107" w:rsidRDefault="00A07107" w:rsidP="00A52B0B">
            <w:pPr>
              <w:spacing w:after="0" w:line="240" w:lineRule="auto"/>
              <w:jc w:val="center"/>
              <w:rPr>
                <w:rFonts w:eastAsia="Times New Roman" w:cs="Calibri"/>
                <w:b/>
                <w:bCs/>
                <w:sz w:val="22"/>
                <w:lang w:eastAsia="en-GB"/>
              </w:rPr>
            </w:pPr>
            <w:r>
              <w:rPr>
                <w:rFonts w:eastAsia="Times New Roman" w:cs="Calibri"/>
                <w:b/>
                <w:bCs/>
                <w:sz w:val="22"/>
                <w:lang w:eastAsia="en-GB"/>
              </w:rPr>
              <w:t>91.27%</w:t>
            </w:r>
          </w:p>
        </w:tc>
      </w:tr>
    </w:tbl>
    <w:p w:rsidR="00FC797A" w:rsidRDefault="00FC797A" w:rsidP="00C47F86"/>
    <w:p w:rsidR="008C7E92" w:rsidRDefault="008C7E92" w:rsidP="00C47F86"/>
    <w:p w:rsidR="000510EF" w:rsidRDefault="008C7E92" w:rsidP="00C47F86">
      <w:pPr>
        <w:sectPr w:rsidR="000510EF" w:rsidSect="00E1234D">
          <w:footerReference w:type="default" r:id="rId11"/>
          <w:pgSz w:w="11906" w:h="16838"/>
          <w:pgMar w:top="1440" w:right="1440" w:bottom="1440" w:left="1440" w:header="708" w:footer="708" w:gutter="0"/>
          <w:cols w:space="708"/>
          <w:docGrid w:linePitch="360"/>
        </w:sectPr>
      </w:pPr>
      <w:r>
        <w:t xml:space="preserve">For </w:t>
      </w:r>
      <w:proofErr w:type="gramStart"/>
      <w:r>
        <w:t>Autumn</w:t>
      </w:r>
      <w:proofErr w:type="gramEnd"/>
      <w:r>
        <w:t xml:space="preserve">, </w:t>
      </w:r>
      <w:r w:rsidR="00C47F86">
        <w:t>Social, Emotional W</w:t>
      </w:r>
      <w:r w:rsidR="00B92E7D">
        <w:t>ellbeing had</w:t>
      </w:r>
      <w:r w:rsidR="00E01EB0">
        <w:t xml:space="preserve"> the highest proportion of targets ‘</w:t>
      </w:r>
      <w:r w:rsidR="00AE6E0F">
        <w:t>on t</w:t>
      </w:r>
      <w:r w:rsidR="00E01EB0">
        <w:t>rack’</w:t>
      </w:r>
      <w:r w:rsidR="00A52B0B">
        <w:t xml:space="preserve"> and </w:t>
      </w:r>
      <w:r w:rsidR="00E01EB0">
        <w:t xml:space="preserve">Physical and </w:t>
      </w:r>
      <w:r w:rsidR="00C47F86">
        <w:t>S</w:t>
      </w:r>
      <w:r w:rsidR="00B92E7D">
        <w:t>ensory had</w:t>
      </w:r>
      <w:r w:rsidR="00E01EB0">
        <w:t xml:space="preserve"> the </w:t>
      </w:r>
      <w:r w:rsidR="00A52B0B">
        <w:t xml:space="preserve">lowest. </w:t>
      </w:r>
      <w:r>
        <w:t xml:space="preserve"> This has remained the case for </w:t>
      </w:r>
      <w:proofErr w:type="gramStart"/>
      <w:r>
        <w:t>Spring</w:t>
      </w:r>
      <w:proofErr w:type="gramEnd"/>
      <w:r>
        <w:t>.</w:t>
      </w:r>
      <w:r w:rsidR="00AE6E0F">
        <w:t xml:space="preserve"> Similarly, the performance of these two domains has only marginally changed. Cognition and Learning </w:t>
      </w:r>
      <w:r w:rsidR="00B92E7D">
        <w:t>is the most i</w:t>
      </w:r>
      <w:r w:rsidR="00CE51EB">
        <w:t xml:space="preserve">mproved domain, an increase of </w:t>
      </w:r>
      <w:r w:rsidR="00CE51EB" w:rsidRPr="00CE51EB">
        <w:t>5.9</w:t>
      </w:r>
      <w:r w:rsidR="00B92E7D" w:rsidRPr="00CE51EB">
        <w:t xml:space="preserve">%, </w:t>
      </w:r>
      <w:r w:rsidR="00B92E7D">
        <w:t>followed by Speech Language and Co</w:t>
      </w:r>
      <w:r w:rsidR="00CE51EB">
        <w:t>mmunication with an increase of 2.5%.</w:t>
      </w:r>
      <w:r w:rsidR="00B92E7D">
        <w:t xml:space="preserve"> Independence has fallen by </w:t>
      </w:r>
      <w:r w:rsidR="00B92E7D" w:rsidRPr="00CE51EB">
        <w:t>3.1%</w:t>
      </w:r>
    </w:p>
    <w:p w:rsidR="007B1C21" w:rsidRDefault="00E01EB0">
      <w:pPr>
        <w:rPr>
          <w:b/>
        </w:rPr>
      </w:pPr>
      <w:r w:rsidRPr="00A52B0B">
        <w:rPr>
          <w:b/>
        </w:rPr>
        <w:lastRenderedPageBreak/>
        <w:t>‘</w:t>
      </w:r>
      <w:r w:rsidR="00FE4F0D" w:rsidRPr="00A52B0B">
        <w:rPr>
          <w:b/>
        </w:rPr>
        <w:t>Not On Track</w:t>
      </w:r>
      <w:r w:rsidRPr="00A52B0B">
        <w:rPr>
          <w:b/>
        </w:rPr>
        <w:t>’</w:t>
      </w:r>
      <w:r w:rsidR="00FE4F0D" w:rsidRPr="00A52B0B">
        <w:rPr>
          <w:b/>
        </w:rPr>
        <w:t xml:space="preserve"> Breakdown</w:t>
      </w:r>
    </w:p>
    <w:p w:rsidR="004A03DE" w:rsidRDefault="004A03DE">
      <w:pPr>
        <w:rPr>
          <w:b/>
        </w:rPr>
      </w:pPr>
      <w:r>
        <w:rPr>
          <w:noProof/>
          <w:lang w:eastAsia="en-GB"/>
        </w:rPr>
        <w:drawing>
          <wp:inline distT="0" distB="0" distL="0" distR="0" wp14:anchorId="2DECDB6F" wp14:editId="51A73941">
            <wp:extent cx="3073400" cy="2636520"/>
            <wp:effectExtent l="0" t="0" r="12700" b="114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5126" w:rsidRDefault="00B42A88">
      <w:pPr>
        <w:rPr>
          <w:b/>
        </w:rPr>
      </w:pPr>
      <w:r>
        <w:rPr>
          <w:noProof/>
          <w:lang w:eastAsia="en-GB"/>
        </w:rPr>
        <w:drawing>
          <wp:inline distT="0" distB="0" distL="0" distR="0" wp14:anchorId="45095E64" wp14:editId="463452F3">
            <wp:extent cx="3055620" cy="2639060"/>
            <wp:effectExtent l="0" t="0" r="11430" b="88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5126" w:rsidRDefault="008D37CD">
      <w:pPr>
        <w:rPr>
          <w:b/>
        </w:rPr>
      </w:pPr>
      <w:r>
        <w:rPr>
          <w:noProof/>
          <w:lang w:eastAsia="en-GB"/>
        </w:rPr>
        <w:drawing>
          <wp:inline distT="0" distB="0" distL="0" distR="0" wp14:anchorId="5A2AA988" wp14:editId="7025A019">
            <wp:extent cx="3086100" cy="2646045"/>
            <wp:effectExtent l="0" t="0" r="0" b="19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5126" w:rsidRDefault="00760AA5">
      <w:pPr>
        <w:rPr>
          <w:b/>
        </w:rPr>
      </w:pPr>
      <w:r>
        <w:rPr>
          <w:noProof/>
          <w:lang w:eastAsia="en-GB"/>
        </w:rPr>
        <w:lastRenderedPageBreak/>
        <w:drawing>
          <wp:inline distT="0" distB="0" distL="0" distR="0" wp14:anchorId="252C4D33" wp14:editId="23D51EF0">
            <wp:extent cx="3204210" cy="2646680"/>
            <wp:effectExtent l="0" t="0" r="15240" b="12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0AA5" w:rsidRDefault="00760AA5">
      <w:pPr>
        <w:rPr>
          <w:b/>
        </w:rPr>
      </w:pPr>
      <w:r>
        <w:rPr>
          <w:noProof/>
          <w:lang w:eastAsia="en-GB"/>
        </w:rPr>
        <w:drawing>
          <wp:inline distT="0" distB="0" distL="0" distR="0" wp14:anchorId="2659C3FE" wp14:editId="28DF284D">
            <wp:extent cx="3185160" cy="2522220"/>
            <wp:effectExtent l="0" t="0" r="1524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59C8" w:rsidRDefault="004259C8">
      <w:pPr>
        <w:rPr>
          <w:b/>
        </w:rPr>
      </w:pPr>
      <w:r>
        <w:rPr>
          <w:noProof/>
          <w:lang w:eastAsia="en-GB"/>
        </w:rPr>
        <w:drawing>
          <wp:inline distT="0" distB="0" distL="0" distR="0" wp14:anchorId="0A1AE381" wp14:editId="4F4718CC">
            <wp:extent cx="3196590" cy="2594610"/>
            <wp:effectExtent l="0" t="0" r="3810" b="1524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59C8" w:rsidRDefault="004259C8">
      <w:pPr>
        <w:rPr>
          <w:b/>
        </w:rPr>
      </w:pPr>
    </w:p>
    <w:p w:rsidR="004259C8" w:rsidRPr="000510EF" w:rsidRDefault="004259C8">
      <w:pPr>
        <w:rPr>
          <w:b/>
        </w:rPr>
      </w:pPr>
    </w:p>
    <w:tbl>
      <w:tblPr>
        <w:tblStyle w:val="TableGrid"/>
        <w:tblpPr w:leftFromText="180" w:rightFromText="180" w:vertAnchor="text" w:horzAnchor="margin" w:tblpXSpec="right" w:tblpY="43"/>
        <w:tblW w:w="0" w:type="auto"/>
        <w:tblLook w:val="04A0" w:firstRow="1" w:lastRow="0" w:firstColumn="1" w:lastColumn="0" w:noHBand="0" w:noVBand="1"/>
      </w:tblPr>
      <w:tblGrid>
        <w:gridCol w:w="1081"/>
        <w:gridCol w:w="3467"/>
      </w:tblGrid>
      <w:tr w:rsidR="00D81C0E" w:rsidRPr="00D81C0E" w:rsidTr="000E5CE0">
        <w:trPr>
          <w:trHeight w:val="244"/>
        </w:trPr>
        <w:tc>
          <w:tcPr>
            <w:tcW w:w="4548" w:type="dxa"/>
            <w:gridSpan w:val="2"/>
            <w:shd w:val="clear" w:color="auto" w:fill="FFFFFF" w:themeFill="background1"/>
          </w:tcPr>
          <w:p w:rsidR="007B1C21" w:rsidRDefault="007B1C21"/>
          <w:p w:rsidR="00D81C0E" w:rsidRPr="00D81C0E" w:rsidRDefault="00D81C0E" w:rsidP="00D81C0E">
            <w:pPr>
              <w:rPr>
                <w:b/>
                <w:szCs w:val="24"/>
              </w:rPr>
            </w:pPr>
            <w:r w:rsidRPr="00D81C0E">
              <w:rPr>
                <w:b/>
                <w:szCs w:val="24"/>
              </w:rPr>
              <w:t>Key</w:t>
            </w:r>
          </w:p>
        </w:tc>
      </w:tr>
      <w:tr w:rsidR="00D81C0E" w:rsidRPr="00D81C0E" w:rsidTr="008D37CD">
        <w:trPr>
          <w:trHeight w:val="238"/>
        </w:trPr>
        <w:tc>
          <w:tcPr>
            <w:tcW w:w="1081" w:type="dxa"/>
            <w:shd w:val="clear" w:color="auto" w:fill="4BACC6" w:themeFill="accent5"/>
          </w:tcPr>
          <w:p w:rsidR="00D81C0E" w:rsidRPr="00D81C0E" w:rsidRDefault="00D81C0E" w:rsidP="00D81C0E">
            <w:pPr>
              <w:rPr>
                <w:szCs w:val="24"/>
              </w:rPr>
            </w:pPr>
          </w:p>
        </w:tc>
        <w:tc>
          <w:tcPr>
            <w:tcW w:w="3467" w:type="dxa"/>
          </w:tcPr>
          <w:p w:rsidR="00D81C0E" w:rsidRPr="00D81C0E" w:rsidRDefault="00D81C0E" w:rsidP="00D81C0E">
            <w:pPr>
              <w:rPr>
                <w:szCs w:val="24"/>
              </w:rPr>
            </w:pPr>
            <w:r w:rsidRPr="00D81C0E">
              <w:rPr>
                <w:szCs w:val="24"/>
              </w:rPr>
              <w:t>Attendance</w:t>
            </w:r>
          </w:p>
        </w:tc>
      </w:tr>
      <w:tr w:rsidR="00D81C0E" w:rsidRPr="00D81C0E" w:rsidTr="00760AA5">
        <w:trPr>
          <w:trHeight w:val="241"/>
        </w:trPr>
        <w:tc>
          <w:tcPr>
            <w:tcW w:w="1081" w:type="dxa"/>
            <w:shd w:val="clear" w:color="auto" w:fill="F79646" w:themeFill="accent6"/>
          </w:tcPr>
          <w:p w:rsidR="00D81C0E" w:rsidRPr="00D81C0E" w:rsidRDefault="00D81C0E" w:rsidP="00D81C0E">
            <w:pPr>
              <w:rPr>
                <w:szCs w:val="24"/>
              </w:rPr>
            </w:pPr>
          </w:p>
        </w:tc>
        <w:tc>
          <w:tcPr>
            <w:tcW w:w="3467" w:type="dxa"/>
          </w:tcPr>
          <w:p w:rsidR="00D81C0E" w:rsidRPr="00D81C0E" w:rsidRDefault="00D81C0E" w:rsidP="00D81C0E">
            <w:pPr>
              <w:rPr>
                <w:szCs w:val="24"/>
              </w:rPr>
            </w:pPr>
            <w:r w:rsidRPr="00D81C0E">
              <w:rPr>
                <w:szCs w:val="24"/>
              </w:rPr>
              <w:t>Medical</w:t>
            </w:r>
          </w:p>
        </w:tc>
      </w:tr>
      <w:tr w:rsidR="00D81C0E" w:rsidRPr="00D81C0E" w:rsidTr="006E5126">
        <w:trPr>
          <w:trHeight w:val="257"/>
        </w:trPr>
        <w:tc>
          <w:tcPr>
            <w:tcW w:w="1081" w:type="dxa"/>
            <w:shd w:val="clear" w:color="auto" w:fill="A6A6A6" w:themeFill="background1" w:themeFillShade="A6"/>
          </w:tcPr>
          <w:p w:rsidR="00D81C0E" w:rsidRPr="00D81C0E" w:rsidRDefault="00D81C0E" w:rsidP="00D81C0E">
            <w:pPr>
              <w:rPr>
                <w:szCs w:val="24"/>
              </w:rPr>
            </w:pPr>
          </w:p>
        </w:tc>
        <w:tc>
          <w:tcPr>
            <w:tcW w:w="3467" w:type="dxa"/>
          </w:tcPr>
          <w:p w:rsidR="00D81C0E" w:rsidRPr="00D81C0E" w:rsidRDefault="00D81C0E" w:rsidP="00D81C0E">
            <w:pPr>
              <w:rPr>
                <w:szCs w:val="24"/>
              </w:rPr>
            </w:pPr>
            <w:r w:rsidRPr="00D81C0E">
              <w:rPr>
                <w:szCs w:val="24"/>
              </w:rPr>
              <w:t>Behaviour</w:t>
            </w:r>
          </w:p>
        </w:tc>
      </w:tr>
      <w:tr w:rsidR="00D81C0E" w:rsidRPr="00D81C0E" w:rsidTr="006E5126">
        <w:trPr>
          <w:trHeight w:val="236"/>
        </w:trPr>
        <w:tc>
          <w:tcPr>
            <w:tcW w:w="1081" w:type="dxa"/>
            <w:shd w:val="clear" w:color="auto" w:fill="FFC000"/>
          </w:tcPr>
          <w:p w:rsidR="00D81C0E" w:rsidRPr="00D81C0E" w:rsidRDefault="00D81C0E" w:rsidP="00D81C0E">
            <w:pPr>
              <w:rPr>
                <w:szCs w:val="24"/>
              </w:rPr>
            </w:pPr>
          </w:p>
        </w:tc>
        <w:tc>
          <w:tcPr>
            <w:tcW w:w="3467" w:type="dxa"/>
          </w:tcPr>
          <w:p w:rsidR="00D81C0E" w:rsidRPr="00D81C0E" w:rsidRDefault="00D81C0E" w:rsidP="00D81C0E">
            <w:pPr>
              <w:rPr>
                <w:szCs w:val="24"/>
              </w:rPr>
            </w:pPr>
            <w:r w:rsidRPr="00D81C0E">
              <w:rPr>
                <w:szCs w:val="24"/>
              </w:rPr>
              <w:t>Resources / Training</w:t>
            </w:r>
          </w:p>
        </w:tc>
      </w:tr>
      <w:tr w:rsidR="00D81C0E" w:rsidRPr="00D81C0E" w:rsidTr="008D37CD">
        <w:trPr>
          <w:trHeight w:val="240"/>
        </w:trPr>
        <w:tc>
          <w:tcPr>
            <w:tcW w:w="1081" w:type="dxa"/>
            <w:shd w:val="clear" w:color="auto" w:fill="548DD4" w:themeFill="text2" w:themeFillTint="99"/>
          </w:tcPr>
          <w:p w:rsidR="00D81C0E" w:rsidRPr="00D81C0E" w:rsidRDefault="00D81C0E" w:rsidP="00D81C0E">
            <w:pPr>
              <w:rPr>
                <w:szCs w:val="24"/>
              </w:rPr>
            </w:pPr>
          </w:p>
        </w:tc>
        <w:tc>
          <w:tcPr>
            <w:tcW w:w="3467" w:type="dxa"/>
          </w:tcPr>
          <w:p w:rsidR="00D81C0E" w:rsidRPr="00D81C0E" w:rsidRDefault="00D81C0E" w:rsidP="00D81C0E">
            <w:pPr>
              <w:rPr>
                <w:szCs w:val="24"/>
              </w:rPr>
            </w:pPr>
            <w:r w:rsidRPr="00D81C0E">
              <w:rPr>
                <w:szCs w:val="24"/>
              </w:rPr>
              <w:t>Inappropriate Expectations</w:t>
            </w:r>
          </w:p>
        </w:tc>
      </w:tr>
      <w:tr w:rsidR="00D81C0E" w:rsidRPr="00D81C0E" w:rsidTr="006E5126">
        <w:trPr>
          <w:trHeight w:val="255"/>
        </w:trPr>
        <w:tc>
          <w:tcPr>
            <w:tcW w:w="1081" w:type="dxa"/>
            <w:shd w:val="clear" w:color="auto" w:fill="9BBB59" w:themeFill="accent3"/>
          </w:tcPr>
          <w:p w:rsidR="00D81C0E" w:rsidRPr="00D81C0E" w:rsidRDefault="00D81C0E" w:rsidP="00D81C0E">
            <w:pPr>
              <w:rPr>
                <w:szCs w:val="24"/>
              </w:rPr>
            </w:pPr>
          </w:p>
        </w:tc>
        <w:tc>
          <w:tcPr>
            <w:tcW w:w="3467" w:type="dxa"/>
          </w:tcPr>
          <w:p w:rsidR="00D81C0E" w:rsidRPr="00D81C0E" w:rsidRDefault="00D81C0E" w:rsidP="00D81C0E">
            <w:pPr>
              <w:rPr>
                <w:szCs w:val="24"/>
              </w:rPr>
            </w:pPr>
            <w:r w:rsidRPr="00D81C0E">
              <w:rPr>
                <w:szCs w:val="24"/>
              </w:rPr>
              <w:t>Other</w:t>
            </w:r>
          </w:p>
        </w:tc>
      </w:tr>
    </w:tbl>
    <w:p w:rsidR="007B1C21" w:rsidRDefault="00FE4F0D">
      <w:r>
        <w:t xml:space="preserve">   </w:t>
      </w:r>
    </w:p>
    <w:p w:rsidR="007B1C21" w:rsidRDefault="00FE4F0D">
      <w:r>
        <w:t xml:space="preserve">   </w:t>
      </w:r>
    </w:p>
    <w:p w:rsidR="007B1C21" w:rsidRDefault="007B1C21"/>
    <w:p w:rsidR="000E5CE0" w:rsidRDefault="000E5CE0"/>
    <w:p w:rsidR="000E5CE0" w:rsidRDefault="000E5CE0"/>
    <w:p w:rsidR="007B1C21" w:rsidRDefault="004259C8">
      <w:r>
        <w:t xml:space="preserve">As was the case in </w:t>
      </w:r>
      <w:proofErr w:type="gramStart"/>
      <w:r>
        <w:t>Autumn</w:t>
      </w:r>
      <w:proofErr w:type="gramEnd"/>
      <w:r>
        <w:t xml:space="preserve">, </w:t>
      </w:r>
      <w:r w:rsidR="00C47F86" w:rsidRPr="004259C8">
        <w:t>‘Inapprop</w:t>
      </w:r>
      <w:r w:rsidR="003322ED">
        <w:t>riate Expectation’ remains</w:t>
      </w:r>
      <w:r w:rsidR="00C47F86" w:rsidRPr="004259C8">
        <w:t xml:space="preserve"> the most significant reason for under</w:t>
      </w:r>
      <w:r w:rsidR="003322ED">
        <w:t>performance, however its significance has also remained constant (36% in Autumn). This would indicate that</w:t>
      </w:r>
      <w:r w:rsidR="00C47F86" w:rsidRPr="004259C8">
        <w:t xml:space="preserve"> </w:t>
      </w:r>
      <w:r w:rsidR="003322ED">
        <w:t xml:space="preserve">the </w:t>
      </w:r>
      <w:r w:rsidR="00C47F86" w:rsidRPr="004259C8">
        <w:t xml:space="preserve">work </w:t>
      </w:r>
      <w:r w:rsidR="003322ED">
        <w:t>already started to strength</w:t>
      </w:r>
      <w:r w:rsidR="00D9545D">
        <w:t>en</w:t>
      </w:r>
      <w:bookmarkStart w:id="0" w:name="_GoBack"/>
      <w:bookmarkEnd w:id="0"/>
      <w:r w:rsidR="003322ED">
        <w:t xml:space="preserve"> </w:t>
      </w:r>
      <w:r w:rsidR="00C47F86" w:rsidRPr="004259C8">
        <w:t>target setting and moderation</w:t>
      </w:r>
      <w:r w:rsidR="003322ED">
        <w:t>, needed to continue.</w:t>
      </w:r>
    </w:p>
    <w:p w:rsidR="00294499" w:rsidRPr="000E5CE0" w:rsidRDefault="00E01EB0" w:rsidP="00E01EB0">
      <w:pPr>
        <w:rPr>
          <w:b/>
          <w:u w:val="single"/>
        </w:rPr>
      </w:pPr>
      <w:r w:rsidRPr="000E5CE0">
        <w:rPr>
          <w:b/>
          <w:u w:val="single"/>
        </w:rPr>
        <w:t xml:space="preserve">Section 2: </w:t>
      </w:r>
      <w:r w:rsidR="00FE4F0D" w:rsidRPr="000E5CE0">
        <w:rPr>
          <w:b/>
          <w:u w:val="single"/>
        </w:rPr>
        <w:t>Pupil Premium</w:t>
      </w:r>
    </w:p>
    <w:tbl>
      <w:tblPr>
        <w:tblStyle w:val="TableGrid"/>
        <w:tblW w:w="0" w:type="auto"/>
        <w:tblLook w:val="04A0" w:firstRow="1" w:lastRow="0" w:firstColumn="1" w:lastColumn="0" w:noHBand="0" w:noVBand="1"/>
      </w:tblPr>
      <w:tblGrid>
        <w:gridCol w:w="2984"/>
        <w:gridCol w:w="1805"/>
        <w:gridCol w:w="1415"/>
        <w:gridCol w:w="1406"/>
        <w:gridCol w:w="1406"/>
      </w:tblGrid>
      <w:tr w:rsidR="00294499" w:rsidTr="00294499">
        <w:tc>
          <w:tcPr>
            <w:tcW w:w="2984" w:type="dxa"/>
            <w:tcBorders>
              <w:top w:val="nil"/>
              <w:left w:val="nil"/>
            </w:tcBorders>
          </w:tcPr>
          <w:p w:rsidR="00294499" w:rsidRPr="000E5CE0" w:rsidRDefault="00294499" w:rsidP="0066592E">
            <w:pPr>
              <w:jc w:val="center"/>
              <w:rPr>
                <w:b/>
              </w:rPr>
            </w:pPr>
          </w:p>
        </w:tc>
        <w:tc>
          <w:tcPr>
            <w:tcW w:w="3220" w:type="dxa"/>
            <w:gridSpan w:val="2"/>
            <w:shd w:val="clear" w:color="auto" w:fill="D9D9D9" w:themeFill="background1" w:themeFillShade="D9"/>
          </w:tcPr>
          <w:p w:rsidR="00294499" w:rsidRPr="000E5CE0" w:rsidRDefault="00294499" w:rsidP="0066592E">
            <w:pPr>
              <w:jc w:val="center"/>
              <w:rPr>
                <w:b/>
              </w:rPr>
            </w:pPr>
            <w:r>
              <w:rPr>
                <w:b/>
              </w:rPr>
              <w:t>Autumn</w:t>
            </w:r>
          </w:p>
        </w:tc>
        <w:tc>
          <w:tcPr>
            <w:tcW w:w="2812" w:type="dxa"/>
            <w:gridSpan w:val="2"/>
            <w:shd w:val="clear" w:color="auto" w:fill="D9D9D9" w:themeFill="background1" w:themeFillShade="D9"/>
          </w:tcPr>
          <w:p w:rsidR="00294499" w:rsidRPr="000E5CE0" w:rsidRDefault="00294499" w:rsidP="0066592E">
            <w:pPr>
              <w:jc w:val="center"/>
              <w:rPr>
                <w:b/>
              </w:rPr>
            </w:pPr>
            <w:r>
              <w:rPr>
                <w:b/>
              </w:rPr>
              <w:t>Spring</w:t>
            </w:r>
          </w:p>
        </w:tc>
      </w:tr>
      <w:tr w:rsidR="00294499" w:rsidTr="00294499">
        <w:tc>
          <w:tcPr>
            <w:tcW w:w="2984" w:type="dxa"/>
            <w:shd w:val="clear" w:color="auto" w:fill="FFFFFF" w:themeFill="background1"/>
          </w:tcPr>
          <w:p w:rsidR="00294499" w:rsidRPr="000E5CE0" w:rsidRDefault="00294499" w:rsidP="00294499">
            <w:pPr>
              <w:jc w:val="center"/>
              <w:rPr>
                <w:b/>
              </w:rPr>
            </w:pPr>
          </w:p>
        </w:tc>
        <w:tc>
          <w:tcPr>
            <w:tcW w:w="1805" w:type="dxa"/>
            <w:shd w:val="clear" w:color="auto" w:fill="D9D9D9" w:themeFill="background1" w:themeFillShade="D9"/>
          </w:tcPr>
          <w:p w:rsidR="00294499" w:rsidRPr="000E5CE0" w:rsidRDefault="00294499" w:rsidP="00294499">
            <w:pPr>
              <w:jc w:val="center"/>
              <w:rPr>
                <w:b/>
              </w:rPr>
            </w:pPr>
            <w:r w:rsidRPr="000E5CE0">
              <w:rPr>
                <w:b/>
              </w:rPr>
              <w:t>Non Pupil Premium</w:t>
            </w:r>
          </w:p>
        </w:tc>
        <w:tc>
          <w:tcPr>
            <w:tcW w:w="1415" w:type="dxa"/>
            <w:shd w:val="clear" w:color="auto" w:fill="D9D9D9" w:themeFill="background1" w:themeFillShade="D9"/>
          </w:tcPr>
          <w:p w:rsidR="00294499" w:rsidRPr="000E5CE0" w:rsidRDefault="00294499" w:rsidP="00294499">
            <w:pPr>
              <w:jc w:val="center"/>
              <w:rPr>
                <w:b/>
              </w:rPr>
            </w:pPr>
            <w:r w:rsidRPr="000E5CE0">
              <w:rPr>
                <w:b/>
              </w:rPr>
              <w:t>Pupil Premium</w:t>
            </w:r>
          </w:p>
        </w:tc>
        <w:tc>
          <w:tcPr>
            <w:tcW w:w="1406" w:type="dxa"/>
            <w:shd w:val="clear" w:color="auto" w:fill="D9D9D9" w:themeFill="background1" w:themeFillShade="D9"/>
          </w:tcPr>
          <w:p w:rsidR="00294499" w:rsidRPr="000E5CE0" w:rsidRDefault="00294499" w:rsidP="00294499">
            <w:pPr>
              <w:jc w:val="center"/>
              <w:rPr>
                <w:b/>
              </w:rPr>
            </w:pPr>
            <w:r w:rsidRPr="000E5CE0">
              <w:rPr>
                <w:b/>
              </w:rPr>
              <w:t>Non Pupil Premium</w:t>
            </w:r>
          </w:p>
        </w:tc>
        <w:tc>
          <w:tcPr>
            <w:tcW w:w="1406" w:type="dxa"/>
            <w:shd w:val="clear" w:color="auto" w:fill="D9D9D9" w:themeFill="background1" w:themeFillShade="D9"/>
          </w:tcPr>
          <w:p w:rsidR="00294499" w:rsidRPr="000E5CE0" w:rsidRDefault="00294499" w:rsidP="00294499">
            <w:pPr>
              <w:jc w:val="center"/>
              <w:rPr>
                <w:b/>
              </w:rPr>
            </w:pPr>
            <w:r w:rsidRPr="000E5CE0">
              <w:rPr>
                <w:b/>
              </w:rPr>
              <w:t>Pupil Premium</w:t>
            </w:r>
          </w:p>
        </w:tc>
      </w:tr>
      <w:tr w:rsidR="00294499" w:rsidTr="00294499">
        <w:tc>
          <w:tcPr>
            <w:tcW w:w="2984" w:type="dxa"/>
          </w:tcPr>
          <w:p w:rsidR="00294499" w:rsidRDefault="00294499" w:rsidP="00294499">
            <w:pPr>
              <w:jc w:val="center"/>
            </w:pPr>
            <w:r>
              <w:t>Not On Track</w:t>
            </w:r>
          </w:p>
        </w:tc>
        <w:tc>
          <w:tcPr>
            <w:tcW w:w="1805" w:type="dxa"/>
          </w:tcPr>
          <w:p w:rsidR="00294499" w:rsidRDefault="00294499" w:rsidP="00294499">
            <w:pPr>
              <w:jc w:val="center"/>
            </w:pPr>
            <w:r>
              <w:t>7.1%</w:t>
            </w:r>
          </w:p>
        </w:tc>
        <w:tc>
          <w:tcPr>
            <w:tcW w:w="1415" w:type="dxa"/>
          </w:tcPr>
          <w:p w:rsidR="00294499" w:rsidRDefault="00294499" w:rsidP="00294499">
            <w:pPr>
              <w:jc w:val="center"/>
            </w:pPr>
            <w:r>
              <w:t>12.7%</w:t>
            </w:r>
          </w:p>
        </w:tc>
        <w:tc>
          <w:tcPr>
            <w:tcW w:w="1406" w:type="dxa"/>
          </w:tcPr>
          <w:p w:rsidR="00294499" w:rsidRDefault="00294499" w:rsidP="00294499">
            <w:pPr>
              <w:jc w:val="center"/>
            </w:pPr>
            <w:r>
              <w:t>11.0%</w:t>
            </w:r>
          </w:p>
        </w:tc>
        <w:tc>
          <w:tcPr>
            <w:tcW w:w="1406" w:type="dxa"/>
          </w:tcPr>
          <w:p w:rsidR="00294499" w:rsidRDefault="00294499" w:rsidP="00294499">
            <w:pPr>
              <w:jc w:val="center"/>
            </w:pPr>
            <w:r>
              <w:t>11.5%</w:t>
            </w:r>
          </w:p>
        </w:tc>
      </w:tr>
      <w:tr w:rsidR="00294499" w:rsidTr="00294499">
        <w:tc>
          <w:tcPr>
            <w:tcW w:w="2984" w:type="dxa"/>
          </w:tcPr>
          <w:p w:rsidR="00294499" w:rsidRDefault="00294499" w:rsidP="00294499">
            <w:pPr>
              <w:jc w:val="center"/>
            </w:pPr>
            <w:r>
              <w:t>On Track</w:t>
            </w:r>
          </w:p>
        </w:tc>
        <w:tc>
          <w:tcPr>
            <w:tcW w:w="1805" w:type="dxa"/>
          </w:tcPr>
          <w:p w:rsidR="00294499" w:rsidRDefault="00294499" w:rsidP="00294499">
            <w:pPr>
              <w:jc w:val="center"/>
            </w:pPr>
            <w:r>
              <w:t>92.9%</w:t>
            </w:r>
          </w:p>
        </w:tc>
        <w:tc>
          <w:tcPr>
            <w:tcW w:w="1415" w:type="dxa"/>
          </w:tcPr>
          <w:p w:rsidR="00294499" w:rsidRDefault="00294499" w:rsidP="00294499">
            <w:pPr>
              <w:jc w:val="center"/>
            </w:pPr>
            <w:r>
              <w:t>87.3%</w:t>
            </w:r>
          </w:p>
        </w:tc>
        <w:tc>
          <w:tcPr>
            <w:tcW w:w="1406" w:type="dxa"/>
          </w:tcPr>
          <w:p w:rsidR="00294499" w:rsidRDefault="00294499" w:rsidP="00294499">
            <w:pPr>
              <w:jc w:val="center"/>
            </w:pPr>
            <w:r>
              <w:t>89.0%</w:t>
            </w:r>
          </w:p>
        </w:tc>
        <w:tc>
          <w:tcPr>
            <w:tcW w:w="1406" w:type="dxa"/>
          </w:tcPr>
          <w:p w:rsidR="00294499" w:rsidRDefault="00294499" w:rsidP="00294499">
            <w:pPr>
              <w:jc w:val="center"/>
            </w:pPr>
            <w:r>
              <w:t>88.6%</w:t>
            </w:r>
          </w:p>
        </w:tc>
      </w:tr>
    </w:tbl>
    <w:p w:rsidR="007B1C21" w:rsidRDefault="007B1C21">
      <w:pPr>
        <w:jc w:val="center"/>
        <w:rPr>
          <w:u w:val="single"/>
        </w:rPr>
      </w:pPr>
    </w:p>
    <w:p w:rsidR="00294499" w:rsidRDefault="00294499" w:rsidP="00294499">
      <w:pPr>
        <w:rPr>
          <w:u w:val="single"/>
        </w:rPr>
      </w:pPr>
      <w:r>
        <w:rPr>
          <w:u w:val="single"/>
        </w:rPr>
        <w:t>Autumn Results</w:t>
      </w:r>
    </w:p>
    <w:tbl>
      <w:tblPr>
        <w:tblStyle w:val="TableGrid"/>
        <w:tblW w:w="0" w:type="auto"/>
        <w:tblLook w:val="04A0" w:firstRow="1" w:lastRow="0" w:firstColumn="1" w:lastColumn="0" w:noHBand="0" w:noVBand="1"/>
      </w:tblPr>
      <w:tblGrid>
        <w:gridCol w:w="1972"/>
        <w:gridCol w:w="1761"/>
        <w:gridCol w:w="1761"/>
        <w:gridCol w:w="1761"/>
        <w:gridCol w:w="1761"/>
      </w:tblGrid>
      <w:tr w:rsidR="007B1C21" w:rsidTr="000E5CE0">
        <w:tc>
          <w:tcPr>
            <w:tcW w:w="1972" w:type="dxa"/>
          </w:tcPr>
          <w:p w:rsidR="007B1C21" w:rsidRDefault="007B1C21">
            <w:pPr>
              <w:jc w:val="center"/>
            </w:pPr>
          </w:p>
        </w:tc>
        <w:tc>
          <w:tcPr>
            <w:tcW w:w="3522" w:type="dxa"/>
            <w:gridSpan w:val="2"/>
            <w:shd w:val="clear" w:color="auto" w:fill="D9D9D9" w:themeFill="background1" w:themeFillShade="D9"/>
          </w:tcPr>
          <w:p w:rsidR="007B1C21" w:rsidRPr="000E5CE0" w:rsidRDefault="00FE4F0D">
            <w:pPr>
              <w:jc w:val="center"/>
              <w:rPr>
                <w:b/>
              </w:rPr>
            </w:pPr>
            <w:r w:rsidRPr="000E5CE0">
              <w:rPr>
                <w:b/>
              </w:rPr>
              <w:t>Pupil Premium</w:t>
            </w:r>
          </w:p>
        </w:tc>
        <w:tc>
          <w:tcPr>
            <w:tcW w:w="3522" w:type="dxa"/>
            <w:gridSpan w:val="2"/>
            <w:shd w:val="clear" w:color="auto" w:fill="D9D9D9" w:themeFill="background1" w:themeFillShade="D9"/>
          </w:tcPr>
          <w:p w:rsidR="007B1C21" w:rsidRPr="000E5CE0" w:rsidRDefault="00FE4F0D">
            <w:pPr>
              <w:jc w:val="center"/>
              <w:rPr>
                <w:b/>
              </w:rPr>
            </w:pPr>
            <w:r w:rsidRPr="000E5CE0">
              <w:rPr>
                <w:b/>
              </w:rPr>
              <w:t>Non Pupil Premium</w:t>
            </w:r>
          </w:p>
        </w:tc>
      </w:tr>
      <w:tr w:rsidR="007B1C21">
        <w:tc>
          <w:tcPr>
            <w:tcW w:w="1972" w:type="dxa"/>
          </w:tcPr>
          <w:p w:rsidR="007B1C21" w:rsidRDefault="007B1C21">
            <w:pPr>
              <w:jc w:val="center"/>
            </w:pPr>
          </w:p>
        </w:tc>
        <w:tc>
          <w:tcPr>
            <w:tcW w:w="1761" w:type="dxa"/>
          </w:tcPr>
          <w:p w:rsidR="007B1C21" w:rsidRPr="000E5CE0" w:rsidRDefault="00FE4F0D">
            <w:pPr>
              <w:jc w:val="center"/>
              <w:rPr>
                <w:b/>
              </w:rPr>
            </w:pPr>
            <w:r w:rsidRPr="000E5CE0">
              <w:rPr>
                <w:b/>
              </w:rPr>
              <w:t>On Track</w:t>
            </w:r>
          </w:p>
        </w:tc>
        <w:tc>
          <w:tcPr>
            <w:tcW w:w="1761" w:type="dxa"/>
          </w:tcPr>
          <w:p w:rsidR="007B1C21" w:rsidRPr="000E5CE0" w:rsidRDefault="00FE4F0D">
            <w:pPr>
              <w:jc w:val="center"/>
              <w:rPr>
                <w:b/>
              </w:rPr>
            </w:pPr>
            <w:r w:rsidRPr="000E5CE0">
              <w:rPr>
                <w:b/>
              </w:rPr>
              <w:t>Not On Track</w:t>
            </w:r>
          </w:p>
        </w:tc>
        <w:tc>
          <w:tcPr>
            <w:tcW w:w="1761" w:type="dxa"/>
          </w:tcPr>
          <w:p w:rsidR="007B1C21" w:rsidRPr="000E5CE0" w:rsidRDefault="00FE4F0D">
            <w:pPr>
              <w:jc w:val="center"/>
              <w:rPr>
                <w:b/>
              </w:rPr>
            </w:pPr>
            <w:r w:rsidRPr="000E5CE0">
              <w:rPr>
                <w:b/>
              </w:rPr>
              <w:t>On Track</w:t>
            </w:r>
          </w:p>
        </w:tc>
        <w:tc>
          <w:tcPr>
            <w:tcW w:w="1761" w:type="dxa"/>
          </w:tcPr>
          <w:p w:rsidR="007B1C21" w:rsidRPr="000E5CE0" w:rsidRDefault="00FE4F0D">
            <w:pPr>
              <w:jc w:val="center"/>
              <w:rPr>
                <w:b/>
              </w:rPr>
            </w:pPr>
            <w:r w:rsidRPr="000E5CE0">
              <w:rPr>
                <w:b/>
              </w:rPr>
              <w:t>Not On Track</w:t>
            </w:r>
          </w:p>
        </w:tc>
      </w:tr>
      <w:tr w:rsidR="007B1C21">
        <w:tc>
          <w:tcPr>
            <w:tcW w:w="1972" w:type="dxa"/>
          </w:tcPr>
          <w:p w:rsidR="007B1C21" w:rsidRDefault="00FE4F0D">
            <w:pPr>
              <w:jc w:val="center"/>
            </w:pPr>
            <w:r>
              <w:t>CL</w:t>
            </w:r>
          </w:p>
        </w:tc>
        <w:tc>
          <w:tcPr>
            <w:tcW w:w="1761" w:type="dxa"/>
          </w:tcPr>
          <w:p w:rsidR="007B1C21" w:rsidRDefault="00FE4F0D">
            <w:pPr>
              <w:jc w:val="center"/>
            </w:pPr>
            <w:r>
              <w:t>83.7%</w:t>
            </w:r>
          </w:p>
        </w:tc>
        <w:tc>
          <w:tcPr>
            <w:tcW w:w="1761" w:type="dxa"/>
          </w:tcPr>
          <w:p w:rsidR="007B1C21" w:rsidRDefault="00FE4F0D">
            <w:pPr>
              <w:jc w:val="center"/>
            </w:pPr>
            <w:r>
              <w:t>16.3%</w:t>
            </w:r>
          </w:p>
        </w:tc>
        <w:tc>
          <w:tcPr>
            <w:tcW w:w="1761" w:type="dxa"/>
          </w:tcPr>
          <w:p w:rsidR="007B1C21" w:rsidRDefault="00FE4F0D">
            <w:pPr>
              <w:jc w:val="center"/>
            </w:pPr>
            <w:r>
              <w:t>92.1%</w:t>
            </w:r>
          </w:p>
        </w:tc>
        <w:tc>
          <w:tcPr>
            <w:tcW w:w="1761" w:type="dxa"/>
          </w:tcPr>
          <w:p w:rsidR="007B1C21" w:rsidRDefault="00FE4F0D">
            <w:pPr>
              <w:jc w:val="center"/>
            </w:pPr>
            <w:r>
              <w:t>7.9%</w:t>
            </w:r>
          </w:p>
        </w:tc>
      </w:tr>
      <w:tr w:rsidR="007B1C21">
        <w:tc>
          <w:tcPr>
            <w:tcW w:w="1972" w:type="dxa"/>
          </w:tcPr>
          <w:p w:rsidR="007B1C21" w:rsidRDefault="00FE4F0D">
            <w:pPr>
              <w:jc w:val="center"/>
            </w:pPr>
            <w:r>
              <w:t>I</w:t>
            </w:r>
          </w:p>
        </w:tc>
        <w:tc>
          <w:tcPr>
            <w:tcW w:w="1761" w:type="dxa"/>
          </w:tcPr>
          <w:p w:rsidR="007B1C21" w:rsidRDefault="00FE4F0D">
            <w:pPr>
              <w:jc w:val="center"/>
            </w:pPr>
            <w:r>
              <w:t>91.7%</w:t>
            </w:r>
          </w:p>
        </w:tc>
        <w:tc>
          <w:tcPr>
            <w:tcW w:w="1761" w:type="dxa"/>
          </w:tcPr>
          <w:p w:rsidR="007B1C21" w:rsidRDefault="00FE4F0D">
            <w:pPr>
              <w:jc w:val="center"/>
            </w:pPr>
            <w:r>
              <w:t>8.3%</w:t>
            </w:r>
          </w:p>
        </w:tc>
        <w:tc>
          <w:tcPr>
            <w:tcW w:w="1761" w:type="dxa"/>
          </w:tcPr>
          <w:p w:rsidR="007B1C21" w:rsidRDefault="00FE4F0D">
            <w:pPr>
              <w:jc w:val="center"/>
            </w:pPr>
            <w:r>
              <w:t>93.1%</w:t>
            </w:r>
          </w:p>
        </w:tc>
        <w:tc>
          <w:tcPr>
            <w:tcW w:w="1761" w:type="dxa"/>
          </w:tcPr>
          <w:p w:rsidR="007B1C21" w:rsidRDefault="00FE4F0D">
            <w:pPr>
              <w:jc w:val="center"/>
            </w:pPr>
            <w:r>
              <w:t>6.9%</w:t>
            </w:r>
          </w:p>
        </w:tc>
      </w:tr>
      <w:tr w:rsidR="007B1C21">
        <w:tc>
          <w:tcPr>
            <w:tcW w:w="1972" w:type="dxa"/>
          </w:tcPr>
          <w:p w:rsidR="007B1C21" w:rsidRDefault="00FE4F0D">
            <w:pPr>
              <w:jc w:val="center"/>
            </w:pPr>
            <w:r>
              <w:t>PS</w:t>
            </w:r>
          </w:p>
        </w:tc>
        <w:tc>
          <w:tcPr>
            <w:tcW w:w="1761" w:type="dxa"/>
          </w:tcPr>
          <w:p w:rsidR="007B1C21" w:rsidRDefault="00FE4F0D">
            <w:pPr>
              <w:jc w:val="center"/>
            </w:pPr>
            <w:r>
              <w:t>80.7%</w:t>
            </w:r>
          </w:p>
        </w:tc>
        <w:tc>
          <w:tcPr>
            <w:tcW w:w="1761" w:type="dxa"/>
          </w:tcPr>
          <w:p w:rsidR="007B1C21" w:rsidRDefault="00FE4F0D">
            <w:pPr>
              <w:jc w:val="center"/>
            </w:pPr>
            <w:r>
              <w:t>19.4%</w:t>
            </w:r>
          </w:p>
        </w:tc>
        <w:tc>
          <w:tcPr>
            <w:tcW w:w="1761" w:type="dxa"/>
          </w:tcPr>
          <w:p w:rsidR="007B1C21" w:rsidRDefault="00FE4F0D">
            <w:pPr>
              <w:jc w:val="center"/>
            </w:pPr>
            <w:r>
              <w:t>91.3%</w:t>
            </w:r>
          </w:p>
        </w:tc>
        <w:tc>
          <w:tcPr>
            <w:tcW w:w="1761" w:type="dxa"/>
          </w:tcPr>
          <w:p w:rsidR="007B1C21" w:rsidRDefault="00FE4F0D">
            <w:pPr>
              <w:jc w:val="center"/>
            </w:pPr>
            <w:r>
              <w:t>8.7%</w:t>
            </w:r>
          </w:p>
        </w:tc>
      </w:tr>
      <w:tr w:rsidR="007B1C21">
        <w:tc>
          <w:tcPr>
            <w:tcW w:w="1972" w:type="dxa"/>
          </w:tcPr>
          <w:p w:rsidR="007B1C21" w:rsidRDefault="00FE4F0D">
            <w:pPr>
              <w:jc w:val="center"/>
            </w:pPr>
            <w:r>
              <w:t>SEW</w:t>
            </w:r>
          </w:p>
        </w:tc>
        <w:tc>
          <w:tcPr>
            <w:tcW w:w="1761" w:type="dxa"/>
          </w:tcPr>
          <w:p w:rsidR="007B1C21" w:rsidRDefault="00FE4F0D">
            <w:pPr>
              <w:jc w:val="center"/>
            </w:pPr>
            <w:r>
              <w:t>91.4%</w:t>
            </w:r>
          </w:p>
        </w:tc>
        <w:tc>
          <w:tcPr>
            <w:tcW w:w="1761" w:type="dxa"/>
          </w:tcPr>
          <w:p w:rsidR="007B1C21" w:rsidRDefault="00FE4F0D">
            <w:pPr>
              <w:jc w:val="center"/>
            </w:pPr>
            <w:r>
              <w:t>8.6%</w:t>
            </w:r>
          </w:p>
        </w:tc>
        <w:tc>
          <w:tcPr>
            <w:tcW w:w="1761" w:type="dxa"/>
          </w:tcPr>
          <w:p w:rsidR="007B1C21" w:rsidRDefault="00FE4F0D">
            <w:pPr>
              <w:jc w:val="center"/>
            </w:pPr>
            <w:r>
              <w:t>98.5%</w:t>
            </w:r>
          </w:p>
        </w:tc>
        <w:tc>
          <w:tcPr>
            <w:tcW w:w="1761" w:type="dxa"/>
          </w:tcPr>
          <w:p w:rsidR="007B1C21" w:rsidRDefault="00FE4F0D">
            <w:pPr>
              <w:jc w:val="center"/>
            </w:pPr>
            <w:r>
              <w:t>1.5%</w:t>
            </w:r>
          </w:p>
        </w:tc>
      </w:tr>
      <w:tr w:rsidR="007B1C21">
        <w:tc>
          <w:tcPr>
            <w:tcW w:w="1972" w:type="dxa"/>
          </w:tcPr>
          <w:p w:rsidR="007B1C21" w:rsidRDefault="00FE4F0D">
            <w:pPr>
              <w:jc w:val="center"/>
            </w:pPr>
            <w:r>
              <w:t>SLC</w:t>
            </w:r>
          </w:p>
        </w:tc>
        <w:tc>
          <w:tcPr>
            <w:tcW w:w="1761" w:type="dxa"/>
          </w:tcPr>
          <w:p w:rsidR="007B1C21" w:rsidRDefault="00FE4F0D">
            <w:pPr>
              <w:jc w:val="center"/>
            </w:pPr>
            <w:r>
              <w:t>89.0%</w:t>
            </w:r>
          </w:p>
        </w:tc>
        <w:tc>
          <w:tcPr>
            <w:tcW w:w="1761" w:type="dxa"/>
          </w:tcPr>
          <w:p w:rsidR="007B1C21" w:rsidRDefault="00FE4F0D">
            <w:pPr>
              <w:jc w:val="center"/>
            </w:pPr>
            <w:r>
              <w:t>11.0%</w:t>
            </w:r>
          </w:p>
        </w:tc>
        <w:tc>
          <w:tcPr>
            <w:tcW w:w="1761" w:type="dxa"/>
          </w:tcPr>
          <w:p w:rsidR="007B1C21" w:rsidRDefault="00FE4F0D">
            <w:pPr>
              <w:jc w:val="center"/>
            </w:pPr>
            <w:r>
              <w:t>89.7%</w:t>
            </w:r>
          </w:p>
        </w:tc>
        <w:tc>
          <w:tcPr>
            <w:tcW w:w="1761" w:type="dxa"/>
          </w:tcPr>
          <w:p w:rsidR="007B1C21" w:rsidRDefault="00FE4F0D">
            <w:pPr>
              <w:jc w:val="center"/>
            </w:pPr>
            <w:r>
              <w:t>10.3%</w:t>
            </w:r>
          </w:p>
        </w:tc>
      </w:tr>
    </w:tbl>
    <w:p w:rsidR="000E5CE0" w:rsidRDefault="000E5CE0" w:rsidP="00C47F86"/>
    <w:p w:rsidR="00294499" w:rsidRDefault="00294499" w:rsidP="00294499">
      <w:pPr>
        <w:rPr>
          <w:u w:val="single"/>
        </w:rPr>
      </w:pPr>
      <w:r>
        <w:rPr>
          <w:u w:val="single"/>
        </w:rPr>
        <w:t>Spring Results</w:t>
      </w:r>
    </w:p>
    <w:tbl>
      <w:tblPr>
        <w:tblStyle w:val="TableGrid"/>
        <w:tblW w:w="0" w:type="auto"/>
        <w:tblLook w:val="04A0" w:firstRow="1" w:lastRow="0" w:firstColumn="1" w:lastColumn="0" w:noHBand="0" w:noVBand="1"/>
      </w:tblPr>
      <w:tblGrid>
        <w:gridCol w:w="1972"/>
        <w:gridCol w:w="1761"/>
        <w:gridCol w:w="1761"/>
        <w:gridCol w:w="1761"/>
        <w:gridCol w:w="1761"/>
      </w:tblGrid>
      <w:tr w:rsidR="00294499" w:rsidTr="0066592E">
        <w:tc>
          <w:tcPr>
            <w:tcW w:w="1972" w:type="dxa"/>
          </w:tcPr>
          <w:p w:rsidR="00294499" w:rsidRDefault="00294499" w:rsidP="0066592E">
            <w:pPr>
              <w:jc w:val="center"/>
            </w:pPr>
          </w:p>
        </w:tc>
        <w:tc>
          <w:tcPr>
            <w:tcW w:w="3522" w:type="dxa"/>
            <w:gridSpan w:val="2"/>
            <w:shd w:val="clear" w:color="auto" w:fill="D9D9D9" w:themeFill="background1" w:themeFillShade="D9"/>
          </w:tcPr>
          <w:p w:rsidR="00294499" w:rsidRPr="000E5CE0" w:rsidRDefault="00294499" w:rsidP="0066592E">
            <w:pPr>
              <w:jc w:val="center"/>
              <w:rPr>
                <w:b/>
              </w:rPr>
            </w:pPr>
            <w:r w:rsidRPr="000E5CE0">
              <w:rPr>
                <w:b/>
              </w:rPr>
              <w:t>Pupil Premium</w:t>
            </w:r>
          </w:p>
        </w:tc>
        <w:tc>
          <w:tcPr>
            <w:tcW w:w="3522" w:type="dxa"/>
            <w:gridSpan w:val="2"/>
            <w:shd w:val="clear" w:color="auto" w:fill="D9D9D9" w:themeFill="background1" w:themeFillShade="D9"/>
          </w:tcPr>
          <w:p w:rsidR="00294499" w:rsidRPr="000E5CE0" w:rsidRDefault="00294499" w:rsidP="0066592E">
            <w:pPr>
              <w:jc w:val="center"/>
              <w:rPr>
                <w:b/>
              </w:rPr>
            </w:pPr>
            <w:r w:rsidRPr="000E5CE0">
              <w:rPr>
                <w:b/>
              </w:rPr>
              <w:t>Non Pupil Premium</w:t>
            </w:r>
          </w:p>
        </w:tc>
      </w:tr>
      <w:tr w:rsidR="00294499" w:rsidTr="0066592E">
        <w:tc>
          <w:tcPr>
            <w:tcW w:w="1972" w:type="dxa"/>
          </w:tcPr>
          <w:p w:rsidR="00294499" w:rsidRDefault="00294499" w:rsidP="0066592E">
            <w:pPr>
              <w:jc w:val="center"/>
            </w:pPr>
          </w:p>
        </w:tc>
        <w:tc>
          <w:tcPr>
            <w:tcW w:w="1761" w:type="dxa"/>
          </w:tcPr>
          <w:p w:rsidR="00294499" w:rsidRPr="000E5CE0" w:rsidRDefault="00294499" w:rsidP="0066592E">
            <w:pPr>
              <w:jc w:val="center"/>
              <w:rPr>
                <w:b/>
              </w:rPr>
            </w:pPr>
            <w:r w:rsidRPr="000E5CE0">
              <w:rPr>
                <w:b/>
              </w:rPr>
              <w:t>On Track</w:t>
            </w:r>
          </w:p>
        </w:tc>
        <w:tc>
          <w:tcPr>
            <w:tcW w:w="1761" w:type="dxa"/>
          </w:tcPr>
          <w:p w:rsidR="00294499" w:rsidRPr="000E5CE0" w:rsidRDefault="00294499" w:rsidP="0066592E">
            <w:pPr>
              <w:jc w:val="center"/>
              <w:rPr>
                <w:b/>
              </w:rPr>
            </w:pPr>
            <w:r w:rsidRPr="000E5CE0">
              <w:rPr>
                <w:b/>
              </w:rPr>
              <w:t>Not On Track</w:t>
            </w:r>
          </w:p>
        </w:tc>
        <w:tc>
          <w:tcPr>
            <w:tcW w:w="1761" w:type="dxa"/>
          </w:tcPr>
          <w:p w:rsidR="00294499" w:rsidRPr="000E5CE0" w:rsidRDefault="00294499" w:rsidP="0066592E">
            <w:pPr>
              <w:jc w:val="center"/>
              <w:rPr>
                <w:b/>
              </w:rPr>
            </w:pPr>
            <w:r w:rsidRPr="000E5CE0">
              <w:rPr>
                <w:b/>
              </w:rPr>
              <w:t>On Track</w:t>
            </w:r>
          </w:p>
        </w:tc>
        <w:tc>
          <w:tcPr>
            <w:tcW w:w="1761" w:type="dxa"/>
          </w:tcPr>
          <w:p w:rsidR="00294499" w:rsidRPr="000E5CE0" w:rsidRDefault="00294499" w:rsidP="0066592E">
            <w:pPr>
              <w:jc w:val="center"/>
              <w:rPr>
                <w:b/>
              </w:rPr>
            </w:pPr>
            <w:r w:rsidRPr="000E5CE0">
              <w:rPr>
                <w:b/>
              </w:rPr>
              <w:t>Not On Track</w:t>
            </w:r>
          </w:p>
        </w:tc>
      </w:tr>
      <w:tr w:rsidR="00294499" w:rsidTr="0066592E">
        <w:tc>
          <w:tcPr>
            <w:tcW w:w="1972" w:type="dxa"/>
          </w:tcPr>
          <w:p w:rsidR="00294499" w:rsidRDefault="00294499" w:rsidP="0066592E">
            <w:pPr>
              <w:jc w:val="center"/>
            </w:pPr>
            <w:r>
              <w:t>CL</w:t>
            </w:r>
          </w:p>
        </w:tc>
        <w:tc>
          <w:tcPr>
            <w:tcW w:w="1761" w:type="dxa"/>
          </w:tcPr>
          <w:p w:rsidR="00294499" w:rsidRDefault="00294499" w:rsidP="0066592E">
            <w:pPr>
              <w:jc w:val="center"/>
            </w:pPr>
            <w:r>
              <w:t>91.5%</w:t>
            </w:r>
          </w:p>
        </w:tc>
        <w:tc>
          <w:tcPr>
            <w:tcW w:w="1761" w:type="dxa"/>
          </w:tcPr>
          <w:p w:rsidR="00294499" w:rsidRDefault="00294499" w:rsidP="0066592E">
            <w:pPr>
              <w:jc w:val="center"/>
            </w:pPr>
            <w:r>
              <w:t>8.6%</w:t>
            </w:r>
          </w:p>
        </w:tc>
        <w:tc>
          <w:tcPr>
            <w:tcW w:w="1761" w:type="dxa"/>
          </w:tcPr>
          <w:p w:rsidR="00294499" w:rsidRDefault="00294499" w:rsidP="0066592E">
            <w:pPr>
              <w:jc w:val="center"/>
            </w:pPr>
            <w:r>
              <w:t>92.1%</w:t>
            </w:r>
          </w:p>
        </w:tc>
        <w:tc>
          <w:tcPr>
            <w:tcW w:w="1761" w:type="dxa"/>
          </w:tcPr>
          <w:p w:rsidR="00294499" w:rsidRDefault="00294499" w:rsidP="0066592E">
            <w:pPr>
              <w:jc w:val="center"/>
            </w:pPr>
            <w:r>
              <w:t>8.0%</w:t>
            </w:r>
          </w:p>
        </w:tc>
      </w:tr>
      <w:tr w:rsidR="00294499" w:rsidTr="0066592E">
        <w:tc>
          <w:tcPr>
            <w:tcW w:w="1972" w:type="dxa"/>
          </w:tcPr>
          <w:p w:rsidR="00294499" w:rsidRDefault="00294499" w:rsidP="0066592E">
            <w:pPr>
              <w:jc w:val="center"/>
            </w:pPr>
            <w:r>
              <w:t>I</w:t>
            </w:r>
          </w:p>
        </w:tc>
        <w:tc>
          <w:tcPr>
            <w:tcW w:w="1761" w:type="dxa"/>
          </w:tcPr>
          <w:p w:rsidR="00294499" w:rsidRDefault="00294499" w:rsidP="0066592E">
            <w:pPr>
              <w:jc w:val="center"/>
            </w:pPr>
            <w:r>
              <w:t>82.5%</w:t>
            </w:r>
          </w:p>
        </w:tc>
        <w:tc>
          <w:tcPr>
            <w:tcW w:w="1761" w:type="dxa"/>
          </w:tcPr>
          <w:p w:rsidR="00294499" w:rsidRDefault="00294499" w:rsidP="0066592E">
            <w:pPr>
              <w:jc w:val="center"/>
            </w:pPr>
            <w:r>
              <w:t>17.5%</w:t>
            </w:r>
          </w:p>
        </w:tc>
        <w:tc>
          <w:tcPr>
            <w:tcW w:w="1761" w:type="dxa"/>
          </w:tcPr>
          <w:p w:rsidR="00294499" w:rsidRDefault="00294499" w:rsidP="0066592E">
            <w:pPr>
              <w:jc w:val="center"/>
            </w:pPr>
            <w:r>
              <w:t>84.9%</w:t>
            </w:r>
          </w:p>
        </w:tc>
        <w:tc>
          <w:tcPr>
            <w:tcW w:w="1761" w:type="dxa"/>
          </w:tcPr>
          <w:p w:rsidR="00294499" w:rsidRDefault="00294499" w:rsidP="0066592E">
            <w:pPr>
              <w:jc w:val="center"/>
            </w:pPr>
            <w:r>
              <w:t>15.2%</w:t>
            </w:r>
          </w:p>
        </w:tc>
      </w:tr>
      <w:tr w:rsidR="00294499" w:rsidTr="0066592E">
        <w:tc>
          <w:tcPr>
            <w:tcW w:w="1972" w:type="dxa"/>
          </w:tcPr>
          <w:p w:rsidR="00294499" w:rsidRDefault="00294499" w:rsidP="0066592E">
            <w:pPr>
              <w:jc w:val="center"/>
            </w:pPr>
            <w:r>
              <w:t>PS</w:t>
            </w:r>
          </w:p>
        </w:tc>
        <w:tc>
          <w:tcPr>
            <w:tcW w:w="1761" w:type="dxa"/>
          </w:tcPr>
          <w:p w:rsidR="00294499" w:rsidRDefault="00294499" w:rsidP="0066592E">
            <w:pPr>
              <w:jc w:val="center"/>
            </w:pPr>
            <w:r>
              <w:t>77.6%</w:t>
            </w:r>
          </w:p>
        </w:tc>
        <w:tc>
          <w:tcPr>
            <w:tcW w:w="1761" w:type="dxa"/>
          </w:tcPr>
          <w:p w:rsidR="00294499" w:rsidRDefault="00294499" w:rsidP="0066592E">
            <w:pPr>
              <w:jc w:val="center"/>
            </w:pPr>
            <w:r>
              <w:t>22.4%</w:t>
            </w:r>
          </w:p>
        </w:tc>
        <w:tc>
          <w:tcPr>
            <w:tcW w:w="1761" w:type="dxa"/>
          </w:tcPr>
          <w:p w:rsidR="00294499" w:rsidRDefault="00294499" w:rsidP="0066592E">
            <w:pPr>
              <w:jc w:val="center"/>
            </w:pPr>
            <w:r>
              <w:t>85.0%</w:t>
            </w:r>
          </w:p>
        </w:tc>
        <w:tc>
          <w:tcPr>
            <w:tcW w:w="1761" w:type="dxa"/>
          </w:tcPr>
          <w:p w:rsidR="00294499" w:rsidRDefault="00294499" w:rsidP="0066592E">
            <w:pPr>
              <w:jc w:val="center"/>
            </w:pPr>
            <w:r>
              <w:t>15.0%</w:t>
            </w:r>
          </w:p>
        </w:tc>
      </w:tr>
      <w:tr w:rsidR="00294499" w:rsidTr="0066592E">
        <w:tc>
          <w:tcPr>
            <w:tcW w:w="1972" w:type="dxa"/>
          </w:tcPr>
          <w:p w:rsidR="00294499" w:rsidRDefault="00294499" w:rsidP="0066592E">
            <w:pPr>
              <w:jc w:val="center"/>
            </w:pPr>
            <w:r>
              <w:t>SEW</w:t>
            </w:r>
          </w:p>
        </w:tc>
        <w:tc>
          <w:tcPr>
            <w:tcW w:w="1761" w:type="dxa"/>
          </w:tcPr>
          <w:p w:rsidR="00294499" w:rsidRDefault="00294499" w:rsidP="0066592E">
            <w:pPr>
              <w:jc w:val="center"/>
            </w:pPr>
            <w:r>
              <w:t>91.9%</w:t>
            </w:r>
          </w:p>
        </w:tc>
        <w:tc>
          <w:tcPr>
            <w:tcW w:w="1761" w:type="dxa"/>
          </w:tcPr>
          <w:p w:rsidR="00294499" w:rsidRDefault="00294499" w:rsidP="0066592E">
            <w:pPr>
              <w:jc w:val="center"/>
            </w:pPr>
            <w:r>
              <w:t>8.1%</w:t>
            </w:r>
          </w:p>
        </w:tc>
        <w:tc>
          <w:tcPr>
            <w:tcW w:w="1761" w:type="dxa"/>
          </w:tcPr>
          <w:p w:rsidR="00294499" w:rsidRDefault="00294499" w:rsidP="0066592E">
            <w:pPr>
              <w:jc w:val="center"/>
            </w:pPr>
            <w:r>
              <w:t>93.7%</w:t>
            </w:r>
          </w:p>
        </w:tc>
        <w:tc>
          <w:tcPr>
            <w:tcW w:w="1761" w:type="dxa"/>
          </w:tcPr>
          <w:p w:rsidR="00294499" w:rsidRDefault="00294499" w:rsidP="0066592E">
            <w:pPr>
              <w:jc w:val="center"/>
            </w:pPr>
            <w:r>
              <w:t>6.3%</w:t>
            </w:r>
          </w:p>
        </w:tc>
      </w:tr>
      <w:tr w:rsidR="00294499" w:rsidTr="0066592E">
        <w:tc>
          <w:tcPr>
            <w:tcW w:w="1972" w:type="dxa"/>
          </w:tcPr>
          <w:p w:rsidR="00294499" w:rsidRDefault="00294499" w:rsidP="0066592E">
            <w:pPr>
              <w:jc w:val="center"/>
            </w:pPr>
            <w:r>
              <w:t>SLC</w:t>
            </w:r>
          </w:p>
        </w:tc>
        <w:tc>
          <w:tcPr>
            <w:tcW w:w="1761" w:type="dxa"/>
          </w:tcPr>
          <w:p w:rsidR="00294499" w:rsidRDefault="00294499" w:rsidP="0066592E">
            <w:pPr>
              <w:jc w:val="center"/>
            </w:pPr>
            <w:r>
              <w:t>91.1%</w:t>
            </w:r>
          </w:p>
        </w:tc>
        <w:tc>
          <w:tcPr>
            <w:tcW w:w="1761" w:type="dxa"/>
          </w:tcPr>
          <w:p w:rsidR="00294499" w:rsidRDefault="00294499" w:rsidP="0066592E">
            <w:pPr>
              <w:jc w:val="center"/>
            </w:pPr>
            <w:r>
              <w:t>8.9%</w:t>
            </w:r>
          </w:p>
        </w:tc>
        <w:tc>
          <w:tcPr>
            <w:tcW w:w="1761" w:type="dxa"/>
          </w:tcPr>
          <w:p w:rsidR="00294499" w:rsidRDefault="00294499" w:rsidP="0066592E">
            <w:pPr>
              <w:jc w:val="center"/>
            </w:pPr>
            <w:r>
              <w:t>86.0%</w:t>
            </w:r>
          </w:p>
        </w:tc>
        <w:tc>
          <w:tcPr>
            <w:tcW w:w="1761" w:type="dxa"/>
          </w:tcPr>
          <w:p w:rsidR="00294499" w:rsidRDefault="00294499" w:rsidP="0066592E">
            <w:pPr>
              <w:jc w:val="center"/>
            </w:pPr>
            <w:r>
              <w:t>14.0%</w:t>
            </w:r>
          </w:p>
        </w:tc>
      </w:tr>
    </w:tbl>
    <w:p w:rsidR="00294499" w:rsidRDefault="00294499" w:rsidP="00C47F86"/>
    <w:p w:rsidR="00C47F86" w:rsidRDefault="009C140D" w:rsidP="00C47F86">
      <w:r>
        <w:lastRenderedPageBreak/>
        <w:t xml:space="preserve">Across all domains, </w:t>
      </w:r>
      <w:proofErr w:type="gramStart"/>
      <w:r>
        <w:t>Spring’s</w:t>
      </w:r>
      <w:proofErr w:type="gramEnd"/>
      <w:r>
        <w:t xml:space="preserve"> data demonstrates that Pupil Premium students and non-Pupil Premium students are performing at the same level</w:t>
      </w:r>
      <w:r w:rsidR="00BB54CE">
        <w:t>. T</w:t>
      </w:r>
      <w:r>
        <w:t xml:space="preserve">here is no overall </w:t>
      </w:r>
      <w:r w:rsidR="00E66EA2">
        <w:t>attainment gap between the two</w:t>
      </w:r>
      <w:r w:rsidR="00BB54CE">
        <w:t xml:space="preserve"> cohorts.</w:t>
      </w:r>
    </w:p>
    <w:p w:rsidR="00BB54CE" w:rsidRDefault="009C140D" w:rsidP="00C47F86">
      <w:r>
        <w:t xml:space="preserve">This represents a different position compared with </w:t>
      </w:r>
      <w:proofErr w:type="gramStart"/>
      <w:r>
        <w:t>Autumn</w:t>
      </w:r>
      <w:proofErr w:type="gramEnd"/>
      <w:r>
        <w:t xml:space="preserve">; non-PP students </w:t>
      </w:r>
      <w:r w:rsidR="00BB54CE">
        <w:t>were out-performing</w:t>
      </w:r>
      <w:r>
        <w:t xml:space="preserve"> PP students by</w:t>
      </w:r>
      <w:r w:rsidR="00BB54CE">
        <w:t xml:space="preserve"> 5.6%.</w:t>
      </w:r>
    </w:p>
    <w:p w:rsidR="009C140D" w:rsidRDefault="00E66EA2" w:rsidP="00C47F86">
      <w:r>
        <w:t xml:space="preserve">A factor in this </w:t>
      </w:r>
      <w:r w:rsidR="00BB54CE">
        <w:t>higher rate of progress for</w:t>
      </w:r>
      <w:r>
        <w:t xml:space="preserve"> PP students across the Spring Term, is the</w:t>
      </w:r>
      <w:r w:rsidR="00BB54CE">
        <w:t xml:space="preserve"> 7.8%</w:t>
      </w:r>
      <w:r>
        <w:t xml:space="preserve"> improvement in the proportion of students ‘on track’ to achieve their Cognition and Learning targets.</w:t>
      </w:r>
      <w:r w:rsidR="00D12AD7">
        <w:t xml:space="preserve"> Additionally, PP students have outperformed their non-PP counterparts in Speech, Language and Communication.</w:t>
      </w:r>
    </w:p>
    <w:p w:rsidR="00E66EA2" w:rsidRDefault="00E66EA2" w:rsidP="00C47F86">
      <w:r>
        <w:t>For both</w:t>
      </w:r>
      <w:r w:rsidR="00D12AD7">
        <w:t xml:space="preserve"> cohorts, Physical and Sensory is the lowest performing domain. </w:t>
      </w:r>
      <w:proofErr w:type="gramStart"/>
      <w:r w:rsidR="00D12AD7">
        <w:t>Plus</w:t>
      </w:r>
      <w:proofErr w:type="gramEnd"/>
      <w:r w:rsidR="00D12AD7">
        <w:t xml:space="preserve"> it represents the largest attainment gap of 7.4%.</w:t>
      </w:r>
    </w:p>
    <w:p w:rsidR="00D12AD7" w:rsidRPr="00C47F86" w:rsidRDefault="00D12AD7" w:rsidP="00C47F86"/>
    <w:p w:rsidR="000E5CE0" w:rsidRPr="000E5CE0" w:rsidRDefault="00E01EB0" w:rsidP="00E01EB0">
      <w:pPr>
        <w:rPr>
          <w:b/>
          <w:u w:val="single"/>
        </w:rPr>
      </w:pPr>
      <w:r w:rsidRPr="000E5CE0">
        <w:rPr>
          <w:b/>
          <w:u w:val="single"/>
        </w:rPr>
        <w:t>Section 3: Pathways</w:t>
      </w:r>
    </w:p>
    <w:p w:rsidR="00E01EB0" w:rsidRPr="00E01EB0" w:rsidRDefault="000E5CE0" w:rsidP="00E01EB0">
      <w:pPr>
        <w:rPr>
          <w:b/>
        </w:rPr>
      </w:pPr>
      <w:r>
        <w:rPr>
          <w:noProof/>
          <w:lang w:eastAsia="en-GB"/>
        </w:rPr>
        <w:drawing>
          <wp:inline distT="0" distB="0" distL="0" distR="0" wp14:anchorId="7DF864C9" wp14:editId="3D3F7E63">
            <wp:extent cx="2733675" cy="24384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94499" w:rsidRPr="00294499">
        <w:rPr>
          <w:noProof/>
          <w:lang w:eastAsia="en-GB"/>
        </w:rPr>
        <w:t xml:space="preserve"> </w:t>
      </w:r>
      <w:r w:rsidR="00294499">
        <w:rPr>
          <w:noProof/>
          <w:lang w:eastAsia="en-GB"/>
        </w:rPr>
        <w:drawing>
          <wp:inline distT="0" distB="0" distL="0" distR="0" wp14:anchorId="704F67F4" wp14:editId="797392F1">
            <wp:extent cx="2819400" cy="24193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5CE0" w:rsidRDefault="000E5CE0">
      <w:pPr>
        <w:rPr>
          <w:u w:val="single"/>
        </w:rPr>
      </w:pPr>
    </w:p>
    <w:p w:rsidR="007B1C21" w:rsidRPr="000E5CE0" w:rsidRDefault="00FE4F0D">
      <w:pPr>
        <w:rPr>
          <w:b/>
        </w:rPr>
      </w:pPr>
      <w:r w:rsidRPr="000E5CE0">
        <w:rPr>
          <w:b/>
        </w:rPr>
        <w:t xml:space="preserve">Comparison </w:t>
      </w:r>
      <w:r w:rsidR="002A12F5" w:rsidRPr="000E5CE0">
        <w:rPr>
          <w:b/>
        </w:rPr>
        <w:t>by</w:t>
      </w:r>
      <w:r w:rsidRPr="000E5CE0">
        <w:rPr>
          <w:b/>
        </w:rPr>
        <w:t xml:space="preserve"> Pathway</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720"/>
        <w:gridCol w:w="1858"/>
        <w:gridCol w:w="1858"/>
        <w:gridCol w:w="1858"/>
      </w:tblGrid>
      <w:tr w:rsidR="00476AB9" w:rsidTr="0066592E">
        <w:trPr>
          <w:trHeight w:val="300"/>
        </w:trPr>
        <w:tc>
          <w:tcPr>
            <w:tcW w:w="1520" w:type="dxa"/>
            <w:shd w:val="clear" w:color="auto" w:fill="auto"/>
            <w:noWrap/>
            <w:vAlign w:val="bottom"/>
          </w:tcPr>
          <w:p w:rsidR="00476AB9" w:rsidRDefault="00476AB9">
            <w:pPr>
              <w:spacing w:after="0" w:line="240" w:lineRule="auto"/>
              <w:rPr>
                <w:rFonts w:eastAsia="Times New Roman" w:cs="Calibri"/>
                <w:b/>
                <w:bCs/>
                <w:color w:val="000000"/>
                <w:sz w:val="22"/>
                <w:lang w:eastAsia="en-GB"/>
              </w:rPr>
            </w:pPr>
          </w:p>
        </w:tc>
        <w:tc>
          <w:tcPr>
            <w:tcW w:w="3578" w:type="dxa"/>
            <w:gridSpan w:val="2"/>
            <w:shd w:val="clear" w:color="auto" w:fill="auto"/>
            <w:noWrap/>
            <w:vAlign w:val="bottom"/>
          </w:tcPr>
          <w:p w:rsidR="00476AB9" w:rsidRDefault="00476AB9" w:rsidP="00476AB9">
            <w:pPr>
              <w:spacing w:after="0" w:line="240" w:lineRule="auto"/>
              <w:jc w:val="center"/>
              <w:rPr>
                <w:rFonts w:eastAsia="Times New Roman" w:cs="Calibri"/>
                <w:b/>
                <w:bCs/>
                <w:color w:val="000000"/>
                <w:sz w:val="22"/>
                <w:lang w:eastAsia="en-GB"/>
              </w:rPr>
            </w:pPr>
            <w:r>
              <w:rPr>
                <w:rFonts w:eastAsia="Times New Roman" w:cs="Calibri"/>
                <w:b/>
                <w:bCs/>
                <w:color w:val="000000"/>
                <w:sz w:val="22"/>
                <w:lang w:eastAsia="en-GB"/>
              </w:rPr>
              <w:t>Autumn</w:t>
            </w:r>
          </w:p>
        </w:tc>
        <w:tc>
          <w:tcPr>
            <w:tcW w:w="3716" w:type="dxa"/>
            <w:gridSpan w:val="2"/>
          </w:tcPr>
          <w:p w:rsidR="00476AB9" w:rsidRDefault="00476AB9" w:rsidP="00476AB9">
            <w:pPr>
              <w:spacing w:after="0" w:line="240" w:lineRule="auto"/>
              <w:jc w:val="center"/>
              <w:rPr>
                <w:rFonts w:eastAsia="Times New Roman" w:cs="Calibri"/>
                <w:b/>
                <w:bCs/>
                <w:color w:val="000000"/>
                <w:sz w:val="22"/>
                <w:lang w:eastAsia="en-GB"/>
              </w:rPr>
            </w:pPr>
            <w:r>
              <w:rPr>
                <w:rFonts w:eastAsia="Times New Roman" w:cs="Calibri"/>
                <w:b/>
                <w:bCs/>
                <w:color w:val="000000"/>
                <w:sz w:val="22"/>
                <w:lang w:eastAsia="en-GB"/>
              </w:rPr>
              <w:t>Spring</w:t>
            </w:r>
          </w:p>
        </w:tc>
      </w:tr>
      <w:tr w:rsidR="00476AB9" w:rsidTr="0066592E">
        <w:trPr>
          <w:trHeight w:val="300"/>
        </w:trPr>
        <w:tc>
          <w:tcPr>
            <w:tcW w:w="1520" w:type="dxa"/>
            <w:shd w:val="clear" w:color="auto" w:fill="auto"/>
            <w:noWrap/>
            <w:vAlign w:val="bottom"/>
            <w:hideMark/>
          </w:tcPr>
          <w:p w:rsidR="00476AB9" w:rsidRDefault="00476AB9" w:rsidP="00476AB9">
            <w:pPr>
              <w:spacing w:after="0" w:line="240" w:lineRule="auto"/>
              <w:rPr>
                <w:rFonts w:eastAsia="Times New Roman" w:cs="Calibri"/>
                <w:b/>
                <w:bCs/>
                <w:color w:val="000000"/>
                <w:sz w:val="22"/>
                <w:lang w:eastAsia="en-GB"/>
              </w:rPr>
            </w:pPr>
            <w:r>
              <w:rPr>
                <w:rFonts w:eastAsia="Times New Roman" w:cs="Calibri"/>
                <w:b/>
                <w:bCs/>
                <w:color w:val="000000"/>
                <w:sz w:val="22"/>
                <w:lang w:eastAsia="en-GB"/>
              </w:rPr>
              <w:t>Pathway</w:t>
            </w:r>
          </w:p>
        </w:tc>
        <w:tc>
          <w:tcPr>
            <w:tcW w:w="1720" w:type="dxa"/>
            <w:shd w:val="clear" w:color="auto" w:fill="auto"/>
            <w:noWrap/>
            <w:vAlign w:val="bottom"/>
            <w:hideMark/>
          </w:tcPr>
          <w:p w:rsidR="00476AB9" w:rsidRDefault="00476AB9" w:rsidP="00476AB9">
            <w:pPr>
              <w:spacing w:after="0" w:line="240" w:lineRule="auto"/>
              <w:rPr>
                <w:rFonts w:eastAsia="Times New Roman" w:cs="Calibri"/>
                <w:b/>
                <w:bCs/>
                <w:color w:val="000000"/>
                <w:sz w:val="22"/>
                <w:lang w:eastAsia="en-GB"/>
              </w:rPr>
            </w:pPr>
            <w:r>
              <w:rPr>
                <w:rFonts w:eastAsia="Times New Roman" w:cs="Calibri"/>
                <w:b/>
                <w:bCs/>
                <w:color w:val="000000"/>
                <w:sz w:val="22"/>
                <w:lang w:eastAsia="en-GB"/>
              </w:rPr>
              <w:t>Not on Track</w:t>
            </w:r>
          </w:p>
        </w:tc>
        <w:tc>
          <w:tcPr>
            <w:tcW w:w="1858" w:type="dxa"/>
            <w:shd w:val="clear" w:color="auto" w:fill="auto"/>
            <w:noWrap/>
            <w:vAlign w:val="bottom"/>
            <w:hideMark/>
          </w:tcPr>
          <w:p w:rsidR="00476AB9" w:rsidRDefault="00476AB9" w:rsidP="00476AB9">
            <w:pPr>
              <w:spacing w:after="0" w:line="240" w:lineRule="auto"/>
              <w:rPr>
                <w:rFonts w:eastAsia="Times New Roman" w:cs="Calibri"/>
                <w:b/>
                <w:bCs/>
                <w:color w:val="000000"/>
                <w:sz w:val="22"/>
                <w:lang w:eastAsia="en-GB"/>
              </w:rPr>
            </w:pPr>
            <w:r>
              <w:rPr>
                <w:rFonts w:eastAsia="Times New Roman" w:cs="Calibri"/>
                <w:b/>
                <w:bCs/>
                <w:color w:val="000000"/>
                <w:sz w:val="22"/>
                <w:lang w:eastAsia="en-GB"/>
              </w:rPr>
              <w:t>On Track</w:t>
            </w:r>
          </w:p>
        </w:tc>
        <w:tc>
          <w:tcPr>
            <w:tcW w:w="1858" w:type="dxa"/>
            <w:vAlign w:val="bottom"/>
          </w:tcPr>
          <w:p w:rsidR="00476AB9" w:rsidRDefault="00476AB9" w:rsidP="00476AB9">
            <w:pPr>
              <w:spacing w:after="0" w:line="240" w:lineRule="auto"/>
              <w:rPr>
                <w:rFonts w:eastAsia="Times New Roman" w:cs="Calibri"/>
                <w:b/>
                <w:bCs/>
                <w:color w:val="000000"/>
                <w:sz w:val="22"/>
                <w:lang w:eastAsia="en-GB"/>
              </w:rPr>
            </w:pPr>
            <w:r>
              <w:rPr>
                <w:rFonts w:eastAsia="Times New Roman" w:cs="Calibri"/>
                <w:b/>
                <w:bCs/>
                <w:color w:val="000000"/>
                <w:sz w:val="22"/>
                <w:lang w:eastAsia="en-GB"/>
              </w:rPr>
              <w:t>Not on Track</w:t>
            </w:r>
          </w:p>
        </w:tc>
        <w:tc>
          <w:tcPr>
            <w:tcW w:w="1858" w:type="dxa"/>
            <w:vAlign w:val="bottom"/>
          </w:tcPr>
          <w:p w:rsidR="00476AB9" w:rsidRDefault="00476AB9" w:rsidP="00476AB9">
            <w:pPr>
              <w:spacing w:after="0" w:line="240" w:lineRule="auto"/>
              <w:rPr>
                <w:rFonts w:eastAsia="Times New Roman" w:cs="Calibri"/>
                <w:b/>
                <w:bCs/>
                <w:color w:val="000000"/>
                <w:sz w:val="22"/>
                <w:lang w:eastAsia="en-GB"/>
              </w:rPr>
            </w:pPr>
            <w:r>
              <w:rPr>
                <w:rFonts w:eastAsia="Times New Roman" w:cs="Calibri"/>
                <w:b/>
                <w:bCs/>
                <w:color w:val="000000"/>
                <w:sz w:val="22"/>
                <w:lang w:eastAsia="en-GB"/>
              </w:rPr>
              <w:t>On Track</w:t>
            </w:r>
          </w:p>
        </w:tc>
      </w:tr>
      <w:tr w:rsidR="00476AB9" w:rsidTr="00476AB9">
        <w:trPr>
          <w:trHeight w:val="300"/>
        </w:trPr>
        <w:tc>
          <w:tcPr>
            <w:tcW w:w="1520" w:type="dxa"/>
            <w:shd w:val="clear" w:color="auto" w:fill="auto"/>
            <w:noWrap/>
            <w:vAlign w:val="bottom"/>
            <w:hideMark/>
          </w:tcPr>
          <w:p w:rsidR="00476AB9" w:rsidRDefault="00476AB9">
            <w:pPr>
              <w:spacing w:after="0" w:line="240" w:lineRule="auto"/>
              <w:rPr>
                <w:rFonts w:eastAsia="Times New Roman" w:cs="Calibri"/>
                <w:color w:val="000000"/>
                <w:sz w:val="22"/>
                <w:lang w:eastAsia="en-GB"/>
              </w:rPr>
            </w:pPr>
            <w:r>
              <w:rPr>
                <w:rFonts w:eastAsia="Times New Roman" w:cs="Calibri"/>
                <w:color w:val="000000"/>
                <w:sz w:val="22"/>
                <w:lang w:eastAsia="en-GB"/>
              </w:rPr>
              <w:t>F</w:t>
            </w:r>
          </w:p>
        </w:tc>
        <w:tc>
          <w:tcPr>
            <w:tcW w:w="1720" w:type="dxa"/>
            <w:shd w:val="clear" w:color="auto" w:fill="auto"/>
            <w:noWrap/>
            <w:vAlign w:val="bottom"/>
            <w:hideMark/>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9.39%</w:t>
            </w:r>
          </w:p>
        </w:tc>
        <w:tc>
          <w:tcPr>
            <w:tcW w:w="1858" w:type="dxa"/>
            <w:shd w:val="clear" w:color="auto" w:fill="auto"/>
            <w:noWrap/>
            <w:vAlign w:val="bottom"/>
            <w:hideMark/>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90.61%</w:t>
            </w:r>
          </w:p>
        </w:tc>
        <w:tc>
          <w:tcPr>
            <w:tcW w:w="1858" w:type="dxa"/>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7.51%</w:t>
            </w:r>
          </w:p>
        </w:tc>
        <w:tc>
          <w:tcPr>
            <w:tcW w:w="1858" w:type="dxa"/>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92.49%</w:t>
            </w:r>
          </w:p>
        </w:tc>
      </w:tr>
      <w:tr w:rsidR="00476AB9" w:rsidTr="00476AB9">
        <w:trPr>
          <w:trHeight w:val="300"/>
        </w:trPr>
        <w:tc>
          <w:tcPr>
            <w:tcW w:w="1520" w:type="dxa"/>
            <w:shd w:val="clear" w:color="auto" w:fill="auto"/>
            <w:noWrap/>
            <w:vAlign w:val="bottom"/>
            <w:hideMark/>
          </w:tcPr>
          <w:p w:rsidR="00476AB9" w:rsidRDefault="00476AB9">
            <w:pPr>
              <w:spacing w:after="0" w:line="240" w:lineRule="auto"/>
              <w:rPr>
                <w:rFonts w:eastAsia="Times New Roman" w:cs="Calibri"/>
                <w:color w:val="000000"/>
                <w:sz w:val="22"/>
                <w:lang w:eastAsia="en-GB"/>
              </w:rPr>
            </w:pPr>
            <w:r>
              <w:rPr>
                <w:rFonts w:eastAsia="Times New Roman" w:cs="Calibri"/>
                <w:color w:val="000000"/>
                <w:sz w:val="22"/>
                <w:lang w:eastAsia="en-GB"/>
              </w:rPr>
              <w:t>PF</w:t>
            </w:r>
          </w:p>
        </w:tc>
        <w:tc>
          <w:tcPr>
            <w:tcW w:w="1720" w:type="dxa"/>
            <w:shd w:val="clear" w:color="auto" w:fill="auto"/>
            <w:noWrap/>
            <w:vAlign w:val="bottom"/>
            <w:hideMark/>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9.76%</w:t>
            </w:r>
          </w:p>
        </w:tc>
        <w:tc>
          <w:tcPr>
            <w:tcW w:w="1858" w:type="dxa"/>
            <w:shd w:val="clear" w:color="auto" w:fill="auto"/>
            <w:noWrap/>
            <w:vAlign w:val="bottom"/>
            <w:hideMark/>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90.24%</w:t>
            </w:r>
          </w:p>
        </w:tc>
        <w:tc>
          <w:tcPr>
            <w:tcW w:w="1858" w:type="dxa"/>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9.46%</w:t>
            </w:r>
          </w:p>
        </w:tc>
        <w:tc>
          <w:tcPr>
            <w:tcW w:w="1858" w:type="dxa"/>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90.54%</w:t>
            </w:r>
          </w:p>
        </w:tc>
      </w:tr>
      <w:tr w:rsidR="00476AB9" w:rsidTr="00476AB9">
        <w:trPr>
          <w:trHeight w:val="300"/>
        </w:trPr>
        <w:tc>
          <w:tcPr>
            <w:tcW w:w="1520" w:type="dxa"/>
            <w:shd w:val="clear" w:color="auto" w:fill="auto"/>
            <w:noWrap/>
            <w:vAlign w:val="bottom"/>
            <w:hideMark/>
          </w:tcPr>
          <w:p w:rsidR="00476AB9" w:rsidRDefault="00476AB9">
            <w:pPr>
              <w:spacing w:after="0" w:line="240" w:lineRule="auto"/>
              <w:rPr>
                <w:rFonts w:eastAsia="Times New Roman" w:cs="Calibri"/>
                <w:color w:val="000000"/>
                <w:sz w:val="22"/>
                <w:lang w:eastAsia="en-GB"/>
              </w:rPr>
            </w:pPr>
            <w:r>
              <w:rPr>
                <w:rFonts w:eastAsia="Times New Roman" w:cs="Calibri"/>
                <w:color w:val="000000"/>
                <w:sz w:val="22"/>
                <w:lang w:eastAsia="en-GB"/>
              </w:rPr>
              <w:t>SF</w:t>
            </w:r>
          </w:p>
        </w:tc>
        <w:tc>
          <w:tcPr>
            <w:tcW w:w="1720" w:type="dxa"/>
            <w:shd w:val="clear" w:color="auto" w:fill="auto"/>
            <w:noWrap/>
            <w:vAlign w:val="bottom"/>
            <w:hideMark/>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10.76%</w:t>
            </w:r>
          </w:p>
        </w:tc>
        <w:tc>
          <w:tcPr>
            <w:tcW w:w="1858" w:type="dxa"/>
            <w:shd w:val="clear" w:color="auto" w:fill="auto"/>
            <w:noWrap/>
            <w:vAlign w:val="bottom"/>
            <w:hideMark/>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89.24%</w:t>
            </w:r>
          </w:p>
        </w:tc>
        <w:tc>
          <w:tcPr>
            <w:tcW w:w="1858" w:type="dxa"/>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9.19%</w:t>
            </w:r>
          </w:p>
        </w:tc>
        <w:tc>
          <w:tcPr>
            <w:tcW w:w="1858" w:type="dxa"/>
          </w:tcPr>
          <w:p w:rsidR="00476AB9" w:rsidRDefault="00476AB9">
            <w:pPr>
              <w:spacing w:after="0" w:line="240" w:lineRule="auto"/>
              <w:jc w:val="right"/>
              <w:rPr>
                <w:rFonts w:eastAsia="Times New Roman" w:cs="Calibri"/>
                <w:color w:val="000000"/>
                <w:sz w:val="22"/>
                <w:lang w:eastAsia="en-GB"/>
              </w:rPr>
            </w:pPr>
            <w:r>
              <w:rPr>
                <w:rFonts w:eastAsia="Times New Roman" w:cs="Calibri"/>
                <w:color w:val="000000"/>
                <w:sz w:val="22"/>
                <w:lang w:eastAsia="en-GB"/>
              </w:rPr>
              <w:t>90.81%</w:t>
            </w:r>
          </w:p>
        </w:tc>
      </w:tr>
      <w:tr w:rsidR="00476AB9" w:rsidTr="00476AB9">
        <w:trPr>
          <w:trHeight w:val="300"/>
        </w:trPr>
        <w:tc>
          <w:tcPr>
            <w:tcW w:w="1520" w:type="dxa"/>
            <w:shd w:val="clear" w:color="auto" w:fill="auto"/>
            <w:noWrap/>
            <w:vAlign w:val="bottom"/>
            <w:hideMark/>
          </w:tcPr>
          <w:p w:rsidR="00476AB9" w:rsidRDefault="00476AB9">
            <w:pPr>
              <w:spacing w:after="0" w:line="240" w:lineRule="auto"/>
              <w:rPr>
                <w:rFonts w:eastAsia="Times New Roman" w:cs="Calibri"/>
                <w:b/>
                <w:bCs/>
                <w:color w:val="000000"/>
                <w:sz w:val="22"/>
                <w:lang w:eastAsia="en-GB"/>
              </w:rPr>
            </w:pPr>
            <w:r>
              <w:rPr>
                <w:rFonts w:eastAsia="Times New Roman" w:cs="Calibri"/>
                <w:b/>
                <w:bCs/>
                <w:color w:val="000000"/>
                <w:sz w:val="22"/>
                <w:lang w:eastAsia="en-GB"/>
              </w:rPr>
              <w:t>Grand Total</w:t>
            </w:r>
          </w:p>
        </w:tc>
        <w:tc>
          <w:tcPr>
            <w:tcW w:w="1720" w:type="dxa"/>
            <w:shd w:val="clear" w:color="auto" w:fill="auto"/>
            <w:noWrap/>
            <w:vAlign w:val="bottom"/>
            <w:hideMark/>
          </w:tcPr>
          <w:p w:rsidR="00476AB9" w:rsidRDefault="00476AB9">
            <w:pPr>
              <w:spacing w:after="0" w:line="240" w:lineRule="auto"/>
              <w:jc w:val="right"/>
              <w:rPr>
                <w:rFonts w:eastAsia="Times New Roman" w:cs="Calibri"/>
                <w:b/>
                <w:bCs/>
                <w:color w:val="000000"/>
                <w:sz w:val="22"/>
                <w:lang w:eastAsia="en-GB"/>
              </w:rPr>
            </w:pPr>
            <w:r>
              <w:rPr>
                <w:rFonts w:eastAsia="Times New Roman" w:cs="Calibri"/>
                <w:b/>
                <w:bCs/>
                <w:color w:val="000000"/>
                <w:sz w:val="22"/>
                <w:lang w:eastAsia="en-GB"/>
              </w:rPr>
              <w:t>10.27%</w:t>
            </w:r>
          </w:p>
        </w:tc>
        <w:tc>
          <w:tcPr>
            <w:tcW w:w="1858" w:type="dxa"/>
            <w:shd w:val="clear" w:color="auto" w:fill="auto"/>
            <w:noWrap/>
            <w:vAlign w:val="bottom"/>
            <w:hideMark/>
          </w:tcPr>
          <w:p w:rsidR="00476AB9" w:rsidRDefault="00476AB9">
            <w:pPr>
              <w:spacing w:after="0" w:line="240" w:lineRule="auto"/>
              <w:jc w:val="right"/>
              <w:rPr>
                <w:rFonts w:eastAsia="Times New Roman" w:cs="Calibri"/>
                <w:b/>
                <w:bCs/>
                <w:color w:val="000000"/>
                <w:sz w:val="22"/>
                <w:lang w:eastAsia="en-GB"/>
              </w:rPr>
            </w:pPr>
            <w:r>
              <w:rPr>
                <w:rFonts w:eastAsia="Times New Roman" w:cs="Calibri"/>
                <w:b/>
                <w:bCs/>
                <w:color w:val="000000"/>
                <w:sz w:val="22"/>
                <w:lang w:eastAsia="en-GB"/>
              </w:rPr>
              <w:t>89.73%</w:t>
            </w:r>
          </w:p>
        </w:tc>
        <w:tc>
          <w:tcPr>
            <w:tcW w:w="1858" w:type="dxa"/>
          </w:tcPr>
          <w:p w:rsidR="00476AB9" w:rsidRDefault="00476AB9">
            <w:pPr>
              <w:spacing w:after="0" w:line="240" w:lineRule="auto"/>
              <w:jc w:val="right"/>
              <w:rPr>
                <w:rFonts w:eastAsia="Times New Roman" w:cs="Calibri"/>
                <w:b/>
                <w:bCs/>
                <w:color w:val="000000"/>
                <w:sz w:val="22"/>
                <w:lang w:eastAsia="en-GB"/>
              </w:rPr>
            </w:pPr>
            <w:r>
              <w:rPr>
                <w:rFonts w:eastAsia="Times New Roman" w:cs="Calibri"/>
                <w:b/>
                <w:bCs/>
                <w:color w:val="000000"/>
                <w:sz w:val="22"/>
                <w:lang w:eastAsia="en-GB"/>
              </w:rPr>
              <w:t>8.73%</w:t>
            </w:r>
          </w:p>
        </w:tc>
        <w:tc>
          <w:tcPr>
            <w:tcW w:w="1858" w:type="dxa"/>
          </w:tcPr>
          <w:p w:rsidR="00476AB9" w:rsidRDefault="00476AB9">
            <w:pPr>
              <w:spacing w:after="0" w:line="240" w:lineRule="auto"/>
              <w:jc w:val="right"/>
              <w:rPr>
                <w:rFonts w:eastAsia="Times New Roman" w:cs="Calibri"/>
                <w:b/>
                <w:bCs/>
                <w:color w:val="000000"/>
                <w:sz w:val="22"/>
                <w:lang w:eastAsia="en-GB"/>
              </w:rPr>
            </w:pPr>
            <w:r>
              <w:rPr>
                <w:rFonts w:eastAsia="Times New Roman" w:cs="Calibri"/>
                <w:b/>
                <w:bCs/>
                <w:color w:val="000000"/>
                <w:sz w:val="22"/>
                <w:lang w:eastAsia="en-GB"/>
              </w:rPr>
              <w:t>91.27%</w:t>
            </w:r>
          </w:p>
        </w:tc>
      </w:tr>
    </w:tbl>
    <w:p w:rsidR="007B1C21" w:rsidRDefault="007B1C21">
      <w:pPr>
        <w:jc w:val="center"/>
        <w:rPr>
          <w:u w:val="single"/>
        </w:rPr>
      </w:pPr>
    </w:p>
    <w:p w:rsidR="00AE4B0D" w:rsidRPr="00AE4B0D" w:rsidRDefault="00AE4B0D" w:rsidP="00045D49">
      <w:r>
        <w:t xml:space="preserve">It is pleasing that </w:t>
      </w:r>
      <w:r w:rsidR="00537D26">
        <w:t>the</w:t>
      </w:r>
      <w:r>
        <w:t xml:space="preserve"> proportion and performance</w:t>
      </w:r>
      <w:r w:rsidR="00537D26">
        <w:t xml:space="preserve"> of the three pathways have</w:t>
      </w:r>
      <w:r>
        <w:t xml:space="preserve"> remained very similar</w:t>
      </w:r>
      <w:r w:rsidR="00500445">
        <w:t>,</w:t>
      </w:r>
      <w:r>
        <w:t xml:space="preserve"> eve</w:t>
      </w:r>
      <w:r w:rsidR="00537D26">
        <w:t xml:space="preserve">n though an additional </w:t>
      </w:r>
      <w:r w:rsidR="00C64C40">
        <w:t>36</w:t>
      </w:r>
      <w:r>
        <w:t xml:space="preserve"> students</w:t>
      </w:r>
      <w:r w:rsidR="00C64C40">
        <w:t xml:space="preserve"> and 427 </w:t>
      </w:r>
      <w:r w:rsidR="00C64C40">
        <w:lastRenderedPageBreak/>
        <w:t>targets</w:t>
      </w:r>
      <w:r>
        <w:t xml:space="preserve"> were incorporated into the </w:t>
      </w:r>
      <w:proofErr w:type="gramStart"/>
      <w:r>
        <w:t>Spring</w:t>
      </w:r>
      <w:proofErr w:type="gramEnd"/>
      <w:r>
        <w:t xml:space="preserve"> assessment. This indicates </w:t>
      </w:r>
      <w:r w:rsidR="00537D26">
        <w:t>a developing rigor to the data set as it grows over time.</w:t>
      </w:r>
    </w:p>
    <w:p w:rsidR="00AE4B0D" w:rsidRDefault="00AE4B0D" w:rsidP="00045D49">
      <w:pPr>
        <w:rPr>
          <w:b/>
          <w:u w:val="single"/>
        </w:rPr>
      </w:pPr>
    </w:p>
    <w:p w:rsidR="00AE4B0D" w:rsidRDefault="00AE4B0D" w:rsidP="00045D49">
      <w:pPr>
        <w:rPr>
          <w:b/>
          <w:u w:val="single"/>
        </w:rPr>
      </w:pPr>
    </w:p>
    <w:p w:rsidR="00AE4B0D" w:rsidRDefault="00AE4B0D" w:rsidP="00045D49">
      <w:pPr>
        <w:rPr>
          <w:b/>
          <w:u w:val="single"/>
        </w:rPr>
      </w:pPr>
    </w:p>
    <w:p w:rsidR="00AE4B0D" w:rsidRDefault="00AE4B0D" w:rsidP="00045D49">
      <w:pPr>
        <w:rPr>
          <w:b/>
          <w:u w:val="single"/>
        </w:rPr>
      </w:pPr>
    </w:p>
    <w:p w:rsidR="00AE4B0D" w:rsidRDefault="00AE4B0D" w:rsidP="00045D49">
      <w:pPr>
        <w:rPr>
          <w:b/>
          <w:u w:val="single"/>
        </w:rPr>
      </w:pPr>
    </w:p>
    <w:p w:rsidR="00AE4B0D" w:rsidRDefault="00AE4B0D" w:rsidP="00045D49">
      <w:pPr>
        <w:rPr>
          <w:b/>
          <w:u w:val="single"/>
        </w:rPr>
      </w:pPr>
    </w:p>
    <w:p w:rsidR="00AE4B0D" w:rsidRDefault="00AE4B0D" w:rsidP="00045D49">
      <w:pPr>
        <w:rPr>
          <w:b/>
          <w:u w:val="single"/>
        </w:rPr>
      </w:pPr>
    </w:p>
    <w:p w:rsidR="00AE4B0D" w:rsidRDefault="00AE4B0D" w:rsidP="00045D49">
      <w:pPr>
        <w:rPr>
          <w:b/>
          <w:u w:val="single"/>
        </w:rPr>
      </w:pPr>
    </w:p>
    <w:p w:rsidR="00AE4B0D" w:rsidRDefault="00AE4B0D" w:rsidP="00045D49">
      <w:pPr>
        <w:rPr>
          <w:b/>
          <w:u w:val="single"/>
        </w:rPr>
      </w:pPr>
    </w:p>
    <w:p w:rsidR="00AE4B0D" w:rsidRDefault="00AE4B0D"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9F3512" w:rsidRDefault="009F3512" w:rsidP="00045D49">
      <w:pPr>
        <w:rPr>
          <w:b/>
          <w:u w:val="single"/>
        </w:rPr>
      </w:pPr>
    </w:p>
    <w:p w:rsidR="00045D49" w:rsidRPr="000E5CE0" w:rsidRDefault="00045D49" w:rsidP="00045D49">
      <w:pPr>
        <w:rPr>
          <w:b/>
          <w:u w:val="single"/>
        </w:rPr>
      </w:pPr>
      <w:r w:rsidRPr="000E5CE0">
        <w:rPr>
          <w:b/>
          <w:u w:val="single"/>
        </w:rPr>
        <w:lastRenderedPageBreak/>
        <w:t>Actions</w:t>
      </w:r>
    </w:p>
    <w:p w:rsidR="00DD0223" w:rsidRDefault="00045D49" w:rsidP="00DD0223">
      <w:pPr>
        <w:pStyle w:val="ListParagraph"/>
        <w:numPr>
          <w:ilvl w:val="0"/>
          <w:numId w:val="5"/>
        </w:numPr>
      </w:pPr>
      <w:r>
        <w:t>As stat</w:t>
      </w:r>
      <w:r w:rsidR="002E2DEF">
        <w:t>ed previously, this is only the second</w:t>
      </w:r>
      <w:r>
        <w:t xml:space="preserve"> data report based on the new assessment model. Therefore, </w:t>
      </w:r>
      <w:r w:rsidR="00DD0223">
        <w:t xml:space="preserve">we must be cautious to derive hard conclusions; trends need to develop over time. However, </w:t>
      </w:r>
      <w:r w:rsidR="002E2DEF">
        <w:t>we are now in a position of reporting on</w:t>
      </w:r>
      <w:r w:rsidR="00DD0223">
        <w:t xml:space="preserve"> a complete data set for the entire school population</w:t>
      </w:r>
      <w:r w:rsidR="002E2DEF">
        <w:t xml:space="preserve"> (with the caveat outlined in the report’s introduction)</w:t>
      </w:r>
      <w:r w:rsidR="00DD0223">
        <w:t xml:space="preserve">. </w:t>
      </w:r>
    </w:p>
    <w:p w:rsidR="002E2DEF" w:rsidRDefault="002E2DEF" w:rsidP="00DD0223">
      <w:pPr>
        <w:pStyle w:val="ListParagraph"/>
        <w:numPr>
          <w:ilvl w:val="0"/>
          <w:numId w:val="5"/>
        </w:numPr>
      </w:pPr>
      <w:r>
        <w:t xml:space="preserve">Due to the current difficulties presented by COVID-19, </w:t>
      </w:r>
      <w:r w:rsidR="00C765E3">
        <w:t xml:space="preserve">Termly Progress Meetings between AHT and individual class teachers have not taken place. </w:t>
      </w:r>
    </w:p>
    <w:p w:rsidR="000E5B67" w:rsidRDefault="00500445" w:rsidP="00500445">
      <w:pPr>
        <w:pStyle w:val="ListParagraph"/>
        <w:numPr>
          <w:ilvl w:val="0"/>
          <w:numId w:val="5"/>
        </w:numPr>
      </w:pPr>
      <w:r>
        <w:t>These Progress Meetings provide the best opportunity to drill down and answer some of the key questions presented by this data set: Why has Cognition and Learning improved? Why has Independence dropped? Why has Physical and Sensory remained the lowest performing domain?</w:t>
      </w:r>
    </w:p>
    <w:p w:rsidR="00500445" w:rsidRDefault="002942DA" w:rsidP="00500445">
      <w:pPr>
        <w:pStyle w:val="ListParagraph"/>
        <w:numPr>
          <w:ilvl w:val="0"/>
          <w:numId w:val="5"/>
        </w:numPr>
      </w:pPr>
      <w:r>
        <w:t>In relation to this last question, there are some important points to consider:</w:t>
      </w:r>
      <w:r w:rsidR="00500445">
        <w:t xml:space="preserve"> </w:t>
      </w:r>
    </w:p>
    <w:p w:rsidR="002942DA" w:rsidRDefault="002942DA" w:rsidP="00F06729">
      <w:pPr>
        <w:pStyle w:val="ListParagraph"/>
        <w:numPr>
          <w:ilvl w:val="0"/>
          <w:numId w:val="7"/>
        </w:numPr>
      </w:pPr>
      <w:r>
        <w:t>Physical and Sensory has</w:t>
      </w:r>
      <w:r w:rsidR="007E166A">
        <w:t xml:space="preserve"> the smallest sample-</w:t>
      </w:r>
      <w:proofErr w:type="gramStart"/>
      <w:r>
        <w:t>size,</w:t>
      </w:r>
      <w:proofErr w:type="gramEnd"/>
      <w:r>
        <w:t xml:space="preserve"> therefore each target carries greater statistical significance, compared to the other domains.</w:t>
      </w:r>
    </w:p>
    <w:p w:rsidR="002942DA" w:rsidRDefault="002942DA" w:rsidP="00F06729">
      <w:pPr>
        <w:pStyle w:val="ListParagraph"/>
        <w:numPr>
          <w:ilvl w:val="0"/>
          <w:numId w:val="7"/>
        </w:numPr>
      </w:pPr>
      <w:r>
        <w:t xml:space="preserve"> </w:t>
      </w:r>
      <w:r w:rsidR="00FB5E47">
        <w:t>With</w:t>
      </w:r>
      <w:r w:rsidR="009F3512">
        <w:t>in</w:t>
      </w:r>
      <w:r w:rsidR="00FB5E47">
        <w:t xml:space="preserve"> Physical and Sensory, </w:t>
      </w:r>
      <w:r>
        <w:t xml:space="preserve">50% of </w:t>
      </w:r>
      <w:r w:rsidR="00FB5E47">
        <w:t xml:space="preserve">the reasons for ‘not on track’ </w:t>
      </w:r>
      <w:proofErr w:type="gramStart"/>
      <w:r w:rsidR="00FB5E47">
        <w:t>are</w:t>
      </w:r>
      <w:r w:rsidR="009F3512">
        <w:t xml:space="preserve"> </w:t>
      </w:r>
      <w:r w:rsidR="00FB5E47">
        <w:t>attributed</w:t>
      </w:r>
      <w:proofErr w:type="gramEnd"/>
      <w:r w:rsidR="00FB5E47">
        <w:t xml:space="preserve"> to ‘other’. This demonstrates how personalised the targets are in this domain</w:t>
      </w:r>
      <w:r w:rsidR="009F3512">
        <w:t xml:space="preserve"> and how </w:t>
      </w:r>
      <w:r w:rsidR="00FB5E47">
        <w:t>difficult it is to come to generalised findings.</w:t>
      </w:r>
    </w:p>
    <w:p w:rsidR="00FB5E47" w:rsidRDefault="00FB5E47" w:rsidP="00F06729">
      <w:pPr>
        <w:pStyle w:val="ListParagraph"/>
        <w:numPr>
          <w:ilvl w:val="0"/>
          <w:numId w:val="7"/>
        </w:numPr>
      </w:pPr>
      <w:r>
        <w:t xml:space="preserve">‘Not on track’ </w:t>
      </w:r>
      <w:proofErr w:type="gramStart"/>
      <w:r>
        <w:t>Physical and Sensory targets are generated by 25 students</w:t>
      </w:r>
      <w:proofErr w:type="gramEnd"/>
      <w:r>
        <w:t>. This is a manageable cohort to focus upon and set personalised interventions</w:t>
      </w:r>
      <w:r w:rsidR="009F3512">
        <w:t xml:space="preserve">, once school normality </w:t>
      </w:r>
      <w:proofErr w:type="gramStart"/>
      <w:r w:rsidR="009F3512">
        <w:t>is resumed</w:t>
      </w:r>
      <w:proofErr w:type="gramEnd"/>
      <w:r w:rsidR="009F3512">
        <w:t xml:space="preserve">. Teachers can begin this work, during lock down. </w:t>
      </w:r>
    </w:p>
    <w:p w:rsidR="00F06729" w:rsidRDefault="00F06729" w:rsidP="00F06729"/>
    <w:p w:rsidR="00F06729" w:rsidRDefault="00D9545D" w:rsidP="00F06729">
      <w:r>
        <w:t>Finally</w:t>
      </w:r>
      <w:r w:rsidR="00F06729">
        <w:t xml:space="preserve">, it </w:t>
      </w:r>
      <w:proofErr w:type="gramStart"/>
      <w:r w:rsidR="00F06729">
        <w:t>must be noted</w:t>
      </w:r>
      <w:proofErr w:type="gramEnd"/>
      <w:r w:rsidR="00F06729">
        <w:t xml:space="preserve"> that any continuation of school closure related to COVID-19, will obvious have a significant impact on our students outcomes. Teachers are working hard to set online work, via their class page on the website, however this cannot replicate the quality of the provision students would be receiving if they were in school. Knowledge, understanding and skills will be lost and once we return to school, time </w:t>
      </w:r>
      <w:proofErr w:type="gramStart"/>
      <w:r w:rsidR="00F06729">
        <w:t>must be allocat</w:t>
      </w:r>
      <w:r w:rsidR="007E166A">
        <w:t>ed</w:t>
      </w:r>
      <w:proofErr w:type="gramEnd"/>
      <w:r w:rsidR="007E166A">
        <w:t xml:space="preserve"> to carefully re-baseline. Understandably, this disruption to students’ education </w:t>
      </w:r>
      <w:proofErr w:type="gramStart"/>
      <w:r w:rsidR="007E166A">
        <w:t>will be reflected</w:t>
      </w:r>
      <w:proofErr w:type="gramEnd"/>
      <w:r w:rsidR="007E166A">
        <w:t xml:space="preserve"> in subsequent data reports.</w:t>
      </w:r>
      <w:r w:rsidR="00F06729">
        <w:t xml:space="preserve"> </w:t>
      </w:r>
    </w:p>
    <w:p w:rsidR="00F04F63" w:rsidRDefault="00FE4F0D" w:rsidP="009F3512">
      <w:r>
        <w:t xml:space="preserve"> </w:t>
      </w:r>
    </w:p>
    <w:p w:rsidR="00FE4F0D" w:rsidRDefault="00FE4F0D" w:rsidP="00FE4F0D"/>
    <w:p w:rsidR="00FE4F0D" w:rsidRDefault="00FE4F0D" w:rsidP="00FE4F0D"/>
    <w:p w:rsidR="00FE4F0D" w:rsidRDefault="00FE4F0D" w:rsidP="00FE4F0D"/>
    <w:p w:rsidR="00FE4F0D" w:rsidRDefault="00FE4F0D" w:rsidP="00FE4F0D"/>
    <w:p w:rsidR="00FE4F0D" w:rsidRDefault="00FE4F0D" w:rsidP="00FE4F0D"/>
    <w:p w:rsidR="00FE4F0D" w:rsidRDefault="00FE4F0D" w:rsidP="00FE4F0D"/>
    <w:p w:rsidR="00FE4F0D" w:rsidRDefault="00FE4F0D" w:rsidP="00FE4F0D"/>
    <w:p w:rsidR="00FE4F0D" w:rsidRDefault="00FE4F0D" w:rsidP="00FE4F0D"/>
    <w:p w:rsidR="00FE4F0D" w:rsidRDefault="00FE4F0D" w:rsidP="00FE4F0D"/>
    <w:p w:rsidR="000E5CE0" w:rsidRDefault="000E5CE0" w:rsidP="00FE4F0D"/>
    <w:p w:rsidR="000E5CE0" w:rsidRDefault="000E5CE0" w:rsidP="00FE4F0D"/>
    <w:p w:rsidR="000E5CE0" w:rsidRPr="0017128D" w:rsidRDefault="000E5CE0" w:rsidP="00FE4F0D">
      <w:pPr>
        <w:rPr>
          <w:b/>
        </w:rPr>
      </w:pPr>
    </w:p>
    <w:tbl>
      <w:tblPr>
        <w:tblW w:w="11429" w:type="dxa"/>
        <w:tblInd w:w="-1286" w:type="dxa"/>
        <w:tblLook w:val="04A0" w:firstRow="1" w:lastRow="0" w:firstColumn="1" w:lastColumn="0" w:noHBand="0" w:noVBand="1"/>
      </w:tblPr>
      <w:tblGrid>
        <w:gridCol w:w="2210"/>
        <w:gridCol w:w="522"/>
        <w:gridCol w:w="474"/>
        <w:gridCol w:w="522"/>
        <w:gridCol w:w="474"/>
        <w:gridCol w:w="474"/>
        <w:gridCol w:w="474"/>
        <w:gridCol w:w="522"/>
        <w:gridCol w:w="474"/>
        <w:gridCol w:w="474"/>
        <w:gridCol w:w="522"/>
        <w:gridCol w:w="474"/>
        <w:gridCol w:w="474"/>
        <w:gridCol w:w="474"/>
        <w:gridCol w:w="474"/>
        <w:gridCol w:w="474"/>
        <w:gridCol w:w="474"/>
        <w:gridCol w:w="522"/>
        <w:gridCol w:w="921"/>
      </w:tblGrid>
      <w:tr w:rsidR="00FE4F0D" w:rsidRPr="00FE4F0D" w:rsidTr="006F1C80">
        <w:trPr>
          <w:trHeight w:val="256"/>
        </w:trPr>
        <w:tc>
          <w:tcPr>
            <w:tcW w:w="2210" w:type="dxa"/>
            <w:tcBorders>
              <w:top w:val="single" w:sz="8" w:space="0" w:color="ED7D31"/>
              <w:left w:val="single" w:sz="8" w:space="0" w:color="ED7D31"/>
              <w:bottom w:val="single" w:sz="4" w:space="0" w:color="FFFFFF"/>
              <w:right w:val="single" w:sz="4" w:space="0" w:color="ED7D31"/>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1518" w:type="dxa"/>
            <w:gridSpan w:val="3"/>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8" w:space="0" w:color="ED7D31"/>
              <w:left w:val="nil"/>
              <w:bottom w:val="single" w:sz="4" w:space="0" w:color="FFFFFF"/>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8" w:space="0" w:color="ED7D31"/>
              <w:left w:val="nil"/>
              <w:bottom w:val="single" w:sz="4" w:space="0" w:color="FFFFFF"/>
              <w:right w:val="single" w:sz="8" w:space="0" w:color="ED7D31"/>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r>
      <w:tr w:rsidR="00FE4F0D" w:rsidRPr="00FE4F0D" w:rsidTr="006F1C80">
        <w:trPr>
          <w:trHeight w:val="256"/>
        </w:trPr>
        <w:tc>
          <w:tcPr>
            <w:tcW w:w="2210" w:type="dxa"/>
            <w:tcBorders>
              <w:top w:val="single" w:sz="4" w:space="0" w:color="FFFFFF"/>
              <w:left w:val="single" w:sz="8" w:space="0" w:color="ED7D31"/>
              <w:bottom w:val="single" w:sz="8" w:space="0" w:color="ED7D31"/>
              <w:right w:val="single" w:sz="4" w:space="0" w:color="ED7D31"/>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522"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522"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522"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522"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474"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522" w:type="dxa"/>
            <w:tcBorders>
              <w:top w:val="single" w:sz="4" w:space="0" w:color="FFFFFF"/>
              <w:left w:val="nil"/>
              <w:bottom w:val="single" w:sz="8" w:space="0" w:color="ED7D31"/>
              <w:right w:val="nil"/>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921" w:type="dxa"/>
            <w:tcBorders>
              <w:top w:val="single" w:sz="4" w:space="0" w:color="FFFFFF"/>
              <w:left w:val="nil"/>
              <w:bottom w:val="single" w:sz="8" w:space="0" w:color="ED7D31"/>
              <w:right w:val="single" w:sz="8" w:space="0" w:color="ED7D31"/>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FFFFF"/>
              <w:right w:val="single" w:sz="4" w:space="0" w:color="ED7D31"/>
            </w:tcBorders>
            <w:shd w:val="clear" w:color="FCE4D6" w:fill="FCE4D6"/>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921"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100" w:firstLine="160"/>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100" w:firstLine="160"/>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100" w:firstLine="160"/>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100" w:firstLine="160"/>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100" w:firstLine="160"/>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100" w:firstLine="160"/>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100" w:firstLine="160"/>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100" w:firstLine="160"/>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rPr>
                <w:rFonts w:eastAsia="Times New Roman" w:cs="Times New Roman"/>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FFFFF"/>
              <w:right w:val="single" w:sz="4" w:space="0" w:color="ED7D31"/>
            </w:tcBorders>
            <w:shd w:val="clear" w:color="FCE4D6" w:fill="FCE4D6"/>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921" w:type="dxa"/>
            <w:tcBorders>
              <w:top w:val="single" w:sz="4" w:space="0" w:color="FCE4D6"/>
              <w:left w:val="nil"/>
              <w:bottom w:val="single" w:sz="4" w:space="0" w:color="FFFFFF"/>
              <w:right w:val="nil"/>
            </w:tcBorders>
            <w:shd w:val="clear" w:color="FCE4D6" w:fill="FCE4D6"/>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100" w:firstLine="160"/>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4" w:space="0" w:color="FCE4D6"/>
              <w:left w:val="nil"/>
              <w:bottom w:val="single" w:sz="4" w:space="0" w:color="FCE4D6"/>
              <w:right w:val="single" w:sz="4" w:space="0" w:color="ED7D31"/>
            </w:tcBorders>
            <w:shd w:val="clear" w:color="auto" w:fill="auto"/>
            <w:noWrap/>
            <w:vAlign w:val="bottom"/>
          </w:tcPr>
          <w:p w:rsidR="00FE4F0D" w:rsidRPr="000E5CE0" w:rsidRDefault="00FE4F0D" w:rsidP="00FE4F0D">
            <w:pPr>
              <w:spacing w:after="0" w:line="240" w:lineRule="auto"/>
              <w:ind w:firstLineChars="200" w:firstLine="320"/>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474"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522"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c>
          <w:tcPr>
            <w:tcW w:w="921" w:type="dxa"/>
            <w:tcBorders>
              <w:top w:val="single" w:sz="4" w:space="0" w:color="FCE4D6"/>
              <w:left w:val="nil"/>
              <w:bottom w:val="single" w:sz="4" w:space="0" w:color="FCE4D6"/>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color w:val="C65911"/>
                <w:sz w:val="16"/>
                <w:szCs w:val="16"/>
                <w:lang w:eastAsia="en-GB"/>
              </w:rPr>
            </w:pPr>
          </w:p>
        </w:tc>
      </w:tr>
      <w:tr w:rsidR="00FE4F0D" w:rsidRPr="00FE4F0D" w:rsidTr="006F1C80">
        <w:trPr>
          <w:trHeight w:val="256"/>
        </w:trPr>
        <w:tc>
          <w:tcPr>
            <w:tcW w:w="2210" w:type="dxa"/>
            <w:tcBorders>
              <w:top w:val="single" w:sz="8" w:space="0" w:color="ED7D31"/>
              <w:left w:val="single" w:sz="8" w:space="0" w:color="ED7D31"/>
              <w:bottom w:val="single" w:sz="8" w:space="0" w:color="ED7D31"/>
              <w:right w:val="single" w:sz="4" w:space="0" w:color="ED7D31"/>
            </w:tcBorders>
            <w:shd w:val="clear" w:color="auto" w:fill="auto"/>
            <w:noWrap/>
            <w:vAlign w:val="bottom"/>
          </w:tcPr>
          <w:p w:rsidR="00FE4F0D" w:rsidRPr="000E5CE0" w:rsidRDefault="00FE4F0D" w:rsidP="00FE4F0D">
            <w:pPr>
              <w:spacing w:after="0" w:line="240" w:lineRule="auto"/>
              <w:rPr>
                <w:rFonts w:eastAsia="Times New Roman" w:cs="Times New Roman"/>
                <w:b/>
                <w:bCs/>
                <w:color w:val="000000"/>
                <w:sz w:val="16"/>
                <w:szCs w:val="16"/>
                <w:lang w:eastAsia="en-GB"/>
              </w:rPr>
            </w:pPr>
          </w:p>
        </w:tc>
        <w:tc>
          <w:tcPr>
            <w:tcW w:w="522"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474"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522" w:type="dxa"/>
            <w:tcBorders>
              <w:top w:val="single" w:sz="8" w:space="0" w:color="ED7D31"/>
              <w:left w:val="nil"/>
              <w:bottom w:val="single" w:sz="8" w:space="0" w:color="ED7D31"/>
              <w:right w:val="nil"/>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c>
          <w:tcPr>
            <w:tcW w:w="921" w:type="dxa"/>
            <w:tcBorders>
              <w:top w:val="single" w:sz="8" w:space="0" w:color="ED7D31"/>
              <w:left w:val="nil"/>
              <w:bottom w:val="single" w:sz="8" w:space="0" w:color="ED7D31"/>
              <w:right w:val="single" w:sz="8" w:space="0" w:color="ED7D31"/>
            </w:tcBorders>
            <w:shd w:val="clear" w:color="auto" w:fill="auto"/>
            <w:noWrap/>
            <w:vAlign w:val="bottom"/>
          </w:tcPr>
          <w:p w:rsidR="00FE4F0D" w:rsidRPr="000E5CE0" w:rsidRDefault="00FE4F0D" w:rsidP="00FE4F0D">
            <w:pPr>
              <w:spacing w:after="0" w:line="240" w:lineRule="auto"/>
              <w:jc w:val="right"/>
              <w:rPr>
                <w:rFonts w:eastAsia="Times New Roman" w:cs="Times New Roman"/>
                <w:b/>
                <w:bCs/>
                <w:color w:val="000000"/>
                <w:sz w:val="16"/>
                <w:szCs w:val="16"/>
                <w:lang w:eastAsia="en-GB"/>
              </w:rPr>
            </w:pPr>
          </w:p>
        </w:tc>
      </w:tr>
    </w:tbl>
    <w:p w:rsidR="00FE4F0D" w:rsidRPr="00045D49" w:rsidRDefault="00FE4F0D" w:rsidP="00FE4F0D"/>
    <w:sectPr w:rsidR="00FE4F0D" w:rsidRPr="00045D49" w:rsidSect="00E1234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CC0" w:rsidRDefault="007A3CC0" w:rsidP="0017128D">
      <w:pPr>
        <w:spacing w:after="0" w:line="240" w:lineRule="auto"/>
      </w:pPr>
      <w:r>
        <w:separator/>
      </w:r>
    </w:p>
  </w:endnote>
  <w:endnote w:type="continuationSeparator" w:id="0">
    <w:p w:rsidR="007A3CC0" w:rsidRDefault="007A3CC0" w:rsidP="0017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94277"/>
      <w:docPartObj>
        <w:docPartGallery w:val="Page Numbers (Bottom of Page)"/>
        <w:docPartUnique/>
      </w:docPartObj>
    </w:sdtPr>
    <w:sdtEndPr>
      <w:rPr>
        <w:noProof/>
      </w:rPr>
    </w:sdtEndPr>
    <w:sdtContent>
      <w:p w:rsidR="007A3CC0" w:rsidRDefault="007A3CC0">
        <w:pPr>
          <w:pStyle w:val="Footer"/>
          <w:jc w:val="center"/>
        </w:pPr>
        <w:r>
          <w:fldChar w:fldCharType="begin"/>
        </w:r>
        <w:r>
          <w:instrText xml:space="preserve"> PAGE   \* MERGEFORMAT </w:instrText>
        </w:r>
        <w:r>
          <w:fldChar w:fldCharType="separate"/>
        </w:r>
        <w:r w:rsidR="00D9545D">
          <w:rPr>
            <w:noProof/>
          </w:rPr>
          <w:t>11</w:t>
        </w:r>
        <w:r>
          <w:rPr>
            <w:noProof/>
          </w:rPr>
          <w:fldChar w:fldCharType="end"/>
        </w:r>
      </w:p>
    </w:sdtContent>
  </w:sdt>
  <w:p w:rsidR="007A3CC0" w:rsidRDefault="007A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CC0" w:rsidRDefault="007A3CC0" w:rsidP="0017128D">
      <w:pPr>
        <w:spacing w:after="0" w:line="240" w:lineRule="auto"/>
      </w:pPr>
      <w:r>
        <w:separator/>
      </w:r>
    </w:p>
  </w:footnote>
  <w:footnote w:type="continuationSeparator" w:id="0">
    <w:p w:rsidR="007A3CC0" w:rsidRDefault="007A3CC0" w:rsidP="00171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F54"/>
    <w:multiLevelType w:val="hybridMultilevel"/>
    <w:tmpl w:val="AF5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4FE"/>
    <w:multiLevelType w:val="hybridMultilevel"/>
    <w:tmpl w:val="0916D8F0"/>
    <w:lvl w:ilvl="0" w:tplc="33BC04AE">
      <w:start w:val="10"/>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446660"/>
    <w:multiLevelType w:val="hybridMultilevel"/>
    <w:tmpl w:val="68C4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57CC2"/>
    <w:multiLevelType w:val="hybridMultilevel"/>
    <w:tmpl w:val="8834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2208D"/>
    <w:multiLevelType w:val="hybridMultilevel"/>
    <w:tmpl w:val="395E16AE"/>
    <w:lvl w:ilvl="0" w:tplc="F98C2978">
      <w:start w:val="2019"/>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9043B9"/>
    <w:multiLevelType w:val="hybridMultilevel"/>
    <w:tmpl w:val="C7966E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C07243"/>
    <w:multiLevelType w:val="hybridMultilevel"/>
    <w:tmpl w:val="FF24C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21"/>
    <w:rsid w:val="00045D49"/>
    <w:rsid w:val="000510EF"/>
    <w:rsid w:val="000D252E"/>
    <w:rsid w:val="000E5B67"/>
    <w:rsid w:val="000E5CE0"/>
    <w:rsid w:val="00136AAB"/>
    <w:rsid w:val="0017128D"/>
    <w:rsid w:val="00186AEC"/>
    <w:rsid w:val="00187CF5"/>
    <w:rsid w:val="00276D00"/>
    <w:rsid w:val="002942DA"/>
    <w:rsid w:val="00294499"/>
    <w:rsid w:val="002A12F5"/>
    <w:rsid w:val="002E2DEF"/>
    <w:rsid w:val="003322ED"/>
    <w:rsid w:val="0039530A"/>
    <w:rsid w:val="003A7E9D"/>
    <w:rsid w:val="00411EE1"/>
    <w:rsid w:val="004259C8"/>
    <w:rsid w:val="004466D8"/>
    <w:rsid w:val="00476AB9"/>
    <w:rsid w:val="004A03DE"/>
    <w:rsid w:val="00500445"/>
    <w:rsid w:val="00537D26"/>
    <w:rsid w:val="00566769"/>
    <w:rsid w:val="00577F3A"/>
    <w:rsid w:val="005B0085"/>
    <w:rsid w:val="0066592E"/>
    <w:rsid w:val="006E5126"/>
    <w:rsid w:val="006F1C80"/>
    <w:rsid w:val="00726A7B"/>
    <w:rsid w:val="00730FB7"/>
    <w:rsid w:val="00760AA5"/>
    <w:rsid w:val="007A3CC0"/>
    <w:rsid w:val="007B1C21"/>
    <w:rsid w:val="007E166A"/>
    <w:rsid w:val="007E4B9F"/>
    <w:rsid w:val="008C7E92"/>
    <w:rsid w:val="008D37CD"/>
    <w:rsid w:val="009C140D"/>
    <w:rsid w:val="009F3512"/>
    <w:rsid w:val="00A07107"/>
    <w:rsid w:val="00A52B0B"/>
    <w:rsid w:val="00AE3FCB"/>
    <w:rsid w:val="00AE4B0D"/>
    <w:rsid w:val="00AE6E0F"/>
    <w:rsid w:val="00B42A88"/>
    <w:rsid w:val="00B92E7D"/>
    <w:rsid w:val="00BB54CE"/>
    <w:rsid w:val="00BC69EC"/>
    <w:rsid w:val="00C1147D"/>
    <w:rsid w:val="00C1782B"/>
    <w:rsid w:val="00C2119E"/>
    <w:rsid w:val="00C47F86"/>
    <w:rsid w:val="00C64C40"/>
    <w:rsid w:val="00C65E1D"/>
    <w:rsid w:val="00C765E3"/>
    <w:rsid w:val="00CE51EB"/>
    <w:rsid w:val="00D12AD7"/>
    <w:rsid w:val="00D72C9D"/>
    <w:rsid w:val="00D81C0E"/>
    <w:rsid w:val="00D9545D"/>
    <w:rsid w:val="00DD0223"/>
    <w:rsid w:val="00E01EB0"/>
    <w:rsid w:val="00E1234D"/>
    <w:rsid w:val="00E66EA2"/>
    <w:rsid w:val="00EE1DFA"/>
    <w:rsid w:val="00F04F63"/>
    <w:rsid w:val="00F06729"/>
    <w:rsid w:val="00FB5E47"/>
    <w:rsid w:val="00FC797A"/>
    <w:rsid w:val="00FE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25F7"/>
  <w15:chartTrackingRefBased/>
  <w15:docId w15:val="{A7862B96-1905-4C0E-97FD-E3DAD08B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566769"/>
    <w:pPr>
      <w:ind w:left="720"/>
      <w:contextualSpacing/>
    </w:pPr>
  </w:style>
  <w:style w:type="paragraph" w:styleId="Header">
    <w:name w:val="header"/>
    <w:basedOn w:val="Normal"/>
    <w:link w:val="HeaderChar"/>
    <w:uiPriority w:val="99"/>
    <w:unhideWhenUsed/>
    <w:rsid w:val="00171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28D"/>
  </w:style>
  <w:style w:type="paragraph" w:styleId="Footer">
    <w:name w:val="footer"/>
    <w:basedOn w:val="Normal"/>
    <w:link w:val="FooterChar"/>
    <w:uiPriority w:val="99"/>
    <w:unhideWhenUsed/>
    <w:rsid w:val="00171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72477">
      <w:bodyDiv w:val="1"/>
      <w:marLeft w:val="0"/>
      <w:marRight w:val="0"/>
      <w:marTop w:val="0"/>
      <w:marBottom w:val="0"/>
      <w:divBdr>
        <w:top w:val="none" w:sz="0" w:space="0" w:color="auto"/>
        <w:left w:val="none" w:sz="0" w:space="0" w:color="auto"/>
        <w:bottom w:val="none" w:sz="0" w:space="0" w:color="auto"/>
        <w:right w:val="none" w:sz="0" w:space="0" w:color="auto"/>
      </w:divBdr>
    </w:div>
    <w:div w:id="372658449">
      <w:bodyDiv w:val="1"/>
      <w:marLeft w:val="0"/>
      <w:marRight w:val="0"/>
      <w:marTop w:val="0"/>
      <w:marBottom w:val="0"/>
      <w:divBdr>
        <w:top w:val="none" w:sz="0" w:space="0" w:color="auto"/>
        <w:left w:val="none" w:sz="0" w:space="0" w:color="auto"/>
        <w:bottom w:val="none" w:sz="0" w:space="0" w:color="auto"/>
        <w:right w:val="none" w:sz="0" w:space="0" w:color="auto"/>
      </w:divBdr>
    </w:div>
    <w:div w:id="539321987">
      <w:bodyDiv w:val="1"/>
      <w:marLeft w:val="0"/>
      <w:marRight w:val="0"/>
      <w:marTop w:val="0"/>
      <w:marBottom w:val="0"/>
      <w:divBdr>
        <w:top w:val="none" w:sz="0" w:space="0" w:color="auto"/>
        <w:left w:val="none" w:sz="0" w:space="0" w:color="auto"/>
        <w:bottom w:val="none" w:sz="0" w:space="0" w:color="auto"/>
        <w:right w:val="none" w:sz="0" w:space="0" w:color="auto"/>
      </w:divBdr>
    </w:div>
    <w:div w:id="12402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4.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ad.meadows.sandwell.sch.uk\File%20Server$\Admin%20Shares$\Senior%20Team\SPENCER%20Graham\January%2020%20Assessment\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D.MEADOWS.SANDWELL.SCH.UK\Users$\SMT$\GSpencer\Downloads\DATA%20APRIL%2020%20(1).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ad.meadows.sandwell.sch.uk\File%20Server$\Admin%20Shares$\Senior%20Team\SPENCER%20Graham\January%2020%20Assessment\DATA.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ad.meadows.sandwell.sch.uk\File%20Server$\Admin%20Shares$\Senior%20Team\SPENCER%20Graham\April%2020%20Assessment\DATA%20APRIL%20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ad.meadows.sandwell.sch.uk\File%20Server$\Admin%20Shares$\Senior%20Team\SPENCER%20Graham\January%2020%20Assessment\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meadows.sandwell.sch.uk\File%20Server$\Admin%20Shares$\Senior%20Team\SPENCER%20Graham\April%2020%20Assessment\DATA%20APRIL%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meadows.sandwell.sch.uk\File%20Server$\Admin%20Shares$\Senior%20Team\SPENCER%20Graham\April%2020%20Assessment\DATA%20APRIL%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MEADOWS.SANDWELL.SCH.UK\Users$\SMT$\GSpencer\Downloads\DATA%20APRIL%2020%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MEADOWS.SANDWELL.SCH.UK\Users$\SMT$\GSpencer\Downloads\DATA%20APRIL%2020%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MEADOWS.SANDWELL.SCH.UK\Users$\SMT$\GSpencer\Downloads\DATA%20APRIL%2020%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AD.MEADOWS.SANDWELL.SCH.UK\Users$\SMT$\GSpencer\Downloads\DATA%20APRIL%2020%20(1).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AD.MEADOWS.SANDWELL.SCH.UK\Users$\SMT$\GSpencer\Downloads\DATA%20APRIL%2020%20(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US" sz="1200">
                <a:latin typeface="Century Gothic" panose="020B0502020202020204" pitchFamily="34" charset="0"/>
              </a:rPr>
              <a:t>Autumn - All EHCP Targets, 'On Track' vs 'Not On Track'</a:t>
            </a:r>
          </a:p>
        </c:rich>
      </c:tx>
      <c:layout>
        <c:manualLayout>
          <c:xMode val="edge"/>
          <c:yMode val="edge"/>
          <c:x val="2.0736001749781272E-2"/>
          <c:y val="3.7037037037037035E-2"/>
        </c:manualLayout>
      </c:layout>
      <c:overlay val="0"/>
      <c:spPr>
        <a:noFill/>
        <a:ln>
          <a:noFill/>
        </a:ln>
        <a:effectLst/>
      </c:spPr>
      <c:txPr>
        <a:bodyPr rot="0" spcFirstLastPara="1" vertOverflow="ellipsis" vert="horz" wrap="square" anchor="ctr" anchorCtr="1"/>
        <a:lstStyle/>
        <a:p>
          <a:pPr algn="l">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pieChart>
        <c:varyColors val="1"/>
        <c:ser>
          <c:idx val="0"/>
          <c:order val="0"/>
          <c:tx>
            <c:strRef>
              <c:f>Sheet1!$N$4</c:f>
              <c:strCache>
                <c:ptCount val="1"/>
                <c:pt idx="0">
                  <c:v>All EHCP Targets, On Track Vs Not On Track</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762B-4533-9FCD-54C1BC7814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2B-4533-9FCD-54C1BC7814B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Sheet1!$M$5:$M$6</c:f>
              <c:strCache>
                <c:ptCount val="2"/>
                <c:pt idx="0">
                  <c:v>On Track</c:v>
                </c:pt>
                <c:pt idx="1">
                  <c:v>Not on Track</c:v>
                </c:pt>
              </c:strCache>
            </c:strRef>
          </c:cat>
          <c:val>
            <c:numRef>
              <c:f>Sheet1!$N$5:$N$6</c:f>
              <c:numCache>
                <c:formatCode>General</c:formatCode>
                <c:ptCount val="2"/>
                <c:pt idx="0">
                  <c:v>1127</c:v>
                </c:pt>
                <c:pt idx="1">
                  <c:v>129</c:v>
                </c:pt>
              </c:numCache>
            </c:numRef>
          </c:val>
          <c:extLst>
            <c:ext xmlns:c16="http://schemas.microsoft.com/office/drawing/2014/chart" uri="{C3380CC4-5D6E-409C-BE32-E72D297353CC}">
              <c16:uniqueId val="{00000004-762B-4533-9FCD-54C1BC7814B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[DATA APRIL 20 (1).xlsx]Chart 1 Domain!PivotTable5</c:name>
    <c:fmtId val="29"/>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Speech Language and Communication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marker>
          <c:symbol val="none"/>
        </c:marker>
      </c:pivotFmt>
      <c:pivotFmt>
        <c:idx val="3"/>
        <c:spPr>
          <a:solidFill>
            <a:schemeClr val="accent1"/>
          </a:solidFill>
          <a:ln w="19050">
            <a:solidFill>
              <a:schemeClr val="lt1"/>
            </a:solidFill>
          </a:ln>
          <a:effectLst/>
        </c:spPr>
        <c:marker>
          <c:symbol val="none"/>
        </c:marker>
      </c:pivotFmt>
      <c:pivotFmt>
        <c:idx val="4"/>
        <c:spPr>
          <a:solidFill>
            <a:schemeClr val="accent1"/>
          </a:solidFill>
          <a:ln w="19050">
            <a:solidFill>
              <a:schemeClr val="lt1"/>
            </a:solidFill>
          </a:ln>
          <a:effectLst/>
        </c:spPr>
        <c:marker>
          <c:symbol val="none"/>
        </c:marke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s>
    <c:plotArea>
      <c:layout/>
      <c:pieChart>
        <c:varyColors val="1"/>
        <c:ser>
          <c:idx val="0"/>
          <c:order val="0"/>
          <c:tx>
            <c:strRef>
              <c:f>'Chart 1 Domain'!$AH$2:$AH$3</c:f>
              <c:strCache>
                <c:ptCount val="1"/>
                <c:pt idx="0">
                  <c:v>SLC</c:v>
                </c:pt>
              </c:strCache>
            </c:strRef>
          </c:tx>
          <c:dPt>
            <c:idx val="0"/>
            <c:bubble3D val="0"/>
            <c:spPr>
              <a:solidFill>
                <a:schemeClr val="accent5"/>
              </a:solidFill>
              <a:ln w="19050">
                <a:solidFill>
                  <a:schemeClr val="lt1"/>
                </a:solidFill>
              </a:ln>
              <a:effectLst/>
            </c:spPr>
            <c:extLst>
              <c:ext xmlns:c16="http://schemas.microsoft.com/office/drawing/2014/chart" uri="{C3380CC4-5D6E-409C-BE32-E72D297353CC}">
                <c16:uniqueId val="{00000001-7724-4DD0-BE7C-415BB55F8926}"/>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7724-4DD0-BE7C-415BB55F8926}"/>
              </c:ext>
            </c:extLst>
          </c:dPt>
          <c:dPt>
            <c:idx val="2"/>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7724-4DD0-BE7C-415BB55F8926}"/>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7724-4DD0-BE7C-415BB55F8926}"/>
              </c:ext>
            </c:extLst>
          </c:dPt>
          <c:dPt>
            <c:idx val="4"/>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9-7724-4DD0-BE7C-415BB55F8926}"/>
              </c:ext>
            </c:extLst>
          </c:dPt>
          <c:dPt>
            <c:idx val="5"/>
            <c:bubble3D val="0"/>
            <c:spPr>
              <a:solidFill>
                <a:schemeClr val="accent3"/>
              </a:solidFill>
              <a:ln w="19050">
                <a:solidFill>
                  <a:schemeClr val="lt1"/>
                </a:solidFill>
              </a:ln>
              <a:effectLst/>
            </c:spPr>
            <c:extLst>
              <c:ext xmlns:c16="http://schemas.microsoft.com/office/drawing/2014/chart" uri="{C3380CC4-5D6E-409C-BE32-E72D297353CC}">
                <c16:uniqueId val="{0000000B-7724-4DD0-BE7C-415BB55F89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'Chart 1 Domain'!$AG$4:$AG$10</c:f>
              <c:strCache>
                <c:ptCount val="6"/>
                <c:pt idx="0">
                  <c:v>1-Attendance</c:v>
                </c:pt>
                <c:pt idx="1">
                  <c:v>2-Medical</c:v>
                </c:pt>
                <c:pt idx="2">
                  <c:v>3-Behaviour</c:v>
                </c:pt>
                <c:pt idx="3">
                  <c:v>4-Resources/Training</c:v>
                </c:pt>
                <c:pt idx="4">
                  <c:v>5-Inapropriate Expectation</c:v>
                </c:pt>
                <c:pt idx="5">
                  <c:v>6-Other</c:v>
                </c:pt>
              </c:strCache>
            </c:strRef>
          </c:cat>
          <c:val>
            <c:numRef>
              <c:f>'Chart 1 Domain'!$AH$4:$AH$10</c:f>
              <c:numCache>
                <c:formatCode>General</c:formatCode>
                <c:ptCount val="6"/>
                <c:pt idx="0">
                  <c:v>3</c:v>
                </c:pt>
                <c:pt idx="1">
                  <c:v>3</c:v>
                </c:pt>
                <c:pt idx="2">
                  <c:v>5</c:v>
                </c:pt>
                <c:pt idx="3">
                  <c:v>4</c:v>
                </c:pt>
                <c:pt idx="4">
                  <c:v>9</c:v>
                </c:pt>
                <c:pt idx="5">
                  <c:v>4</c:v>
                </c:pt>
              </c:numCache>
            </c:numRef>
          </c:val>
          <c:extLst>
            <c:ext xmlns:c16="http://schemas.microsoft.com/office/drawing/2014/chart" uri="{C3380CC4-5D6E-409C-BE32-E72D297353CC}">
              <c16:uniqueId val="{0000000C-7724-4DD0-BE7C-415BB55F892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200" b="0" i="0" baseline="0">
                <a:effectLst/>
                <a:latin typeface="Century Gothic" panose="020B0502020202020204" pitchFamily="34" charset="0"/>
              </a:rPr>
              <a:t>Autumn - All EHCP Targets by Pathway</a:t>
            </a:r>
            <a:endParaRPr lang="en-GB" sz="1200">
              <a:effectLst/>
              <a:latin typeface="Century Gothic" panose="020B0502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100">
              <a:latin typeface="Century Gothic" panose="020B0502020202020204" pitchFamily="34" charset="0"/>
            </a:endParaRPr>
          </a:p>
        </c:rich>
      </c:tx>
      <c:layout>
        <c:manualLayout>
          <c:xMode val="edge"/>
          <c:yMode val="edge"/>
          <c:x val="0.1521120835505318"/>
          <c:y val="4.647350721784776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tx>
            <c:strRef>
              <c:f>Pathways!$I$10</c:f>
              <c:strCache>
                <c:ptCount val="1"/>
                <c:pt idx="0">
                  <c:v>%</c:v>
                </c:pt>
              </c:strCache>
            </c:strRef>
          </c:tx>
          <c:dPt>
            <c:idx val="0"/>
            <c:bubble3D val="0"/>
            <c:spPr>
              <a:solidFill>
                <a:srgbClr val="FFFF00"/>
              </a:solidFill>
              <a:ln w="19050">
                <a:solidFill>
                  <a:schemeClr val="lt1"/>
                </a:solidFill>
              </a:ln>
              <a:effectLst/>
            </c:spPr>
            <c:extLst>
              <c:ext xmlns:c16="http://schemas.microsoft.com/office/drawing/2014/chart" uri="{C3380CC4-5D6E-409C-BE32-E72D297353CC}">
                <c16:uniqueId val="{00000001-0B43-4653-9059-2F5304C4F218}"/>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0B43-4653-9059-2F5304C4F218}"/>
              </c:ext>
            </c:extLst>
          </c:dPt>
          <c:dPt>
            <c:idx val="2"/>
            <c:bubble3D val="0"/>
            <c:explosion val="1"/>
            <c:spPr>
              <a:solidFill>
                <a:srgbClr val="FFC000"/>
              </a:solidFill>
              <a:ln w="19050">
                <a:solidFill>
                  <a:schemeClr val="lt1"/>
                </a:solidFill>
              </a:ln>
              <a:effectLst/>
            </c:spPr>
            <c:extLst>
              <c:ext xmlns:c16="http://schemas.microsoft.com/office/drawing/2014/chart" uri="{C3380CC4-5D6E-409C-BE32-E72D297353CC}">
                <c16:uniqueId val="{00000005-0B43-4653-9059-2F5304C4F2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Pathways!$H$11:$H$13</c:f>
              <c:strCache>
                <c:ptCount val="3"/>
                <c:pt idx="0">
                  <c:v>Formal</c:v>
                </c:pt>
                <c:pt idx="1">
                  <c:v>Pre Formal</c:v>
                </c:pt>
                <c:pt idx="2">
                  <c:v>Semi Formal</c:v>
                </c:pt>
              </c:strCache>
            </c:strRef>
          </c:cat>
          <c:val>
            <c:numRef>
              <c:f>Pathways!$I$11:$I$13</c:f>
              <c:numCache>
                <c:formatCode>0.00%</c:formatCode>
                <c:ptCount val="3"/>
                <c:pt idx="0">
                  <c:v>0.26273885350318471</c:v>
                </c:pt>
                <c:pt idx="1">
                  <c:v>0.13057324840764331</c:v>
                </c:pt>
                <c:pt idx="2">
                  <c:v>0.60668789808917201</c:v>
                </c:pt>
              </c:numCache>
            </c:numRef>
          </c:val>
          <c:extLst>
            <c:ext xmlns:c16="http://schemas.microsoft.com/office/drawing/2014/chart" uri="{C3380CC4-5D6E-409C-BE32-E72D297353CC}">
              <c16:uniqueId val="{00000006-0B43-4653-9059-2F5304C4F21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200" b="0" i="0" baseline="0">
                <a:effectLst/>
                <a:latin typeface="Century Gothic" panose="020B0502020202020204" pitchFamily="34" charset="0"/>
              </a:rPr>
              <a:t>Spring - All EHCP Targets      by Pathway</a:t>
            </a:r>
            <a:endParaRPr lang="en-GB" sz="1200">
              <a:effectLst/>
              <a:latin typeface="Century Gothic" panose="020B0502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tx>
            <c:strRef>
              <c:f>Pathways!$I$10</c:f>
              <c:strCache>
                <c:ptCount val="1"/>
                <c:pt idx="0">
                  <c:v>%</c:v>
                </c:pt>
              </c:strCache>
            </c:strRef>
          </c:tx>
          <c:dPt>
            <c:idx val="0"/>
            <c:bubble3D val="0"/>
            <c:spPr>
              <a:solidFill>
                <a:srgbClr val="FFFF00"/>
              </a:solidFill>
              <a:ln w="19050">
                <a:solidFill>
                  <a:schemeClr val="lt1"/>
                </a:solidFill>
              </a:ln>
              <a:effectLst/>
            </c:spPr>
            <c:extLst>
              <c:ext xmlns:c16="http://schemas.microsoft.com/office/drawing/2014/chart" uri="{C3380CC4-5D6E-409C-BE32-E72D297353CC}">
                <c16:uniqueId val="{00000001-641B-4464-9F3E-69DD6F5520E0}"/>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641B-4464-9F3E-69DD6F5520E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641B-4464-9F3E-69DD6F5520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Pathways!$H$11:$H$13</c:f>
              <c:strCache>
                <c:ptCount val="3"/>
                <c:pt idx="0">
                  <c:v>Formal</c:v>
                </c:pt>
                <c:pt idx="1">
                  <c:v>Pre Formal</c:v>
                </c:pt>
                <c:pt idx="2">
                  <c:v>Semi Formal</c:v>
                </c:pt>
              </c:strCache>
            </c:strRef>
          </c:cat>
          <c:val>
            <c:numRef>
              <c:f>Pathways!$I$11:$I$13</c:f>
              <c:numCache>
                <c:formatCode>0.00%</c:formatCode>
                <c:ptCount val="3"/>
                <c:pt idx="0">
                  <c:v>0.29292929292929293</c:v>
                </c:pt>
                <c:pt idx="1">
                  <c:v>0.1319073083778966</c:v>
                </c:pt>
                <c:pt idx="2">
                  <c:v>0.57516339869281041</c:v>
                </c:pt>
              </c:numCache>
            </c:numRef>
          </c:val>
          <c:extLst>
            <c:ext xmlns:c16="http://schemas.microsoft.com/office/drawing/2014/chart" uri="{C3380CC4-5D6E-409C-BE32-E72D297353CC}">
              <c16:uniqueId val="{00000006-641B-4464-9F3E-69DD6F5520E0}"/>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200">
                <a:latin typeface="Century Gothic" panose="020B0502020202020204" pitchFamily="34" charset="0"/>
              </a:rPr>
              <a:t>Autumn</a:t>
            </a:r>
            <a:r>
              <a:rPr lang="en-GB" sz="1200" baseline="0">
                <a:latin typeface="Century Gothic" panose="020B0502020202020204" pitchFamily="34" charset="0"/>
              </a:rPr>
              <a:t> - </a:t>
            </a:r>
            <a:r>
              <a:rPr lang="en-GB" sz="1200">
                <a:latin typeface="Century Gothic" panose="020B0502020202020204" pitchFamily="34" charset="0"/>
              </a:rPr>
              <a:t>All EHCP Targets, by Domain</a:t>
            </a:r>
          </a:p>
        </c:rich>
      </c:tx>
      <c:layout>
        <c:manualLayout>
          <c:xMode val="edge"/>
          <c:yMode val="edge"/>
          <c:x val="1.9652668416447958E-2"/>
          <c:y val="3.2407407407407406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34-4E7C-856B-A165F9D59371}"/>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A934-4E7C-856B-A165F9D59371}"/>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A934-4E7C-856B-A165F9D593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34-4E7C-856B-A165F9D5937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34-4E7C-856B-A165F9D59371}"/>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CL </c:v>
                </c:pt>
                <c:pt idx="1">
                  <c:v>I</c:v>
                </c:pt>
                <c:pt idx="2">
                  <c:v>PS</c:v>
                </c:pt>
                <c:pt idx="3">
                  <c:v>SEW </c:v>
                </c:pt>
                <c:pt idx="4">
                  <c:v>SLC</c:v>
                </c:pt>
              </c:strCache>
            </c:strRef>
          </c:cat>
          <c:val>
            <c:numRef>
              <c:f>Sheet1!$B$2:$B$6</c:f>
              <c:numCache>
                <c:formatCode>0.00%</c:formatCode>
                <c:ptCount val="5"/>
                <c:pt idx="0">
                  <c:v>0.312</c:v>
                </c:pt>
                <c:pt idx="1">
                  <c:v>0.188</c:v>
                </c:pt>
                <c:pt idx="2">
                  <c:v>0.105</c:v>
                </c:pt>
                <c:pt idx="3">
                  <c:v>0.187</c:v>
                </c:pt>
                <c:pt idx="4">
                  <c:v>0.20599999999999999</c:v>
                </c:pt>
              </c:numCache>
            </c:numRef>
          </c:val>
          <c:extLst>
            <c:ext xmlns:c16="http://schemas.microsoft.com/office/drawing/2014/chart" uri="{C3380CC4-5D6E-409C-BE32-E72D297353CC}">
              <c16:uniqueId val="{0000000A-A934-4E7C-856B-A165F9D5937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GB" sz="1200">
                <a:latin typeface="Century Gothic" panose="020B0502020202020204" pitchFamily="34" charset="0"/>
              </a:rPr>
              <a:t>Spring All EHCP Targets, by Domain</a:t>
            </a:r>
          </a:p>
        </c:rich>
      </c:tx>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DC-4C2B-9BBD-A4AA2E476186}"/>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8ADC-4C2B-9BBD-A4AA2E476186}"/>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8ADC-4C2B-9BBD-A4AA2E4761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ADC-4C2B-9BBD-A4AA2E47618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ADC-4C2B-9BBD-A4AA2E476186}"/>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CL </c:v>
                </c:pt>
                <c:pt idx="1">
                  <c:v>I</c:v>
                </c:pt>
                <c:pt idx="2">
                  <c:v>PS</c:v>
                </c:pt>
                <c:pt idx="3">
                  <c:v>SEW </c:v>
                </c:pt>
                <c:pt idx="4">
                  <c:v>SLC</c:v>
                </c:pt>
              </c:strCache>
            </c:strRef>
          </c:cat>
          <c:val>
            <c:numRef>
              <c:f>Sheet1!$B$2:$B$6</c:f>
              <c:numCache>
                <c:formatCode>0.00%</c:formatCode>
                <c:ptCount val="5"/>
                <c:pt idx="0">
                  <c:v>0.31313131313131315</c:v>
                </c:pt>
                <c:pt idx="1">
                  <c:v>0.19132501485442663</c:v>
                </c:pt>
                <c:pt idx="2">
                  <c:v>9.9821746880570411E-2</c:v>
                </c:pt>
                <c:pt idx="3">
                  <c:v>0.18300653594771241</c:v>
                </c:pt>
                <c:pt idx="4">
                  <c:v>0.21271538918597743</c:v>
                </c:pt>
              </c:numCache>
            </c:numRef>
          </c:val>
          <c:extLst>
            <c:ext xmlns:c16="http://schemas.microsoft.com/office/drawing/2014/chart" uri="{C3380CC4-5D6E-409C-BE32-E72D297353CC}">
              <c16:uniqueId val="{0000000A-8ADC-4C2B-9BBD-A4AA2E47618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a:latin typeface="Century Gothic" panose="020B0502020202020204" pitchFamily="34" charset="0"/>
              </a:rPr>
              <a:t>Spring - All EHCP Targets 'On Track' Vs 'Not On Track'</a:t>
            </a:r>
          </a:p>
        </c:rich>
      </c:tx>
      <c:layout>
        <c:manualLayout>
          <c:xMode val="edge"/>
          <c:yMode val="edge"/>
          <c:x val="3.1818093445390029E-2"/>
          <c:y val="4.9382716049382713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Sheet1!$N$4</c:f>
              <c:strCache>
                <c:ptCount val="1"/>
                <c:pt idx="0">
                  <c:v>All EHCP Targets, On Track Vs Not On Track</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C33D-4BF4-A481-4850A57A77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3D-4BF4-A481-4850A57A7714}"/>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Sheet1!$M$5:$M$6</c:f>
              <c:strCache>
                <c:ptCount val="2"/>
                <c:pt idx="0">
                  <c:v>On Track</c:v>
                </c:pt>
                <c:pt idx="1">
                  <c:v>Not on Track</c:v>
                </c:pt>
              </c:strCache>
            </c:strRef>
          </c:cat>
          <c:val>
            <c:numRef>
              <c:f>Sheet1!$N$5:$N$6</c:f>
              <c:numCache>
                <c:formatCode>General</c:formatCode>
                <c:ptCount val="2"/>
                <c:pt idx="0">
                  <c:v>1536</c:v>
                </c:pt>
                <c:pt idx="1">
                  <c:v>147</c:v>
                </c:pt>
              </c:numCache>
            </c:numRef>
          </c:val>
          <c:extLst>
            <c:ext xmlns:c16="http://schemas.microsoft.com/office/drawing/2014/chart" uri="{C3380CC4-5D6E-409C-BE32-E72D297353CC}">
              <c16:uniqueId val="{00000004-C33D-4BF4-A481-4850A57A7714}"/>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 Domains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v>Series1</c:v>
          </c:tx>
          <c:dPt>
            <c:idx val="0"/>
            <c:bubble3D val="0"/>
            <c:spPr>
              <a:solidFill>
                <a:schemeClr val="accent5"/>
              </a:solidFill>
              <a:ln w="19050">
                <a:solidFill>
                  <a:schemeClr val="lt1"/>
                </a:solidFill>
              </a:ln>
              <a:effectLst/>
            </c:spPr>
            <c:extLst>
              <c:ext xmlns:c16="http://schemas.microsoft.com/office/drawing/2014/chart" uri="{C3380CC4-5D6E-409C-BE32-E72D297353CC}">
                <c16:uniqueId val="{00000001-F0C6-4B14-A071-205C5EEC747E}"/>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F0C6-4B14-A071-205C5EEC747E}"/>
              </c:ext>
            </c:extLst>
          </c:dPt>
          <c:dPt>
            <c:idx val="2"/>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F0C6-4B14-A071-205C5EEC747E}"/>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F0C6-4B14-A071-205C5EEC747E}"/>
              </c:ext>
            </c:extLst>
          </c:dPt>
          <c:dPt>
            <c:idx val="4"/>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9-F0C6-4B14-A071-205C5EEC747E}"/>
              </c:ext>
            </c:extLst>
          </c:dPt>
          <c:dPt>
            <c:idx val="5"/>
            <c:bubble3D val="0"/>
            <c:spPr>
              <a:solidFill>
                <a:schemeClr val="accent3"/>
              </a:solidFill>
              <a:ln w="19050">
                <a:solidFill>
                  <a:schemeClr val="lt1"/>
                </a:solidFill>
              </a:ln>
              <a:effectLst/>
            </c:spPr>
            <c:extLst>
              <c:ext xmlns:c16="http://schemas.microsoft.com/office/drawing/2014/chart" uri="{C3380CC4-5D6E-409C-BE32-E72D297353CC}">
                <c16:uniqueId val="{0000000B-F0C6-4B14-A071-205C5EEC74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numLit>
              <c:formatCode>General</c:formatCode>
              <c:ptCount val="6"/>
              <c:pt idx="0">
                <c:v>0</c:v>
              </c:pt>
              <c:pt idx="1">
                <c:v>0</c:v>
              </c:pt>
              <c:pt idx="2">
                <c:v>0</c:v>
              </c:pt>
              <c:pt idx="3">
                <c:v>0</c:v>
              </c:pt>
              <c:pt idx="4">
                <c:v>0</c:v>
              </c:pt>
              <c:pt idx="5">
                <c:v>0</c:v>
              </c:pt>
            </c:numLit>
          </c:cat>
          <c:val>
            <c:numLit>
              <c:formatCode>General</c:formatCode>
              <c:ptCount val="6"/>
              <c:pt idx="0">
                <c:v>6</c:v>
              </c:pt>
              <c:pt idx="1">
                <c:v>17</c:v>
              </c:pt>
              <c:pt idx="2">
                <c:v>25</c:v>
              </c:pt>
              <c:pt idx="3">
                <c:v>12</c:v>
              </c:pt>
              <c:pt idx="4">
                <c:v>51</c:v>
              </c:pt>
              <c:pt idx="5">
                <c:v>36</c:v>
              </c:pt>
            </c:numLit>
          </c:val>
          <c:extLst>
            <c:ext xmlns:c16="http://schemas.microsoft.com/office/drawing/2014/chart" uri="{C3380CC4-5D6E-409C-BE32-E72D297353CC}">
              <c16:uniqueId val="{0000000C-F0C6-4B14-A071-205C5EEC74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[DATA APRIL 20 (1).xlsx]Chart 1 Domain!PivotTable1</c:name>
    <c:fmtId val="22"/>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Congition and Learning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marker>
          <c:symbol val="none"/>
        </c:marker>
      </c:pivotFmt>
      <c:pivotFmt>
        <c:idx val="3"/>
        <c:spPr>
          <a:solidFill>
            <a:schemeClr val="accent1"/>
          </a:solidFill>
          <a:ln w="19050">
            <a:solidFill>
              <a:schemeClr val="lt1"/>
            </a:solidFill>
          </a:ln>
          <a:effectLst/>
        </c:spPr>
        <c:marker>
          <c:symbol val="none"/>
        </c:marker>
      </c:pivotFmt>
      <c:pivotFmt>
        <c:idx val="4"/>
        <c:spPr>
          <a:solidFill>
            <a:schemeClr val="accent1"/>
          </a:solidFill>
          <a:ln w="19050">
            <a:solidFill>
              <a:schemeClr val="lt1"/>
            </a:solidFill>
          </a:ln>
          <a:effectLst/>
        </c:spPr>
        <c:marker>
          <c:symbol val="none"/>
        </c:marke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pivotFmt>
      <c:pivotFmt>
        <c:idx val="29"/>
        <c:spPr>
          <a:solidFill>
            <a:schemeClr val="accent1"/>
          </a:solidFill>
          <a:ln w="19050">
            <a:solidFill>
              <a:schemeClr val="lt1"/>
            </a:solidFill>
          </a:ln>
          <a:effectLst/>
        </c:spPr>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marker>
          <c:symbol val="none"/>
        </c:marke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marker>
          <c:symbol val="none"/>
        </c:marke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marker>
          <c:symbol val="none"/>
        </c:marke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marker>
          <c:symbol val="none"/>
        </c:marke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marker>
          <c:symbol val="none"/>
        </c:marker>
      </c:pivotFmt>
      <c:pivotFmt>
        <c:idx val="66"/>
        <c:spPr>
          <a:solidFill>
            <a:schemeClr val="accent1"/>
          </a:solidFill>
          <a:ln w="19050">
            <a:solidFill>
              <a:schemeClr val="lt1"/>
            </a:solidFill>
          </a:ln>
          <a:effectLst/>
        </c:spPr>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pivotFmt>
      <c:pivotFmt>
        <c:idx val="7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marker>
          <c:symbol val="none"/>
        </c:marker>
      </c:pivotFmt>
      <c:pivotFmt>
        <c:idx val="80"/>
        <c:spPr>
          <a:solidFill>
            <a:schemeClr val="accent1"/>
          </a:solidFill>
          <a:ln w="19050">
            <a:solidFill>
              <a:schemeClr val="lt1"/>
            </a:solidFill>
          </a:ln>
          <a:effectLst/>
        </c:spPr>
      </c:pivotFmt>
      <c:pivotFmt>
        <c:idx val="81"/>
        <c:spPr>
          <a:solidFill>
            <a:schemeClr val="accent1"/>
          </a:solidFill>
          <a:ln w="19050">
            <a:solidFill>
              <a:schemeClr val="lt1"/>
            </a:solidFill>
          </a:ln>
          <a:effectLst/>
        </c:spPr>
      </c:pivotFmt>
      <c:pivotFmt>
        <c:idx val="82"/>
        <c:spPr>
          <a:solidFill>
            <a:schemeClr val="accent1"/>
          </a:solidFill>
          <a:ln w="19050">
            <a:solidFill>
              <a:schemeClr val="lt1"/>
            </a:solidFill>
          </a:ln>
          <a:effectLst/>
        </c:spPr>
      </c:pivotFmt>
      <c:pivotFmt>
        <c:idx val="83"/>
        <c:spPr>
          <a:solidFill>
            <a:schemeClr val="accent1"/>
          </a:solidFill>
          <a:ln w="19050">
            <a:solidFill>
              <a:schemeClr val="lt1"/>
            </a:solidFill>
          </a:ln>
          <a:effectLst/>
        </c:spPr>
      </c:pivotFmt>
      <c:pivotFmt>
        <c:idx val="84"/>
        <c:spPr>
          <a:solidFill>
            <a:schemeClr val="accent1"/>
          </a:solidFill>
          <a:ln w="19050">
            <a:solidFill>
              <a:schemeClr val="lt1"/>
            </a:solidFill>
          </a:ln>
          <a:effectLst/>
        </c:spPr>
      </c:pivotFmt>
      <c:pivotFmt>
        <c:idx val="85"/>
        <c:spPr>
          <a:solidFill>
            <a:schemeClr val="accent1"/>
          </a:solidFill>
          <a:ln w="19050">
            <a:solidFill>
              <a:schemeClr val="lt1"/>
            </a:solidFill>
          </a:ln>
          <a:effectLst/>
        </c:spPr>
      </c:pivotFmt>
      <c:pivotFmt>
        <c:idx val="86"/>
        <c:spPr>
          <a:solidFill>
            <a:schemeClr val="accent1"/>
          </a:solidFill>
          <a:ln w="19050">
            <a:solidFill>
              <a:schemeClr val="lt1"/>
            </a:solidFill>
          </a:ln>
          <a:effectLst/>
        </c:spPr>
        <c:marker>
          <c:symbol val="none"/>
        </c:marker>
      </c:pivotFmt>
      <c:pivotFmt>
        <c:idx val="87"/>
        <c:spPr>
          <a:solidFill>
            <a:schemeClr val="accent1"/>
          </a:solidFill>
          <a:ln w="19050">
            <a:solidFill>
              <a:schemeClr val="lt1"/>
            </a:solidFill>
          </a:ln>
          <a:effectLst/>
        </c:spPr>
      </c:pivotFmt>
      <c:pivotFmt>
        <c:idx val="88"/>
        <c:spPr>
          <a:solidFill>
            <a:schemeClr val="accent1"/>
          </a:solidFill>
          <a:ln w="19050">
            <a:solidFill>
              <a:schemeClr val="lt1"/>
            </a:solidFill>
          </a:ln>
          <a:effectLst/>
        </c:spPr>
      </c:pivotFmt>
      <c:pivotFmt>
        <c:idx val="89"/>
        <c:spPr>
          <a:solidFill>
            <a:schemeClr val="accent1"/>
          </a:solidFill>
          <a:ln w="19050">
            <a:solidFill>
              <a:schemeClr val="lt1"/>
            </a:solidFill>
          </a:ln>
          <a:effectLst/>
        </c:spPr>
      </c:pivotFmt>
      <c:pivotFmt>
        <c:idx val="90"/>
        <c:spPr>
          <a:solidFill>
            <a:schemeClr val="accent1"/>
          </a:solidFill>
          <a:ln w="19050">
            <a:solidFill>
              <a:schemeClr val="lt1"/>
            </a:solidFill>
          </a:ln>
          <a:effectLst/>
        </c:spPr>
      </c:pivotFmt>
      <c:pivotFmt>
        <c:idx val="91"/>
        <c:spPr>
          <a:solidFill>
            <a:schemeClr val="accent1"/>
          </a:solidFill>
          <a:ln w="19050">
            <a:solidFill>
              <a:schemeClr val="lt1"/>
            </a:solidFill>
          </a:ln>
          <a:effectLst/>
        </c:spPr>
      </c:pivotFmt>
      <c:pivotFmt>
        <c:idx val="92"/>
        <c:spPr>
          <a:solidFill>
            <a:schemeClr val="accent1"/>
          </a:solidFill>
          <a:ln w="19050">
            <a:solidFill>
              <a:schemeClr val="lt1"/>
            </a:solidFill>
          </a:ln>
          <a:effectLst/>
        </c:spPr>
      </c:pivotFmt>
      <c:pivotFmt>
        <c:idx val="93"/>
        <c:spPr>
          <a:solidFill>
            <a:schemeClr val="accent1"/>
          </a:solidFill>
          <a:ln w="19050">
            <a:solidFill>
              <a:schemeClr val="lt1"/>
            </a:solidFill>
          </a:ln>
          <a:effectLst/>
        </c:spPr>
        <c:marker>
          <c:symbol val="none"/>
        </c:marker>
      </c:pivotFmt>
      <c:pivotFmt>
        <c:idx val="94"/>
        <c:spPr>
          <a:solidFill>
            <a:schemeClr val="accent1"/>
          </a:solidFill>
          <a:ln w="19050">
            <a:solidFill>
              <a:schemeClr val="lt1"/>
            </a:solidFill>
          </a:ln>
          <a:effectLst/>
        </c:spPr>
      </c:pivotFmt>
      <c:pivotFmt>
        <c:idx val="95"/>
        <c:spPr>
          <a:solidFill>
            <a:schemeClr val="accent1"/>
          </a:solidFill>
          <a:ln w="19050">
            <a:solidFill>
              <a:schemeClr val="lt1"/>
            </a:solidFill>
          </a:ln>
          <a:effectLst/>
        </c:spPr>
      </c:pivotFmt>
      <c:pivotFmt>
        <c:idx val="96"/>
        <c:spPr>
          <a:solidFill>
            <a:schemeClr val="accent1"/>
          </a:solidFill>
          <a:ln w="19050">
            <a:solidFill>
              <a:schemeClr val="lt1"/>
            </a:solidFill>
          </a:ln>
          <a:effectLst/>
        </c:spPr>
      </c:pivotFmt>
      <c:pivotFmt>
        <c:idx val="97"/>
        <c:spPr>
          <a:solidFill>
            <a:schemeClr val="accent1"/>
          </a:solidFill>
          <a:ln w="19050">
            <a:solidFill>
              <a:schemeClr val="lt1"/>
            </a:solidFill>
          </a:ln>
          <a:effectLst/>
        </c:spPr>
      </c:pivotFmt>
      <c:pivotFmt>
        <c:idx val="98"/>
        <c:spPr>
          <a:solidFill>
            <a:schemeClr val="accent1"/>
          </a:solidFill>
          <a:ln w="19050">
            <a:solidFill>
              <a:schemeClr val="lt1"/>
            </a:solidFill>
          </a:ln>
          <a:effectLst/>
        </c:spPr>
      </c:pivotFmt>
      <c:pivotFmt>
        <c:idx val="99"/>
        <c:spPr>
          <a:solidFill>
            <a:schemeClr val="accent1"/>
          </a:solidFill>
          <a:ln w="19050">
            <a:solidFill>
              <a:schemeClr val="lt1"/>
            </a:solidFill>
          </a:ln>
          <a:effectLst/>
        </c:spPr>
      </c:pivotFmt>
      <c:pivotFmt>
        <c:idx val="100"/>
        <c:spPr>
          <a:solidFill>
            <a:schemeClr val="accent1"/>
          </a:solidFill>
          <a:ln w="19050">
            <a:solidFill>
              <a:schemeClr val="lt1"/>
            </a:solidFill>
          </a:ln>
          <a:effectLst/>
        </c:spPr>
        <c:marker>
          <c:symbol val="none"/>
        </c:marker>
      </c:pivotFmt>
      <c:pivotFmt>
        <c:idx val="101"/>
        <c:spPr>
          <a:solidFill>
            <a:schemeClr val="accent1"/>
          </a:solidFill>
          <a:ln w="19050">
            <a:solidFill>
              <a:schemeClr val="lt1"/>
            </a:solidFill>
          </a:ln>
          <a:effectLst/>
        </c:spPr>
      </c:pivotFmt>
      <c:pivotFmt>
        <c:idx val="102"/>
        <c:spPr>
          <a:solidFill>
            <a:schemeClr val="accent1"/>
          </a:solidFill>
          <a:ln w="19050">
            <a:solidFill>
              <a:schemeClr val="lt1"/>
            </a:solidFill>
          </a:ln>
          <a:effectLst/>
        </c:spPr>
      </c:pivotFmt>
      <c:pivotFmt>
        <c:idx val="103"/>
        <c:spPr>
          <a:solidFill>
            <a:schemeClr val="accent1"/>
          </a:solidFill>
          <a:ln w="19050">
            <a:solidFill>
              <a:schemeClr val="lt1"/>
            </a:solidFill>
          </a:ln>
          <a:effectLst/>
        </c:spPr>
      </c:pivotFmt>
      <c:pivotFmt>
        <c:idx val="104"/>
        <c:spPr>
          <a:solidFill>
            <a:schemeClr val="accent1"/>
          </a:solidFill>
          <a:ln w="19050">
            <a:solidFill>
              <a:schemeClr val="lt1"/>
            </a:solidFill>
          </a:ln>
          <a:effectLst/>
        </c:spPr>
      </c:pivotFmt>
      <c:pivotFmt>
        <c:idx val="105"/>
        <c:spPr>
          <a:solidFill>
            <a:schemeClr val="accent1"/>
          </a:solidFill>
          <a:ln w="19050">
            <a:solidFill>
              <a:schemeClr val="lt1"/>
            </a:solidFill>
          </a:ln>
          <a:effectLst/>
        </c:spPr>
      </c:pivotFmt>
      <c:pivotFmt>
        <c:idx val="106"/>
        <c:spPr>
          <a:solidFill>
            <a:schemeClr val="accent1"/>
          </a:solidFill>
          <a:ln w="19050">
            <a:solidFill>
              <a:schemeClr val="lt1"/>
            </a:solidFill>
          </a:ln>
          <a:effectLst/>
        </c:spPr>
      </c:pivotFmt>
    </c:pivotFmts>
    <c:plotArea>
      <c:layout/>
      <c:pieChart>
        <c:varyColors val="1"/>
        <c:ser>
          <c:idx val="0"/>
          <c:order val="0"/>
          <c:tx>
            <c:strRef>
              <c:f>'Chart 1 Domain'!$B$2:$B$3</c:f>
              <c:strCache>
                <c:ptCount val="1"/>
                <c:pt idx="0">
                  <c:v>CL </c:v>
                </c:pt>
              </c:strCache>
            </c:strRef>
          </c:tx>
          <c:dPt>
            <c:idx val="0"/>
            <c:bubble3D val="0"/>
            <c:spPr>
              <a:solidFill>
                <a:schemeClr val="accent5"/>
              </a:solidFill>
              <a:ln w="19050">
                <a:solidFill>
                  <a:schemeClr val="lt1"/>
                </a:solidFill>
              </a:ln>
              <a:effectLst/>
            </c:spPr>
            <c:extLst>
              <c:ext xmlns:c16="http://schemas.microsoft.com/office/drawing/2014/chart" uri="{C3380CC4-5D6E-409C-BE32-E72D297353CC}">
                <c16:uniqueId val="{00000001-EE90-43F7-A5EB-4846CE9771B2}"/>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EE90-43F7-A5EB-4846CE9771B2}"/>
              </c:ext>
            </c:extLst>
          </c:dPt>
          <c:dPt>
            <c:idx val="2"/>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EE90-43F7-A5EB-4846CE9771B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EE90-43F7-A5EB-4846CE9771B2}"/>
              </c:ext>
            </c:extLst>
          </c:dPt>
          <c:dPt>
            <c:idx val="4"/>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9-EE90-43F7-A5EB-4846CE9771B2}"/>
              </c:ext>
            </c:extLst>
          </c:dPt>
          <c:dPt>
            <c:idx val="5"/>
            <c:bubble3D val="0"/>
            <c:spPr>
              <a:solidFill>
                <a:schemeClr val="accent3"/>
              </a:solidFill>
              <a:ln w="19050">
                <a:solidFill>
                  <a:schemeClr val="lt1"/>
                </a:solidFill>
              </a:ln>
              <a:effectLst/>
            </c:spPr>
            <c:extLst>
              <c:ext xmlns:c16="http://schemas.microsoft.com/office/drawing/2014/chart" uri="{C3380CC4-5D6E-409C-BE32-E72D297353CC}">
                <c16:uniqueId val="{0000000B-EE90-43F7-A5EB-4846CE9771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'Chart 1 Domain'!$A$4:$A$10</c:f>
              <c:strCache>
                <c:ptCount val="6"/>
                <c:pt idx="0">
                  <c:v>A</c:v>
                </c:pt>
                <c:pt idx="1">
                  <c:v>2-Medical</c:v>
                </c:pt>
                <c:pt idx="2">
                  <c:v>3-Behaviour</c:v>
                </c:pt>
                <c:pt idx="3">
                  <c:v>4-Resources/Training</c:v>
                </c:pt>
                <c:pt idx="4">
                  <c:v>5-Inapropriate Expectation</c:v>
                </c:pt>
                <c:pt idx="5">
                  <c:v>6-Other</c:v>
                </c:pt>
              </c:strCache>
            </c:strRef>
          </c:cat>
          <c:val>
            <c:numRef>
              <c:f>'Chart 1 Domain'!$B$4:$B$10</c:f>
              <c:numCache>
                <c:formatCode>General</c:formatCode>
                <c:ptCount val="6"/>
                <c:pt idx="0">
                  <c:v>2</c:v>
                </c:pt>
                <c:pt idx="1">
                  <c:v>1</c:v>
                </c:pt>
                <c:pt idx="2">
                  <c:v>5</c:v>
                </c:pt>
                <c:pt idx="3">
                  <c:v>2</c:v>
                </c:pt>
                <c:pt idx="4">
                  <c:v>21</c:v>
                </c:pt>
                <c:pt idx="5">
                  <c:v>4</c:v>
                </c:pt>
              </c:numCache>
            </c:numRef>
          </c:val>
          <c:extLst>
            <c:ext xmlns:c16="http://schemas.microsoft.com/office/drawing/2014/chart" uri="{C3380CC4-5D6E-409C-BE32-E72D297353CC}">
              <c16:uniqueId val="{0000000C-EE90-43F7-A5EB-4846CE9771B2}"/>
            </c:ext>
          </c:extLst>
        </c:ser>
        <c:ser>
          <c:idx val="1"/>
          <c:order val="1"/>
          <c:tx>
            <c:strRef>
              <c:f>'Chart 1 Domain'!$C$2:$C$3</c:f>
              <c:strCache>
                <c:ptCount val="1"/>
                <c:pt idx="0">
                  <c:v>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EE90-43F7-A5EB-4846CE9771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EE90-43F7-A5EB-4846CE9771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EE90-43F7-A5EB-4846CE9771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EE90-43F7-A5EB-4846CE9771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EE90-43F7-A5EB-4846CE9771B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EE90-43F7-A5EB-4846CE9771B2}"/>
              </c:ext>
            </c:extLst>
          </c:dPt>
          <c:cat>
            <c:strRef>
              <c:f>'Chart 1 Domain'!$A$4:$A$10</c:f>
              <c:strCache>
                <c:ptCount val="6"/>
                <c:pt idx="0">
                  <c:v>A</c:v>
                </c:pt>
                <c:pt idx="1">
                  <c:v>2-Medical</c:v>
                </c:pt>
                <c:pt idx="2">
                  <c:v>3-Behaviour</c:v>
                </c:pt>
                <c:pt idx="3">
                  <c:v>4-Resources/Training</c:v>
                </c:pt>
                <c:pt idx="4">
                  <c:v>5-Inapropriate Expectation</c:v>
                </c:pt>
                <c:pt idx="5">
                  <c:v>6-Other</c:v>
                </c:pt>
              </c:strCache>
            </c:strRef>
          </c:cat>
          <c:val>
            <c:numRef>
              <c:f>'Chart 1 Domain'!$C$4:$C$10</c:f>
              <c:numCache>
                <c:formatCode>General</c:formatCode>
                <c:ptCount val="6"/>
                <c:pt idx="1">
                  <c:v>5</c:v>
                </c:pt>
                <c:pt idx="2">
                  <c:v>5</c:v>
                </c:pt>
                <c:pt idx="3">
                  <c:v>3</c:v>
                </c:pt>
                <c:pt idx="4">
                  <c:v>16</c:v>
                </c:pt>
                <c:pt idx="5">
                  <c:v>11</c:v>
                </c:pt>
              </c:numCache>
            </c:numRef>
          </c:val>
          <c:extLst>
            <c:ext xmlns:c16="http://schemas.microsoft.com/office/drawing/2014/chart" uri="{C3380CC4-5D6E-409C-BE32-E72D297353CC}">
              <c16:uniqueId val="{00000019-EE90-43F7-A5EB-4846CE9771B2}"/>
            </c:ext>
          </c:extLst>
        </c:ser>
        <c:ser>
          <c:idx val="2"/>
          <c:order val="2"/>
          <c:tx>
            <c:strRef>
              <c:f>'Chart 1 Domain'!$D$2:$D$3</c:f>
              <c:strCache>
                <c:ptCount val="1"/>
                <c:pt idx="0">
                  <c:v>PS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B-EE90-43F7-A5EB-4846CE9771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D-EE90-43F7-A5EB-4846CE9771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F-EE90-43F7-A5EB-4846CE9771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1-EE90-43F7-A5EB-4846CE9771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3-EE90-43F7-A5EB-4846CE9771B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5-EE90-43F7-A5EB-4846CE9771B2}"/>
              </c:ext>
            </c:extLst>
          </c:dPt>
          <c:cat>
            <c:strRef>
              <c:f>'Chart 1 Domain'!$A$4:$A$10</c:f>
              <c:strCache>
                <c:ptCount val="6"/>
                <c:pt idx="0">
                  <c:v>A</c:v>
                </c:pt>
                <c:pt idx="1">
                  <c:v>2-Medical</c:v>
                </c:pt>
                <c:pt idx="2">
                  <c:v>3-Behaviour</c:v>
                </c:pt>
                <c:pt idx="3">
                  <c:v>4-Resources/Training</c:v>
                </c:pt>
                <c:pt idx="4">
                  <c:v>5-Inapropriate Expectation</c:v>
                </c:pt>
                <c:pt idx="5">
                  <c:v>6-Other</c:v>
                </c:pt>
              </c:strCache>
            </c:strRef>
          </c:cat>
          <c:val>
            <c:numRef>
              <c:f>'Chart 1 Domain'!$D$4:$D$10</c:f>
              <c:numCache>
                <c:formatCode>General</c:formatCode>
                <c:ptCount val="6"/>
                <c:pt idx="1">
                  <c:v>5</c:v>
                </c:pt>
                <c:pt idx="2">
                  <c:v>1</c:v>
                </c:pt>
                <c:pt idx="3">
                  <c:v>3</c:v>
                </c:pt>
                <c:pt idx="4">
                  <c:v>4</c:v>
                </c:pt>
                <c:pt idx="5">
                  <c:v>13</c:v>
                </c:pt>
              </c:numCache>
            </c:numRef>
          </c:val>
          <c:extLst>
            <c:ext xmlns:c16="http://schemas.microsoft.com/office/drawing/2014/chart" uri="{C3380CC4-5D6E-409C-BE32-E72D297353CC}">
              <c16:uniqueId val="{00000026-EE90-43F7-A5EB-4846CE9771B2}"/>
            </c:ext>
          </c:extLst>
        </c:ser>
        <c:ser>
          <c:idx val="3"/>
          <c:order val="3"/>
          <c:tx>
            <c:strRef>
              <c:f>'Chart 1 Domain'!$E$2:$E$3</c:f>
              <c:strCache>
                <c:ptCount val="1"/>
                <c:pt idx="0">
                  <c:v>SEW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28-EE90-43F7-A5EB-4846CE9771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A-EE90-43F7-A5EB-4846CE9771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C-EE90-43F7-A5EB-4846CE9771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E-EE90-43F7-A5EB-4846CE9771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0-EE90-43F7-A5EB-4846CE9771B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2-EE90-43F7-A5EB-4846CE9771B2}"/>
              </c:ext>
            </c:extLst>
          </c:dPt>
          <c:cat>
            <c:strRef>
              <c:f>'Chart 1 Domain'!$A$4:$A$10</c:f>
              <c:strCache>
                <c:ptCount val="6"/>
                <c:pt idx="0">
                  <c:v>A</c:v>
                </c:pt>
                <c:pt idx="1">
                  <c:v>2-Medical</c:v>
                </c:pt>
                <c:pt idx="2">
                  <c:v>3-Behaviour</c:v>
                </c:pt>
                <c:pt idx="3">
                  <c:v>4-Resources/Training</c:v>
                </c:pt>
                <c:pt idx="4">
                  <c:v>5-Inapropriate Expectation</c:v>
                </c:pt>
                <c:pt idx="5">
                  <c:v>6-Other</c:v>
                </c:pt>
              </c:strCache>
            </c:strRef>
          </c:cat>
          <c:val>
            <c:numRef>
              <c:f>'Chart 1 Domain'!$E$4:$E$10</c:f>
              <c:numCache>
                <c:formatCode>General</c:formatCode>
                <c:ptCount val="6"/>
                <c:pt idx="0">
                  <c:v>1</c:v>
                </c:pt>
                <c:pt idx="1">
                  <c:v>3</c:v>
                </c:pt>
                <c:pt idx="2">
                  <c:v>9</c:v>
                </c:pt>
                <c:pt idx="4">
                  <c:v>1</c:v>
                </c:pt>
                <c:pt idx="5">
                  <c:v>4</c:v>
                </c:pt>
              </c:numCache>
            </c:numRef>
          </c:val>
          <c:extLst>
            <c:ext xmlns:c16="http://schemas.microsoft.com/office/drawing/2014/chart" uri="{C3380CC4-5D6E-409C-BE32-E72D297353CC}">
              <c16:uniqueId val="{00000033-EE90-43F7-A5EB-4846CE9771B2}"/>
            </c:ext>
          </c:extLst>
        </c:ser>
        <c:ser>
          <c:idx val="4"/>
          <c:order val="4"/>
          <c:tx>
            <c:strRef>
              <c:f>'Chart 1 Domain'!$F$2:$F$3</c:f>
              <c:strCache>
                <c:ptCount val="1"/>
                <c:pt idx="0">
                  <c:v>SLC</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5-EE90-43F7-A5EB-4846CE9771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7-EE90-43F7-A5EB-4846CE9771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9-EE90-43F7-A5EB-4846CE9771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B-EE90-43F7-A5EB-4846CE9771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D-EE90-43F7-A5EB-4846CE9771B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F-EE90-43F7-A5EB-4846CE9771B2}"/>
              </c:ext>
            </c:extLst>
          </c:dPt>
          <c:cat>
            <c:strRef>
              <c:f>'Chart 1 Domain'!$A$4:$A$10</c:f>
              <c:strCache>
                <c:ptCount val="6"/>
                <c:pt idx="0">
                  <c:v>A</c:v>
                </c:pt>
                <c:pt idx="1">
                  <c:v>2-Medical</c:v>
                </c:pt>
                <c:pt idx="2">
                  <c:v>3-Behaviour</c:v>
                </c:pt>
                <c:pt idx="3">
                  <c:v>4-Resources/Training</c:v>
                </c:pt>
                <c:pt idx="4">
                  <c:v>5-Inapropriate Expectation</c:v>
                </c:pt>
                <c:pt idx="5">
                  <c:v>6-Other</c:v>
                </c:pt>
              </c:strCache>
            </c:strRef>
          </c:cat>
          <c:val>
            <c:numRef>
              <c:f>'Chart 1 Domain'!$F$4:$F$10</c:f>
              <c:numCache>
                <c:formatCode>General</c:formatCode>
                <c:ptCount val="6"/>
                <c:pt idx="0">
                  <c:v>3</c:v>
                </c:pt>
                <c:pt idx="1">
                  <c:v>3</c:v>
                </c:pt>
                <c:pt idx="2">
                  <c:v>5</c:v>
                </c:pt>
                <c:pt idx="3">
                  <c:v>4</c:v>
                </c:pt>
                <c:pt idx="4">
                  <c:v>9</c:v>
                </c:pt>
                <c:pt idx="5">
                  <c:v>4</c:v>
                </c:pt>
              </c:numCache>
            </c:numRef>
          </c:val>
          <c:extLst>
            <c:ext xmlns:c16="http://schemas.microsoft.com/office/drawing/2014/chart" uri="{C3380CC4-5D6E-409C-BE32-E72D297353CC}">
              <c16:uniqueId val="{00000040-EE90-43F7-A5EB-4846CE9771B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[DATA APRIL 20 (1).xlsx]Chart 1 Domain!PivotTable2</c:name>
    <c:fmtId val="38"/>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Independence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marker>
          <c:symbol val="none"/>
        </c:marker>
      </c:pivotFmt>
      <c:pivotFmt>
        <c:idx val="3"/>
        <c:spPr>
          <a:solidFill>
            <a:schemeClr val="accent1"/>
          </a:solidFill>
          <a:ln w="19050">
            <a:solidFill>
              <a:schemeClr val="lt1"/>
            </a:solidFill>
          </a:ln>
          <a:effectLst/>
        </c:spPr>
        <c:marker>
          <c:symbol val="none"/>
        </c:marker>
      </c:pivotFmt>
      <c:pivotFmt>
        <c:idx val="4"/>
        <c:spPr>
          <a:solidFill>
            <a:schemeClr val="accent1"/>
          </a:solidFill>
          <a:ln w="19050">
            <a:solidFill>
              <a:schemeClr val="lt1"/>
            </a:solidFill>
          </a:ln>
          <a:effectLst/>
        </c:spPr>
        <c:marker>
          <c:symbol val="none"/>
        </c:marke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s>
    <c:plotArea>
      <c:layout/>
      <c:pieChart>
        <c:varyColors val="1"/>
        <c:ser>
          <c:idx val="0"/>
          <c:order val="0"/>
          <c:tx>
            <c:strRef>
              <c:f>'Chart 1 Domain'!$J$2:$J$3</c:f>
              <c:strCache>
                <c:ptCount val="1"/>
                <c:pt idx="0">
                  <c:v>I</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8-45C5-8FCC-0ABC11132E32}"/>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F918-45C5-8FCC-0ABC11132E3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8-45C5-8FCC-0ABC11132E32}"/>
              </c:ext>
            </c:extLst>
          </c:dPt>
          <c:dPt>
            <c:idx val="3"/>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7-F918-45C5-8FCC-0ABC11132E32}"/>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F918-45C5-8FCC-0ABC11132E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918-45C5-8FCC-0ABC11132E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'Chart 1 Domain'!$I$4:$I$9</c:f>
              <c:strCache>
                <c:ptCount val="5"/>
                <c:pt idx="0">
                  <c:v>2-Medical</c:v>
                </c:pt>
                <c:pt idx="1">
                  <c:v>3-Behaviour</c:v>
                </c:pt>
                <c:pt idx="2">
                  <c:v>4-Resources/Training</c:v>
                </c:pt>
                <c:pt idx="3">
                  <c:v>5-Inapropriate Expectation</c:v>
                </c:pt>
                <c:pt idx="4">
                  <c:v>6-Other</c:v>
                </c:pt>
              </c:strCache>
            </c:strRef>
          </c:cat>
          <c:val>
            <c:numRef>
              <c:f>'Chart 1 Domain'!$J$4:$J$9</c:f>
              <c:numCache>
                <c:formatCode>General</c:formatCode>
                <c:ptCount val="5"/>
                <c:pt idx="0">
                  <c:v>5</c:v>
                </c:pt>
                <c:pt idx="1">
                  <c:v>5</c:v>
                </c:pt>
                <c:pt idx="2">
                  <c:v>3</c:v>
                </c:pt>
                <c:pt idx="3">
                  <c:v>16</c:v>
                </c:pt>
                <c:pt idx="4">
                  <c:v>11</c:v>
                </c:pt>
              </c:numCache>
            </c:numRef>
          </c:val>
          <c:extLst>
            <c:ext xmlns:c16="http://schemas.microsoft.com/office/drawing/2014/chart" uri="{C3380CC4-5D6E-409C-BE32-E72D297353CC}">
              <c16:uniqueId val="{0000000C-F918-45C5-8FCC-0ABC11132E3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[DATA APRIL 20 (1).xlsx]Chart 1 Domain!PivotTable3</c:name>
    <c:fmtId val="27"/>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Physical</a:t>
            </a:r>
            <a:r>
              <a:rPr lang="en-GB" baseline="0"/>
              <a:t> and Sensory</a:t>
            </a:r>
            <a:endParaRPr lang="en-GB"/>
          </a:p>
        </c:rich>
      </c:tx>
      <c:layout/>
      <c:overlay val="0"/>
      <c:spPr>
        <a:noFill/>
        <a:ln>
          <a:noFill/>
        </a:ln>
        <a:effectLst/>
      </c:sp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marker>
          <c:symbol val="none"/>
        </c:marker>
      </c:pivotFmt>
      <c:pivotFmt>
        <c:idx val="3"/>
        <c:spPr>
          <a:solidFill>
            <a:schemeClr val="accent1"/>
          </a:solidFill>
          <a:ln w="19050">
            <a:solidFill>
              <a:schemeClr val="lt1"/>
            </a:solidFill>
          </a:ln>
          <a:effectLst/>
        </c:spPr>
        <c:marker>
          <c:symbol val="none"/>
        </c:marker>
      </c:pivotFmt>
      <c:pivotFmt>
        <c:idx val="4"/>
        <c:spPr>
          <a:solidFill>
            <a:schemeClr val="accent1"/>
          </a:solidFill>
          <a:ln w="19050">
            <a:solidFill>
              <a:schemeClr val="lt1"/>
            </a:solidFill>
          </a:ln>
          <a:effectLst/>
        </c:spPr>
        <c:marker>
          <c:symbol val="none"/>
        </c:marke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2"/>
          </a:solidFill>
          <a:ln w="19050">
            <a:solidFill>
              <a:schemeClr val="lt1"/>
            </a:solidFill>
          </a:ln>
          <a:effectLst/>
        </c:spPr>
      </c:pivotFmt>
      <c:pivotFmt>
        <c:idx val="29"/>
        <c:spPr>
          <a:solidFill>
            <a:schemeClr val="accent3"/>
          </a:solidFill>
          <a:ln w="19050">
            <a:solidFill>
              <a:schemeClr val="lt1"/>
            </a:solidFill>
          </a:ln>
          <a:effectLst/>
        </c:spPr>
      </c:pivotFmt>
      <c:pivotFmt>
        <c:idx val="30"/>
        <c:spPr>
          <a:solidFill>
            <a:schemeClr val="accent4"/>
          </a:solidFill>
          <a:ln w="19050">
            <a:solidFill>
              <a:schemeClr val="lt1"/>
            </a:solidFill>
          </a:ln>
          <a:effectLst/>
        </c:spPr>
      </c:pivotFmt>
      <c:pivotFmt>
        <c:idx val="31"/>
        <c:spPr>
          <a:solidFill>
            <a:schemeClr val="accent5"/>
          </a:solidFill>
          <a:ln w="19050">
            <a:solidFill>
              <a:schemeClr val="lt1"/>
            </a:solidFill>
          </a:ln>
          <a:effectLst/>
        </c:spPr>
      </c:pivotFmt>
      <c:pivotFmt>
        <c:idx val="32"/>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33"/>
        <c:spPr>
          <a:solidFill>
            <a:schemeClr val="accent1"/>
          </a:solidFill>
          <a:ln w="19050">
            <a:solidFill>
              <a:schemeClr val="lt1"/>
            </a:solidFill>
          </a:ln>
          <a:effectLst/>
        </c:spPr>
      </c:pivotFmt>
      <c:pivotFmt>
        <c:idx val="34"/>
        <c:spPr>
          <a:solidFill>
            <a:schemeClr val="accent2"/>
          </a:solidFill>
          <a:ln w="19050">
            <a:solidFill>
              <a:schemeClr val="lt1"/>
            </a:solidFill>
          </a:ln>
          <a:effectLst/>
        </c:spPr>
      </c:pivotFmt>
      <c:pivotFmt>
        <c:idx val="35"/>
        <c:spPr>
          <a:solidFill>
            <a:schemeClr val="accent3"/>
          </a:solidFill>
          <a:ln w="19050">
            <a:solidFill>
              <a:schemeClr val="lt1"/>
            </a:solidFill>
          </a:ln>
          <a:effectLst/>
        </c:spPr>
      </c:pivotFmt>
      <c:pivotFmt>
        <c:idx val="36"/>
        <c:spPr>
          <a:solidFill>
            <a:schemeClr val="accent4"/>
          </a:solidFill>
          <a:ln w="19050">
            <a:solidFill>
              <a:schemeClr val="lt1"/>
            </a:solidFill>
          </a:ln>
          <a:effectLst/>
        </c:spPr>
      </c:pivotFmt>
      <c:pivotFmt>
        <c:idx val="37"/>
        <c:spPr>
          <a:solidFill>
            <a:schemeClr val="accent5"/>
          </a:solidFill>
          <a:ln w="19050">
            <a:solidFill>
              <a:schemeClr val="lt1"/>
            </a:solidFill>
          </a:ln>
          <a:effectLst/>
        </c:spPr>
      </c:pivotFmt>
      <c:pivotFmt>
        <c:idx val="38"/>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2"/>
          </a:solidFill>
          <a:ln w="19050">
            <a:solidFill>
              <a:schemeClr val="lt1"/>
            </a:solidFill>
          </a:ln>
          <a:effectLst/>
        </c:spPr>
      </c:pivotFmt>
      <c:pivotFmt>
        <c:idx val="41"/>
        <c:spPr>
          <a:solidFill>
            <a:schemeClr val="accent3"/>
          </a:solidFill>
          <a:ln w="19050">
            <a:solidFill>
              <a:schemeClr val="lt1"/>
            </a:solidFill>
          </a:ln>
          <a:effectLst/>
        </c:spPr>
      </c:pivotFmt>
      <c:pivotFmt>
        <c:idx val="42"/>
        <c:spPr>
          <a:solidFill>
            <a:schemeClr val="accent4"/>
          </a:solidFill>
          <a:ln w="19050">
            <a:solidFill>
              <a:schemeClr val="lt1"/>
            </a:solidFill>
          </a:ln>
          <a:effectLst/>
        </c:spPr>
      </c:pivotFmt>
      <c:pivotFmt>
        <c:idx val="43"/>
        <c:spPr>
          <a:solidFill>
            <a:schemeClr val="accent5"/>
          </a:solidFill>
          <a:ln w="19050">
            <a:solidFill>
              <a:schemeClr val="lt1"/>
            </a:solidFill>
          </a:ln>
          <a:effectLst/>
        </c:spPr>
      </c:pivotFmt>
    </c:pivotFmts>
    <c:plotArea>
      <c:layout/>
      <c:pieChart>
        <c:varyColors val="1"/>
        <c:ser>
          <c:idx val="0"/>
          <c:order val="0"/>
          <c:tx>
            <c:strRef>
              <c:f>'Chart 1 Domain'!$R$2:$R$3</c:f>
              <c:strCache>
                <c:ptCount val="1"/>
                <c:pt idx="0">
                  <c:v>PS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3A2-4C17-9D30-4C19EB318633}"/>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23A2-4C17-9D30-4C19EB318633}"/>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23A2-4C17-9D30-4C19EB318633}"/>
              </c:ext>
            </c:extLst>
          </c:dPt>
          <c:dPt>
            <c:idx val="3"/>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7-23A2-4C17-9D30-4C19EB318633}"/>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23A2-4C17-9D30-4C19EB318633}"/>
              </c:ext>
            </c:extLst>
          </c:dPt>
          <c:dPt>
            <c:idx val="5"/>
            <c:bubble3D val="0"/>
            <c:extLst>
              <c:ext xmlns:c16="http://schemas.microsoft.com/office/drawing/2014/chart" uri="{C3380CC4-5D6E-409C-BE32-E72D297353CC}">
                <c16:uniqueId val="{0000000A-23A2-4C17-9D30-4C19EB3186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'Chart 1 Domain'!$Q$4:$Q$9</c:f>
              <c:strCache>
                <c:ptCount val="5"/>
                <c:pt idx="0">
                  <c:v>2-Medical</c:v>
                </c:pt>
                <c:pt idx="1">
                  <c:v>3-Behaviour</c:v>
                </c:pt>
                <c:pt idx="2">
                  <c:v>4-Resources/Training</c:v>
                </c:pt>
                <c:pt idx="3">
                  <c:v>5-Inapropriate Expectation</c:v>
                </c:pt>
                <c:pt idx="4">
                  <c:v>6-Other</c:v>
                </c:pt>
              </c:strCache>
            </c:strRef>
          </c:cat>
          <c:val>
            <c:numRef>
              <c:f>'Chart 1 Domain'!$R$4:$R$9</c:f>
              <c:numCache>
                <c:formatCode>General</c:formatCode>
                <c:ptCount val="5"/>
                <c:pt idx="0">
                  <c:v>5</c:v>
                </c:pt>
                <c:pt idx="1">
                  <c:v>1</c:v>
                </c:pt>
                <c:pt idx="2">
                  <c:v>3</c:v>
                </c:pt>
                <c:pt idx="3">
                  <c:v>4</c:v>
                </c:pt>
                <c:pt idx="4">
                  <c:v>13</c:v>
                </c:pt>
              </c:numCache>
            </c:numRef>
          </c:val>
          <c:extLst>
            <c:ext xmlns:c16="http://schemas.microsoft.com/office/drawing/2014/chart" uri="{C3380CC4-5D6E-409C-BE32-E72D297353CC}">
              <c16:uniqueId val="{0000000B-23A2-4C17-9D30-4C19EB318633}"/>
            </c:ext>
          </c:extLst>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[DATA APRIL 20 (1).xlsx]Chart 1 Domain!PivotTable4</c:name>
    <c:fmtId val="27"/>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Social Emotional Wellbeing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marker>
          <c:symbol val="none"/>
        </c:marker>
      </c:pivotFmt>
      <c:pivotFmt>
        <c:idx val="3"/>
        <c:spPr>
          <a:solidFill>
            <a:schemeClr val="accent1"/>
          </a:solidFill>
          <a:ln w="19050">
            <a:solidFill>
              <a:schemeClr val="lt1"/>
            </a:solidFill>
          </a:ln>
          <a:effectLst/>
        </c:spPr>
        <c:marker>
          <c:symbol val="none"/>
        </c:marker>
      </c:pivotFmt>
      <c:pivotFmt>
        <c:idx val="4"/>
        <c:spPr>
          <a:solidFill>
            <a:schemeClr val="accent1"/>
          </a:solidFill>
          <a:ln w="19050">
            <a:solidFill>
              <a:schemeClr val="lt1"/>
            </a:solidFill>
          </a:ln>
          <a:effectLst/>
        </c:spPr>
        <c:marker>
          <c:symbol val="none"/>
        </c:marke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s>
    <c:plotArea>
      <c:layout/>
      <c:pieChart>
        <c:varyColors val="1"/>
        <c:ser>
          <c:idx val="0"/>
          <c:order val="0"/>
          <c:tx>
            <c:strRef>
              <c:f>'Chart 1 Domain'!$Z$2:$Z$3</c:f>
              <c:strCache>
                <c:ptCount val="1"/>
                <c:pt idx="0">
                  <c:v>SEW </c:v>
                </c:pt>
              </c:strCache>
            </c:strRef>
          </c:tx>
          <c:dPt>
            <c:idx val="0"/>
            <c:bubble3D val="0"/>
            <c:spPr>
              <a:solidFill>
                <a:schemeClr val="accent5"/>
              </a:solidFill>
              <a:ln w="19050">
                <a:solidFill>
                  <a:schemeClr val="lt1"/>
                </a:solidFill>
              </a:ln>
              <a:effectLst/>
            </c:spPr>
            <c:extLst>
              <c:ext xmlns:c16="http://schemas.microsoft.com/office/drawing/2014/chart" uri="{C3380CC4-5D6E-409C-BE32-E72D297353CC}">
                <c16:uniqueId val="{00000001-E677-4690-9146-1FF672EB0305}"/>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E677-4690-9146-1FF672EB0305}"/>
              </c:ext>
            </c:extLst>
          </c:dPt>
          <c:dPt>
            <c:idx val="2"/>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E677-4690-9146-1FF672EB0305}"/>
              </c:ext>
            </c:extLst>
          </c:dPt>
          <c:dPt>
            <c:idx val="3"/>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7-E677-4690-9146-1FF672EB0305}"/>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E677-4690-9146-1FF672EB030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677-4690-9146-1FF672EB03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'Chart 1 Domain'!$Y$4:$Y$9</c:f>
              <c:strCache>
                <c:ptCount val="5"/>
                <c:pt idx="0">
                  <c:v>1-Attendance</c:v>
                </c:pt>
                <c:pt idx="1">
                  <c:v>2-Medical</c:v>
                </c:pt>
                <c:pt idx="2">
                  <c:v>3-Behaviour</c:v>
                </c:pt>
                <c:pt idx="3">
                  <c:v>5-Inapropriate Expectation</c:v>
                </c:pt>
                <c:pt idx="4">
                  <c:v>6-Other</c:v>
                </c:pt>
              </c:strCache>
            </c:strRef>
          </c:cat>
          <c:val>
            <c:numRef>
              <c:f>'Chart 1 Domain'!$Z$4:$Z$9</c:f>
              <c:numCache>
                <c:formatCode>General</c:formatCode>
                <c:ptCount val="5"/>
                <c:pt idx="0">
                  <c:v>1</c:v>
                </c:pt>
                <c:pt idx="1">
                  <c:v>3</c:v>
                </c:pt>
                <c:pt idx="2">
                  <c:v>9</c:v>
                </c:pt>
                <c:pt idx="3">
                  <c:v>1</c:v>
                </c:pt>
                <c:pt idx="4">
                  <c:v>4</c:v>
                </c:pt>
              </c:numCache>
            </c:numRef>
          </c:val>
          <c:extLst>
            <c:ext xmlns:c16="http://schemas.microsoft.com/office/drawing/2014/chart" uri="{C3380CC4-5D6E-409C-BE32-E72D297353CC}">
              <c16:uniqueId val="{0000000C-E677-4690-9146-1FF672EB030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75B2E767</Template>
  <TotalTime>312</TotalTime>
  <Pages>11</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Meadows Sports College</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Parsons</dc:creator>
  <cp:keywords/>
  <dc:description/>
  <cp:lastModifiedBy>Graham Spencer</cp:lastModifiedBy>
  <cp:revision>13</cp:revision>
  <cp:lastPrinted>2020-04-24T11:44:00Z</cp:lastPrinted>
  <dcterms:created xsi:type="dcterms:W3CDTF">2020-04-27T20:24:00Z</dcterms:created>
  <dcterms:modified xsi:type="dcterms:W3CDTF">2020-04-28T10:42:00Z</dcterms:modified>
</cp:coreProperties>
</file>