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3F836490" w:rsidR="00495A53" w:rsidRPr="00114B8E" w:rsidRDefault="0049414F"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Subject Access Request (SAR)</w:t>
      </w:r>
      <w:r w:rsidR="00C90B91">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7B87E813"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5952EE">
        <w:rPr>
          <w:rFonts w:eastAsiaTheme="majorEastAsia" w:cs="Arial"/>
          <w:color w:val="000000" w:themeColor="text1"/>
          <w:sz w:val="68"/>
          <w:szCs w:val="68"/>
          <w:lang w:eastAsia="ja-JP"/>
        </w:rPr>
        <w:t>FI</w:t>
      </w:r>
      <w:r w:rsidR="0049414F">
        <w:rPr>
          <w:rFonts w:eastAsiaTheme="majorEastAsia" w:cs="Arial"/>
          <w:color w:val="000000" w:themeColor="text1"/>
          <w:sz w:val="68"/>
          <w:szCs w:val="68"/>
          <w:lang w:eastAsia="ja-JP"/>
        </w:rPr>
        <w:t>9</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6B832AD5"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49414F">
        <w:rPr>
          <w:rFonts w:eastAsiaTheme="majorEastAsia" w:cs="Arial"/>
          <w:b/>
          <w:bCs/>
          <w:sz w:val="24"/>
          <w:szCs w:val="28"/>
          <w:lang w:eastAsia="ja-JP"/>
        </w:rPr>
        <w:t>14</w:t>
      </w:r>
      <w:r w:rsidR="0049414F" w:rsidRPr="0049414F">
        <w:rPr>
          <w:rFonts w:eastAsiaTheme="majorEastAsia" w:cs="Arial"/>
          <w:b/>
          <w:bCs/>
          <w:sz w:val="24"/>
          <w:szCs w:val="28"/>
          <w:vertAlign w:val="superscript"/>
          <w:lang w:eastAsia="ja-JP"/>
        </w:rPr>
        <w:t>th</w:t>
      </w:r>
      <w:r w:rsidR="009C50E5">
        <w:rPr>
          <w:rFonts w:eastAsiaTheme="majorEastAsia" w:cs="Arial"/>
          <w:b/>
          <w:bCs/>
          <w:sz w:val="24"/>
          <w:szCs w:val="28"/>
          <w:lang w:eastAsia="ja-JP"/>
        </w:rPr>
        <w:t xml:space="preserve"> </w:t>
      </w:r>
      <w:r w:rsidR="0049414F">
        <w:rPr>
          <w:rFonts w:eastAsiaTheme="majorEastAsia" w:cs="Arial"/>
          <w:b/>
          <w:bCs/>
          <w:sz w:val="24"/>
          <w:szCs w:val="28"/>
          <w:lang w:eastAsia="ja-JP"/>
        </w:rPr>
        <w:t>Novem</w:t>
      </w:r>
      <w:r w:rsidR="009C50E5">
        <w:rPr>
          <w:rFonts w:eastAsiaTheme="majorEastAsia" w:cs="Arial"/>
          <w:b/>
          <w:bCs/>
          <w:sz w:val="24"/>
          <w:szCs w:val="28"/>
          <w:lang w:eastAsia="ja-JP"/>
        </w:rPr>
        <w:t>ber</w:t>
      </w:r>
      <w:r w:rsidRPr="00114B8E">
        <w:rPr>
          <w:rFonts w:eastAsiaTheme="majorEastAsia" w:cs="Arial"/>
          <w:b/>
          <w:bCs/>
          <w:sz w:val="24"/>
          <w:szCs w:val="28"/>
          <w:lang w:eastAsia="ja-JP"/>
        </w:rPr>
        <w:t xml:space="preserve"> 2025</w:t>
      </w:r>
    </w:p>
    <w:p w14:paraId="1E98695D" w14:textId="7EBE5FD1"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49414F">
        <w:rPr>
          <w:rFonts w:eastAsiaTheme="majorEastAsia" w:cs="Arial"/>
          <w:b/>
          <w:bCs/>
          <w:color w:val="FF0000"/>
          <w:sz w:val="24"/>
          <w:szCs w:val="28"/>
          <w:lang w:eastAsia="ja-JP"/>
        </w:rPr>
        <w:t>August 31</w:t>
      </w:r>
      <w:r w:rsidR="0049414F" w:rsidRPr="0049414F">
        <w:rPr>
          <w:rFonts w:eastAsiaTheme="majorEastAsia" w:cs="Arial"/>
          <w:b/>
          <w:bCs/>
          <w:color w:val="FF0000"/>
          <w:sz w:val="24"/>
          <w:szCs w:val="28"/>
          <w:vertAlign w:val="superscript"/>
          <w:lang w:eastAsia="ja-JP"/>
        </w:rPr>
        <w:t>st</w:t>
      </w:r>
      <w:r w:rsidR="0049414F">
        <w:rPr>
          <w:rFonts w:eastAsiaTheme="majorEastAsia" w:cs="Arial"/>
          <w:b/>
          <w:bCs/>
          <w:color w:val="FF0000"/>
          <w:sz w:val="24"/>
          <w:szCs w:val="28"/>
          <w:lang w:eastAsia="ja-JP"/>
        </w:rPr>
        <w:t xml:space="preserve"> </w:t>
      </w:r>
      <w:r w:rsidRPr="00114B8E">
        <w:rPr>
          <w:rFonts w:eastAsiaTheme="majorEastAsia" w:cs="Arial"/>
          <w:b/>
          <w:bCs/>
          <w:color w:val="FF0000"/>
          <w:sz w:val="24"/>
          <w:szCs w:val="28"/>
          <w:lang w:eastAsia="ja-JP"/>
        </w:rPr>
        <w:t>202</w:t>
      </w:r>
      <w:r w:rsidR="0049414F">
        <w:rPr>
          <w:rFonts w:eastAsiaTheme="majorEastAsia" w:cs="Arial"/>
          <w:b/>
          <w:bCs/>
          <w:color w:val="FF0000"/>
          <w:sz w:val="24"/>
          <w:szCs w:val="28"/>
          <w:lang w:eastAsia="ja-JP"/>
        </w:rPr>
        <w:t>8</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7CF098E0" w:rsidR="00A23725" w:rsidRPr="00114B8E"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3E4AA462" w14:textId="77777777" w:rsidR="00813798" w:rsidRDefault="00813798" w:rsidP="00813798">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7D3A590B" w14:textId="50A320D0" w:rsidR="005551A8" w:rsidRDefault="0049414F" w:rsidP="00675AB7">
      <w:pPr>
        <w:pStyle w:val="ListParagraph"/>
        <w:numPr>
          <w:ilvl w:val="0"/>
          <w:numId w:val="1"/>
        </w:numPr>
        <w:spacing w:before="0" w:after="0"/>
        <w:ind w:left="426"/>
        <w:contextualSpacing w:val="0"/>
        <w:rPr>
          <w:rFonts w:ascii="Arial" w:hAnsi="Arial" w:cs="Arial"/>
        </w:rPr>
      </w:pPr>
      <w:r>
        <w:rPr>
          <w:rFonts w:ascii="Arial" w:hAnsi="Arial" w:cs="Arial"/>
        </w:rPr>
        <w:t>Handling requests</w:t>
      </w:r>
    </w:p>
    <w:p w14:paraId="364F9EC4" w14:textId="0F2CF3E0" w:rsidR="00A75F69" w:rsidRPr="005551A8" w:rsidRDefault="0049414F" w:rsidP="00675AB7">
      <w:pPr>
        <w:pStyle w:val="ListParagraph"/>
        <w:numPr>
          <w:ilvl w:val="0"/>
          <w:numId w:val="1"/>
        </w:numPr>
        <w:spacing w:before="0" w:after="0"/>
        <w:ind w:left="426"/>
        <w:contextualSpacing w:val="0"/>
        <w:rPr>
          <w:rFonts w:ascii="Arial" w:hAnsi="Arial" w:cs="Arial"/>
        </w:rPr>
      </w:pPr>
      <w:r>
        <w:rPr>
          <w:rFonts w:ascii="Arial" w:hAnsi="Arial" w:cs="Arial"/>
        </w:rPr>
        <w:t>Requests on behalf of a pupil</w:t>
      </w:r>
    </w:p>
    <w:p w14:paraId="6DC36FCA" w14:textId="4655954A" w:rsidR="00A75F69" w:rsidRPr="00114B8E" w:rsidRDefault="0049414F" w:rsidP="00A70628">
      <w:pPr>
        <w:pStyle w:val="ListParagraph"/>
        <w:numPr>
          <w:ilvl w:val="0"/>
          <w:numId w:val="1"/>
        </w:numPr>
        <w:spacing w:before="0" w:after="0"/>
        <w:ind w:left="426"/>
        <w:contextualSpacing w:val="0"/>
        <w:rPr>
          <w:rFonts w:ascii="Arial" w:hAnsi="Arial" w:cs="Arial"/>
        </w:rPr>
      </w:pPr>
      <w:r>
        <w:rPr>
          <w:rFonts w:ascii="Arial" w:hAnsi="Arial" w:cs="Arial"/>
        </w:rPr>
        <w:t>Seeking clarification</w:t>
      </w:r>
    </w:p>
    <w:p w14:paraId="265D90E3" w14:textId="15D44A50" w:rsidR="00A75F69" w:rsidRPr="00114B8E" w:rsidRDefault="0049414F"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Charges</w:t>
      </w:r>
    </w:p>
    <w:p w14:paraId="05985006" w14:textId="13FF822B" w:rsidR="00A75F69" w:rsidRDefault="0049414F" w:rsidP="003A1C90">
      <w:pPr>
        <w:pStyle w:val="ListParagraph"/>
        <w:numPr>
          <w:ilvl w:val="0"/>
          <w:numId w:val="1"/>
        </w:numPr>
        <w:spacing w:before="0" w:after="0"/>
        <w:ind w:left="426"/>
        <w:contextualSpacing w:val="0"/>
        <w:rPr>
          <w:rFonts w:ascii="Arial" w:hAnsi="Arial" w:cs="Arial"/>
        </w:rPr>
      </w:pPr>
      <w:r>
        <w:rPr>
          <w:rFonts w:ascii="Arial" w:hAnsi="Arial" w:cs="Arial"/>
        </w:rPr>
        <w:t>Finding and sending information</w:t>
      </w:r>
    </w:p>
    <w:p w14:paraId="5FB06C80" w14:textId="6931D8CA" w:rsidR="00AC0EEE" w:rsidRDefault="0049414F" w:rsidP="003A1C90">
      <w:pPr>
        <w:pStyle w:val="ListParagraph"/>
        <w:numPr>
          <w:ilvl w:val="0"/>
          <w:numId w:val="1"/>
        </w:numPr>
        <w:spacing w:before="0" w:after="0"/>
        <w:ind w:left="426"/>
        <w:contextualSpacing w:val="0"/>
        <w:rPr>
          <w:rFonts w:ascii="Arial" w:hAnsi="Arial" w:cs="Arial"/>
        </w:rPr>
      </w:pPr>
      <w:r>
        <w:rPr>
          <w:rFonts w:ascii="Arial" w:hAnsi="Arial" w:cs="Arial"/>
        </w:rPr>
        <w:t>Exemptions and refusing requests</w:t>
      </w:r>
    </w:p>
    <w:p w14:paraId="6F137EEF" w14:textId="6BB7DC17" w:rsidR="0049414F" w:rsidRPr="003A1C90" w:rsidRDefault="0049414F" w:rsidP="003A1C90">
      <w:pPr>
        <w:pStyle w:val="ListParagraph"/>
        <w:numPr>
          <w:ilvl w:val="0"/>
          <w:numId w:val="1"/>
        </w:numPr>
        <w:spacing w:before="0" w:after="0"/>
        <w:ind w:left="426"/>
        <w:contextualSpacing w:val="0"/>
        <w:rPr>
          <w:rFonts w:ascii="Arial" w:hAnsi="Arial" w:cs="Arial"/>
        </w:rPr>
      </w:pPr>
      <w:r>
        <w:rPr>
          <w:rFonts w:ascii="Arial" w:hAnsi="Arial" w:cs="Arial"/>
        </w:rPr>
        <w:t>Record-keeping</w:t>
      </w:r>
    </w:p>
    <w:p w14:paraId="0143094F" w14:textId="77777777" w:rsidR="002B2F28" w:rsidRPr="00114B8E" w:rsidRDefault="002B2F28" w:rsidP="002B2F28">
      <w:pPr>
        <w:spacing w:before="0" w:after="0"/>
        <w:ind w:left="66"/>
        <w:rPr>
          <w:rFonts w:cs="Arial"/>
        </w:rPr>
      </w:pPr>
    </w:p>
    <w:p w14:paraId="65C82D20" w14:textId="22E4B965" w:rsidR="00FB03D0" w:rsidRDefault="00A75F69" w:rsidP="008C00B2">
      <w:pPr>
        <w:spacing w:before="0" w:after="0"/>
        <w:ind w:left="66"/>
        <w:rPr>
          <w:rFonts w:cs="Arial"/>
        </w:rPr>
      </w:pPr>
      <w:r w:rsidRPr="00114B8E">
        <w:rPr>
          <w:rFonts w:cs="Arial"/>
        </w:rPr>
        <w:t>Monitoring and review</w:t>
      </w:r>
      <w:bookmarkStart w:id="0" w:name="_Statement_of_intent_1"/>
      <w:bookmarkEnd w:id="0"/>
    </w:p>
    <w:p w14:paraId="3D8B0037" w14:textId="77777777" w:rsidR="00BC66E9" w:rsidRDefault="00BC66E9" w:rsidP="008C00B2">
      <w:pPr>
        <w:spacing w:before="0" w:after="0"/>
        <w:ind w:left="66"/>
        <w:rPr>
          <w:rFonts w:cs="Arial"/>
        </w:rPr>
      </w:pPr>
    </w:p>
    <w:p w14:paraId="585AC3F6" w14:textId="67A323F4" w:rsidR="00F04D9A" w:rsidRDefault="00F04D9A" w:rsidP="008C00B2">
      <w:pPr>
        <w:spacing w:before="0" w:after="0"/>
        <w:ind w:left="66"/>
        <w:rPr>
          <w:rFonts w:cs="Arial"/>
        </w:rPr>
      </w:pPr>
      <w:r>
        <w:rPr>
          <w:rFonts w:cs="Arial"/>
        </w:rPr>
        <w:t>Appendices</w:t>
      </w:r>
    </w:p>
    <w:p w14:paraId="3F68B599" w14:textId="77777777" w:rsidR="00F04D9A" w:rsidRDefault="00F04D9A" w:rsidP="008C00B2">
      <w:pPr>
        <w:spacing w:before="0" w:after="0"/>
        <w:ind w:left="66"/>
        <w:rPr>
          <w:rFonts w:cs="Arial"/>
        </w:rPr>
      </w:pPr>
    </w:p>
    <w:p w14:paraId="65E286E8" w14:textId="0D6A2509" w:rsidR="00F04D9A" w:rsidRPr="00F04D9A" w:rsidRDefault="00F04D9A" w:rsidP="00F04D9A">
      <w:pPr>
        <w:pStyle w:val="ListParagraph"/>
        <w:numPr>
          <w:ilvl w:val="0"/>
          <w:numId w:val="49"/>
        </w:numPr>
        <w:spacing w:before="0" w:after="0"/>
        <w:rPr>
          <w:rFonts w:cs="Arial"/>
        </w:rPr>
      </w:pPr>
      <w:r>
        <w:rPr>
          <w:rFonts w:cs="Arial"/>
        </w:rPr>
        <w:t>Subject Access Request (SAR) Form</w:t>
      </w:r>
    </w:p>
    <w:p w14:paraId="738FA569" w14:textId="77777777" w:rsidR="00FB03D0" w:rsidRDefault="00FB03D0" w:rsidP="00F26066">
      <w:pPr>
        <w:rPr>
          <w:rFonts w:cs="Arial"/>
        </w:rPr>
      </w:pPr>
    </w:p>
    <w:p w14:paraId="286AAA91" w14:textId="77777777" w:rsidR="00AC0EEE" w:rsidRDefault="00AC0EEE" w:rsidP="00F26066">
      <w:pPr>
        <w:rPr>
          <w:b/>
          <w:bCs/>
          <w:sz w:val="28"/>
          <w:szCs w:val="28"/>
        </w:rPr>
      </w:pPr>
    </w:p>
    <w:p w14:paraId="1A6E13B4" w14:textId="77777777" w:rsidR="00FB03D0" w:rsidRDefault="00FB03D0" w:rsidP="00F26066">
      <w:pPr>
        <w:rPr>
          <w:b/>
          <w:bCs/>
          <w:sz w:val="28"/>
          <w:szCs w:val="28"/>
        </w:rPr>
      </w:pPr>
    </w:p>
    <w:p w14:paraId="113F7309" w14:textId="77777777" w:rsidR="00FB03D0" w:rsidRDefault="00FB03D0" w:rsidP="00F26066">
      <w:pPr>
        <w:rPr>
          <w:b/>
          <w:bCs/>
          <w:sz w:val="28"/>
          <w:szCs w:val="28"/>
        </w:rPr>
      </w:pPr>
    </w:p>
    <w:p w14:paraId="6C7F2DB7" w14:textId="77777777" w:rsidR="00813798" w:rsidRDefault="00813798"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9414F" w:rsidRPr="00114B8E" w14:paraId="6FFE000C" w14:textId="77777777" w:rsidTr="00603E6E">
        <w:trPr>
          <w:trHeight w:val="432"/>
        </w:trPr>
        <w:tc>
          <w:tcPr>
            <w:tcW w:w="1271" w:type="dxa"/>
          </w:tcPr>
          <w:p w14:paraId="1924E741"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7C85C17" w14:textId="77777777" w:rsidR="0049414F" w:rsidRPr="00114B8E" w:rsidRDefault="0049414F" w:rsidP="00603E6E">
            <w:pPr>
              <w:rPr>
                <w:rFonts w:asciiTheme="minorHAnsi" w:hAnsiTheme="minorHAnsi" w:cstheme="minorHAnsi"/>
              </w:rPr>
            </w:pPr>
            <w:r>
              <w:rPr>
                <w:rFonts w:asciiTheme="minorHAnsi" w:hAnsiTheme="minorHAnsi" w:cstheme="minorHAnsi"/>
              </w:rPr>
              <w:t>Admissions Authority</w:t>
            </w:r>
          </w:p>
        </w:tc>
        <w:tc>
          <w:tcPr>
            <w:tcW w:w="1249" w:type="dxa"/>
          </w:tcPr>
          <w:p w14:paraId="1C81B008"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HASH</w:t>
            </w:r>
          </w:p>
        </w:tc>
        <w:tc>
          <w:tcPr>
            <w:tcW w:w="5719" w:type="dxa"/>
          </w:tcPr>
          <w:p w14:paraId="364AD5EF" w14:textId="77777777" w:rsidR="0049414F" w:rsidRPr="00114B8E" w:rsidRDefault="0049414F" w:rsidP="00603E6E">
            <w:pPr>
              <w:rPr>
                <w:rFonts w:asciiTheme="minorHAnsi" w:hAnsiTheme="minorHAnsi" w:cstheme="minorHAnsi"/>
              </w:rPr>
            </w:pPr>
            <w:r>
              <w:rPr>
                <w:rFonts w:asciiTheme="minorHAnsi" w:hAnsiTheme="minorHAnsi" w:cstheme="minorHAnsi"/>
              </w:rPr>
              <w:t>Herefordshire Association of Secondary Heads</w:t>
            </w:r>
          </w:p>
        </w:tc>
      </w:tr>
      <w:tr w:rsidR="0049414F" w:rsidRPr="00114B8E" w14:paraId="4F51D0FB" w14:textId="77777777" w:rsidTr="00603E6E">
        <w:trPr>
          <w:trHeight w:val="432"/>
        </w:trPr>
        <w:tc>
          <w:tcPr>
            <w:tcW w:w="1271" w:type="dxa"/>
          </w:tcPr>
          <w:p w14:paraId="7E54BE79"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AAI</w:t>
            </w:r>
          </w:p>
        </w:tc>
        <w:tc>
          <w:tcPr>
            <w:tcW w:w="5697" w:type="dxa"/>
          </w:tcPr>
          <w:p w14:paraId="141C1A60" w14:textId="77777777" w:rsidR="0049414F" w:rsidRPr="00114B8E" w:rsidRDefault="0049414F" w:rsidP="00603E6E">
            <w:pPr>
              <w:rPr>
                <w:rFonts w:asciiTheme="minorHAnsi" w:hAnsiTheme="minorHAnsi" w:cstheme="minorHAnsi"/>
              </w:rPr>
            </w:pPr>
            <w:r>
              <w:rPr>
                <w:rFonts w:asciiTheme="minorHAnsi" w:hAnsiTheme="minorHAnsi" w:cstheme="minorHAnsi"/>
              </w:rPr>
              <w:t>Adrenaline Auto-Injector (Epi Pen)</w:t>
            </w:r>
          </w:p>
        </w:tc>
        <w:tc>
          <w:tcPr>
            <w:tcW w:w="1249" w:type="dxa"/>
          </w:tcPr>
          <w:p w14:paraId="152C9671"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HBV</w:t>
            </w:r>
          </w:p>
        </w:tc>
        <w:tc>
          <w:tcPr>
            <w:tcW w:w="5719" w:type="dxa"/>
          </w:tcPr>
          <w:p w14:paraId="6A941E0D" w14:textId="77777777" w:rsidR="0049414F" w:rsidRPr="00114B8E" w:rsidRDefault="0049414F" w:rsidP="00603E6E">
            <w:pPr>
              <w:rPr>
                <w:rFonts w:asciiTheme="minorHAnsi" w:hAnsiTheme="minorHAnsi" w:cstheme="minorHAnsi"/>
              </w:rPr>
            </w:pPr>
            <w:r>
              <w:rPr>
                <w:rFonts w:asciiTheme="minorHAnsi" w:hAnsiTheme="minorHAnsi" w:cstheme="minorHAnsi"/>
              </w:rPr>
              <w:t>Honour Based Violence</w:t>
            </w:r>
          </w:p>
        </w:tc>
      </w:tr>
      <w:tr w:rsidR="0049414F" w:rsidRPr="00114B8E" w14:paraId="0B2E2056" w14:textId="77777777" w:rsidTr="00603E6E">
        <w:trPr>
          <w:trHeight w:val="432"/>
        </w:trPr>
        <w:tc>
          <w:tcPr>
            <w:tcW w:w="1271" w:type="dxa"/>
          </w:tcPr>
          <w:p w14:paraId="10CB1B7B"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ACM</w:t>
            </w:r>
          </w:p>
        </w:tc>
        <w:tc>
          <w:tcPr>
            <w:tcW w:w="5697" w:type="dxa"/>
          </w:tcPr>
          <w:p w14:paraId="5AE9FF8B" w14:textId="77777777" w:rsidR="0049414F" w:rsidRPr="00114B8E" w:rsidRDefault="0049414F" w:rsidP="00603E6E">
            <w:pPr>
              <w:rPr>
                <w:rFonts w:asciiTheme="minorHAnsi" w:hAnsiTheme="minorHAnsi" w:cstheme="minorHAnsi"/>
              </w:rPr>
            </w:pPr>
            <w:r>
              <w:rPr>
                <w:rFonts w:asciiTheme="minorHAnsi" w:hAnsiTheme="minorHAnsi" w:cstheme="minorHAnsi"/>
              </w:rPr>
              <w:t>Asbestos Containing Materials</w:t>
            </w:r>
          </w:p>
        </w:tc>
        <w:tc>
          <w:tcPr>
            <w:tcW w:w="1249" w:type="dxa"/>
          </w:tcPr>
          <w:p w14:paraId="5DFD6ABC"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HR</w:t>
            </w:r>
          </w:p>
        </w:tc>
        <w:tc>
          <w:tcPr>
            <w:tcW w:w="5719" w:type="dxa"/>
          </w:tcPr>
          <w:p w14:paraId="5DF49612"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Human Resources</w:t>
            </w:r>
          </w:p>
        </w:tc>
      </w:tr>
      <w:tr w:rsidR="0049414F" w:rsidRPr="00114B8E" w14:paraId="12964044" w14:textId="77777777" w:rsidTr="00603E6E">
        <w:trPr>
          <w:trHeight w:val="418"/>
        </w:trPr>
        <w:tc>
          <w:tcPr>
            <w:tcW w:w="1271" w:type="dxa"/>
          </w:tcPr>
          <w:p w14:paraId="039B3706"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AFH</w:t>
            </w:r>
          </w:p>
        </w:tc>
        <w:tc>
          <w:tcPr>
            <w:tcW w:w="5697" w:type="dxa"/>
          </w:tcPr>
          <w:p w14:paraId="749A81FF" w14:textId="77777777" w:rsidR="0049414F" w:rsidRPr="00114B8E" w:rsidRDefault="0049414F" w:rsidP="00603E6E">
            <w:pPr>
              <w:rPr>
                <w:rFonts w:asciiTheme="minorHAnsi" w:hAnsiTheme="minorHAnsi" w:cstheme="minorHAnsi"/>
              </w:rPr>
            </w:pPr>
            <w:r>
              <w:rPr>
                <w:rFonts w:asciiTheme="minorHAnsi" w:hAnsiTheme="minorHAnsi" w:cstheme="minorHAnsi"/>
              </w:rPr>
              <w:t>Academies Financial Handbook</w:t>
            </w:r>
          </w:p>
        </w:tc>
        <w:tc>
          <w:tcPr>
            <w:tcW w:w="1249" w:type="dxa"/>
          </w:tcPr>
          <w:p w14:paraId="667A02E7"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H&amp;S</w:t>
            </w:r>
          </w:p>
        </w:tc>
        <w:tc>
          <w:tcPr>
            <w:tcW w:w="5719" w:type="dxa"/>
          </w:tcPr>
          <w:p w14:paraId="71CE4E14"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Health and Safety</w:t>
            </w:r>
          </w:p>
        </w:tc>
      </w:tr>
      <w:tr w:rsidR="0049414F" w:rsidRPr="00114B8E" w14:paraId="7FD13E92" w14:textId="77777777" w:rsidTr="00603E6E">
        <w:trPr>
          <w:trHeight w:val="432"/>
        </w:trPr>
        <w:tc>
          <w:tcPr>
            <w:tcW w:w="1271" w:type="dxa"/>
          </w:tcPr>
          <w:p w14:paraId="292C32DE"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AHT</w:t>
            </w:r>
          </w:p>
        </w:tc>
        <w:tc>
          <w:tcPr>
            <w:tcW w:w="5697" w:type="dxa"/>
          </w:tcPr>
          <w:p w14:paraId="1FA8310A"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Assistant Headteacher</w:t>
            </w:r>
          </w:p>
        </w:tc>
        <w:tc>
          <w:tcPr>
            <w:tcW w:w="1249" w:type="dxa"/>
          </w:tcPr>
          <w:p w14:paraId="126DFD90"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HoS</w:t>
            </w:r>
          </w:p>
        </w:tc>
        <w:tc>
          <w:tcPr>
            <w:tcW w:w="5719" w:type="dxa"/>
          </w:tcPr>
          <w:p w14:paraId="20A5483E"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Head of School</w:t>
            </w:r>
          </w:p>
        </w:tc>
      </w:tr>
      <w:tr w:rsidR="0049414F" w:rsidRPr="00114B8E" w14:paraId="67827CB8" w14:textId="77777777" w:rsidTr="00603E6E">
        <w:trPr>
          <w:trHeight w:val="432"/>
        </w:trPr>
        <w:tc>
          <w:tcPr>
            <w:tcW w:w="1271" w:type="dxa"/>
          </w:tcPr>
          <w:p w14:paraId="195A7541"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AIR</w:t>
            </w:r>
          </w:p>
        </w:tc>
        <w:tc>
          <w:tcPr>
            <w:tcW w:w="5697" w:type="dxa"/>
          </w:tcPr>
          <w:p w14:paraId="3E510F29" w14:textId="77777777" w:rsidR="0049414F" w:rsidRPr="00114B8E" w:rsidRDefault="0049414F" w:rsidP="00603E6E">
            <w:pPr>
              <w:rPr>
                <w:rFonts w:asciiTheme="minorHAnsi" w:hAnsiTheme="minorHAnsi" w:cstheme="minorHAnsi"/>
              </w:rPr>
            </w:pPr>
            <w:r>
              <w:rPr>
                <w:rFonts w:asciiTheme="minorHAnsi" w:hAnsiTheme="minorHAnsi" w:cstheme="minorHAnsi"/>
              </w:rPr>
              <w:t>Attendance Intervention Reviews</w:t>
            </w:r>
          </w:p>
        </w:tc>
        <w:tc>
          <w:tcPr>
            <w:tcW w:w="1249" w:type="dxa"/>
          </w:tcPr>
          <w:p w14:paraId="46BF7BD9"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HSE</w:t>
            </w:r>
          </w:p>
        </w:tc>
        <w:tc>
          <w:tcPr>
            <w:tcW w:w="5719" w:type="dxa"/>
          </w:tcPr>
          <w:p w14:paraId="3AFF1983"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Health and Safety Executive</w:t>
            </w:r>
          </w:p>
        </w:tc>
      </w:tr>
      <w:tr w:rsidR="0049414F" w:rsidRPr="00114B8E" w14:paraId="4B01B672" w14:textId="77777777" w:rsidTr="00603E6E">
        <w:trPr>
          <w:trHeight w:val="432"/>
        </w:trPr>
        <w:tc>
          <w:tcPr>
            <w:tcW w:w="1271" w:type="dxa"/>
          </w:tcPr>
          <w:p w14:paraId="13F79FA6"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APIs</w:t>
            </w:r>
          </w:p>
        </w:tc>
        <w:tc>
          <w:tcPr>
            <w:tcW w:w="5697" w:type="dxa"/>
          </w:tcPr>
          <w:p w14:paraId="1DB46000" w14:textId="77777777" w:rsidR="0049414F" w:rsidRPr="00114B8E" w:rsidRDefault="0049414F" w:rsidP="00603E6E">
            <w:pPr>
              <w:rPr>
                <w:rFonts w:asciiTheme="minorHAnsi" w:hAnsiTheme="minorHAnsi" w:cstheme="minorHAnsi"/>
              </w:rPr>
            </w:pPr>
            <w:r>
              <w:rPr>
                <w:rFonts w:asciiTheme="minorHAnsi" w:hAnsiTheme="minorHAnsi" w:cstheme="minorHAnsi"/>
              </w:rPr>
              <w:t>Application Programme Interfaces</w:t>
            </w:r>
          </w:p>
        </w:tc>
        <w:tc>
          <w:tcPr>
            <w:tcW w:w="1249" w:type="dxa"/>
          </w:tcPr>
          <w:p w14:paraId="2BD3986C"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ICO</w:t>
            </w:r>
          </w:p>
        </w:tc>
        <w:tc>
          <w:tcPr>
            <w:tcW w:w="5719" w:type="dxa"/>
          </w:tcPr>
          <w:p w14:paraId="6F8B3874" w14:textId="77777777" w:rsidR="0049414F" w:rsidRPr="00114B8E" w:rsidRDefault="0049414F" w:rsidP="00603E6E">
            <w:pPr>
              <w:rPr>
                <w:rFonts w:asciiTheme="minorHAnsi" w:hAnsiTheme="minorHAnsi" w:cstheme="minorHAnsi"/>
              </w:rPr>
            </w:pPr>
            <w:r>
              <w:rPr>
                <w:rFonts w:asciiTheme="minorHAnsi" w:hAnsiTheme="minorHAnsi" w:cstheme="minorHAnsi"/>
              </w:rPr>
              <w:t>Information Commissioners Office</w:t>
            </w:r>
          </w:p>
        </w:tc>
      </w:tr>
      <w:tr w:rsidR="0049414F" w:rsidRPr="00114B8E" w14:paraId="647958B5" w14:textId="77777777" w:rsidTr="00603E6E">
        <w:trPr>
          <w:trHeight w:val="432"/>
        </w:trPr>
        <w:tc>
          <w:tcPr>
            <w:tcW w:w="1271" w:type="dxa"/>
          </w:tcPr>
          <w:p w14:paraId="1BC11A71"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BAME</w:t>
            </w:r>
          </w:p>
        </w:tc>
        <w:tc>
          <w:tcPr>
            <w:tcW w:w="5697" w:type="dxa"/>
          </w:tcPr>
          <w:p w14:paraId="5A203186" w14:textId="77777777" w:rsidR="0049414F" w:rsidRPr="00114B8E" w:rsidRDefault="0049414F" w:rsidP="00603E6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018BEAB"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IHP</w:t>
            </w:r>
          </w:p>
        </w:tc>
        <w:tc>
          <w:tcPr>
            <w:tcW w:w="5719" w:type="dxa"/>
          </w:tcPr>
          <w:p w14:paraId="7057698E" w14:textId="77777777" w:rsidR="0049414F" w:rsidRPr="00114B8E" w:rsidRDefault="0049414F" w:rsidP="00603E6E">
            <w:pPr>
              <w:rPr>
                <w:rFonts w:asciiTheme="minorHAnsi" w:hAnsiTheme="minorHAnsi" w:cstheme="minorHAnsi"/>
              </w:rPr>
            </w:pPr>
            <w:r>
              <w:rPr>
                <w:rFonts w:asciiTheme="minorHAnsi" w:hAnsiTheme="minorHAnsi" w:cstheme="minorHAnsi"/>
              </w:rPr>
              <w:t>Individual Healthcare Plan</w:t>
            </w:r>
          </w:p>
        </w:tc>
      </w:tr>
      <w:tr w:rsidR="0049414F" w:rsidRPr="00114B8E" w14:paraId="0488D076" w14:textId="77777777" w:rsidTr="00603E6E">
        <w:trPr>
          <w:trHeight w:val="432"/>
        </w:trPr>
        <w:tc>
          <w:tcPr>
            <w:tcW w:w="1271" w:type="dxa"/>
          </w:tcPr>
          <w:p w14:paraId="1E4CF5CB"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BCP</w:t>
            </w:r>
          </w:p>
        </w:tc>
        <w:tc>
          <w:tcPr>
            <w:tcW w:w="5697" w:type="dxa"/>
          </w:tcPr>
          <w:p w14:paraId="097E1EA7" w14:textId="77777777" w:rsidR="0049414F" w:rsidRPr="00114B8E" w:rsidRDefault="0049414F" w:rsidP="00603E6E">
            <w:pPr>
              <w:rPr>
                <w:rFonts w:asciiTheme="minorHAnsi" w:hAnsiTheme="minorHAnsi" w:cstheme="minorHAnsi"/>
              </w:rPr>
            </w:pPr>
            <w:r>
              <w:rPr>
                <w:rFonts w:asciiTheme="minorHAnsi" w:hAnsiTheme="minorHAnsi" w:cstheme="minorHAnsi"/>
              </w:rPr>
              <w:t>Business Continuity Plan</w:t>
            </w:r>
          </w:p>
        </w:tc>
        <w:tc>
          <w:tcPr>
            <w:tcW w:w="1249" w:type="dxa"/>
          </w:tcPr>
          <w:p w14:paraId="466A9F18"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IRMS</w:t>
            </w:r>
          </w:p>
        </w:tc>
        <w:tc>
          <w:tcPr>
            <w:tcW w:w="5719" w:type="dxa"/>
          </w:tcPr>
          <w:p w14:paraId="03663EEE" w14:textId="77777777" w:rsidR="0049414F" w:rsidRPr="00114B8E" w:rsidRDefault="0049414F" w:rsidP="00603E6E">
            <w:pPr>
              <w:rPr>
                <w:rFonts w:asciiTheme="minorHAnsi" w:hAnsiTheme="minorHAnsi" w:cstheme="minorHAnsi"/>
              </w:rPr>
            </w:pPr>
            <w:r>
              <w:rPr>
                <w:rFonts w:asciiTheme="minorHAnsi" w:hAnsiTheme="minorHAnsi" w:cstheme="minorHAnsi"/>
              </w:rPr>
              <w:t>Information and Records Management Society</w:t>
            </w:r>
          </w:p>
        </w:tc>
      </w:tr>
      <w:tr w:rsidR="0049414F" w:rsidRPr="00114B8E" w14:paraId="6CBF4684" w14:textId="77777777" w:rsidTr="00603E6E">
        <w:trPr>
          <w:trHeight w:val="432"/>
        </w:trPr>
        <w:tc>
          <w:tcPr>
            <w:tcW w:w="1271" w:type="dxa"/>
          </w:tcPr>
          <w:p w14:paraId="0FB1E17D"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BFR</w:t>
            </w:r>
          </w:p>
        </w:tc>
        <w:tc>
          <w:tcPr>
            <w:tcW w:w="5697" w:type="dxa"/>
          </w:tcPr>
          <w:p w14:paraId="362428BD" w14:textId="77777777" w:rsidR="0049414F" w:rsidRPr="00114B8E" w:rsidRDefault="0049414F" w:rsidP="00603E6E">
            <w:pPr>
              <w:rPr>
                <w:rFonts w:asciiTheme="minorHAnsi" w:hAnsiTheme="minorHAnsi" w:cstheme="minorHAnsi"/>
              </w:rPr>
            </w:pPr>
            <w:r>
              <w:rPr>
                <w:rFonts w:asciiTheme="minorHAnsi" w:hAnsiTheme="minorHAnsi" w:cstheme="minorHAnsi"/>
              </w:rPr>
              <w:t>Budget Forecast Return</w:t>
            </w:r>
          </w:p>
        </w:tc>
        <w:tc>
          <w:tcPr>
            <w:tcW w:w="1249" w:type="dxa"/>
          </w:tcPr>
          <w:p w14:paraId="243BBA92"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IWF</w:t>
            </w:r>
          </w:p>
        </w:tc>
        <w:tc>
          <w:tcPr>
            <w:tcW w:w="5719" w:type="dxa"/>
          </w:tcPr>
          <w:p w14:paraId="227139B3" w14:textId="77777777" w:rsidR="0049414F" w:rsidRPr="00114B8E" w:rsidRDefault="0049414F" w:rsidP="00603E6E">
            <w:pPr>
              <w:rPr>
                <w:rFonts w:asciiTheme="minorHAnsi" w:hAnsiTheme="minorHAnsi" w:cstheme="minorHAnsi"/>
              </w:rPr>
            </w:pPr>
            <w:r>
              <w:rPr>
                <w:rFonts w:asciiTheme="minorHAnsi" w:hAnsiTheme="minorHAnsi" w:cstheme="minorHAnsi"/>
              </w:rPr>
              <w:t>Internet Watch Foundation</w:t>
            </w:r>
          </w:p>
        </w:tc>
      </w:tr>
      <w:tr w:rsidR="0049414F" w:rsidRPr="00114B8E" w14:paraId="4484BF11" w14:textId="77777777" w:rsidTr="00603E6E">
        <w:trPr>
          <w:trHeight w:val="432"/>
        </w:trPr>
        <w:tc>
          <w:tcPr>
            <w:tcW w:w="1271" w:type="dxa"/>
          </w:tcPr>
          <w:p w14:paraId="01012287" w14:textId="77777777" w:rsidR="0049414F" w:rsidRPr="00114B8E" w:rsidRDefault="0049414F" w:rsidP="00603E6E">
            <w:pPr>
              <w:rPr>
                <w:rFonts w:asciiTheme="minorHAnsi" w:hAnsiTheme="minorHAnsi" w:cstheme="minorHAnsi"/>
                <w:b/>
                <w:bCs/>
              </w:rPr>
            </w:pPr>
            <w:r w:rsidRPr="00635744">
              <w:rPr>
                <w:rFonts w:asciiTheme="minorHAnsi" w:hAnsiTheme="minorHAnsi" w:cstheme="minorHAnsi"/>
                <w:b/>
                <w:bCs/>
              </w:rPr>
              <w:t>CAMHS</w:t>
            </w:r>
          </w:p>
        </w:tc>
        <w:tc>
          <w:tcPr>
            <w:tcW w:w="5697" w:type="dxa"/>
          </w:tcPr>
          <w:p w14:paraId="2396502A"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588E1ACC"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KCSIE</w:t>
            </w:r>
          </w:p>
        </w:tc>
        <w:tc>
          <w:tcPr>
            <w:tcW w:w="5719" w:type="dxa"/>
          </w:tcPr>
          <w:p w14:paraId="5EA6EAA6"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Keeping Children Safe in Education</w:t>
            </w:r>
          </w:p>
        </w:tc>
      </w:tr>
      <w:tr w:rsidR="0049414F" w:rsidRPr="00114B8E" w14:paraId="1423809D" w14:textId="77777777" w:rsidTr="00603E6E">
        <w:trPr>
          <w:trHeight w:val="432"/>
        </w:trPr>
        <w:tc>
          <w:tcPr>
            <w:tcW w:w="1271" w:type="dxa"/>
          </w:tcPr>
          <w:p w14:paraId="33A2C412" w14:textId="77777777" w:rsidR="0049414F" w:rsidRPr="00114B8E" w:rsidRDefault="0049414F" w:rsidP="00603E6E">
            <w:pPr>
              <w:rPr>
                <w:rFonts w:asciiTheme="minorHAnsi" w:hAnsiTheme="minorHAnsi" w:cstheme="minorHAnsi"/>
                <w:b/>
                <w:bCs/>
              </w:rPr>
            </w:pPr>
            <w:r w:rsidRPr="00635744">
              <w:rPr>
                <w:rFonts w:asciiTheme="minorHAnsi" w:hAnsiTheme="minorHAnsi" w:cstheme="minorHAnsi"/>
                <w:b/>
                <w:bCs/>
              </w:rPr>
              <w:t>CEO</w:t>
            </w:r>
          </w:p>
        </w:tc>
        <w:tc>
          <w:tcPr>
            <w:tcW w:w="5697" w:type="dxa"/>
          </w:tcPr>
          <w:p w14:paraId="0648B8AA"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2EE1083B" w14:textId="77777777" w:rsidR="0049414F" w:rsidRPr="00114B8E" w:rsidRDefault="0049414F" w:rsidP="00603E6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0A059B4D"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Key Stage 1/2/3/4</w:t>
            </w:r>
          </w:p>
        </w:tc>
      </w:tr>
      <w:tr w:rsidR="0049414F" w:rsidRPr="00114B8E" w14:paraId="17762441" w14:textId="77777777" w:rsidTr="00603E6E">
        <w:trPr>
          <w:trHeight w:val="432"/>
        </w:trPr>
        <w:tc>
          <w:tcPr>
            <w:tcW w:w="1271" w:type="dxa"/>
          </w:tcPr>
          <w:p w14:paraId="3109BDE2" w14:textId="77777777" w:rsidR="0049414F" w:rsidRPr="00114B8E" w:rsidRDefault="0049414F" w:rsidP="00603E6E">
            <w:pPr>
              <w:rPr>
                <w:rFonts w:asciiTheme="minorHAnsi" w:hAnsiTheme="minorHAnsi" w:cstheme="minorHAnsi"/>
                <w:b/>
                <w:bCs/>
              </w:rPr>
            </w:pPr>
            <w:r w:rsidRPr="00635744">
              <w:rPr>
                <w:rFonts w:asciiTheme="minorHAnsi" w:hAnsiTheme="minorHAnsi" w:cstheme="minorHAnsi"/>
                <w:b/>
                <w:bCs/>
              </w:rPr>
              <w:t>CFO</w:t>
            </w:r>
          </w:p>
        </w:tc>
        <w:tc>
          <w:tcPr>
            <w:tcW w:w="5697" w:type="dxa"/>
          </w:tcPr>
          <w:p w14:paraId="5DC65F71"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1E4851D0"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LAC</w:t>
            </w:r>
          </w:p>
        </w:tc>
        <w:tc>
          <w:tcPr>
            <w:tcW w:w="5719" w:type="dxa"/>
          </w:tcPr>
          <w:p w14:paraId="57775148"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Looked After Child</w:t>
            </w:r>
          </w:p>
        </w:tc>
      </w:tr>
      <w:tr w:rsidR="0049414F" w:rsidRPr="00114B8E" w14:paraId="45202009" w14:textId="77777777" w:rsidTr="00603E6E">
        <w:trPr>
          <w:trHeight w:val="432"/>
        </w:trPr>
        <w:tc>
          <w:tcPr>
            <w:tcW w:w="1271" w:type="dxa"/>
          </w:tcPr>
          <w:p w14:paraId="2A599713" w14:textId="77777777" w:rsidR="0049414F" w:rsidRPr="00114B8E" w:rsidRDefault="0049414F"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4A0575FD"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4E8C4CB1"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LADO</w:t>
            </w:r>
          </w:p>
        </w:tc>
        <w:tc>
          <w:tcPr>
            <w:tcW w:w="5719" w:type="dxa"/>
          </w:tcPr>
          <w:p w14:paraId="7766FDB6"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Local Authority Designated Officer</w:t>
            </w:r>
          </w:p>
        </w:tc>
      </w:tr>
      <w:tr w:rsidR="0049414F" w:rsidRPr="00114B8E" w14:paraId="2C54564E" w14:textId="77777777" w:rsidTr="00603E6E">
        <w:trPr>
          <w:trHeight w:val="432"/>
        </w:trPr>
        <w:tc>
          <w:tcPr>
            <w:tcW w:w="1271" w:type="dxa"/>
          </w:tcPr>
          <w:p w14:paraId="7C79C8EA" w14:textId="77777777" w:rsidR="0049414F" w:rsidRPr="00114B8E" w:rsidRDefault="0049414F" w:rsidP="00603E6E">
            <w:pPr>
              <w:rPr>
                <w:rFonts w:asciiTheme="minorHAnsi" w:hAnsiTheme="minorHAnsi" w:cstheme="minorHAnsi"/>
                <w:b/>
                <w:bCs/>
              </w:rPr>
            </w:pPr>
            <w:r w:rsidRPr="00635744">
              <w:rPr>
                <w:rFonts w:asciiTheme="minorHAnsi" w:hAnsiTheme="minorHAnsi" w:cstheme="minorHAnsi"/>
                <w:b/>
                <w:bCs/>
              </w:rPr>
              <w:t>CIN</w:t>
            </w:r>
          </w:p>
        </w:tc>
        <w:tc>
          <w:tcPr>
            <w:tcW w:w="5697" w:type="dxa"/>
          </w:tcPr>
          <w:p w14:paraId="671DBC6E"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Child in Need</w:t>
            </w:r>
          </w:p>
        </w:tc>
        <w:tc>
          <w:tcPr>
            <w:tcW w:w="1249" w:type="dxa"/>
          </w:tcPr>
          <w:p w14:paraId="7AD2B8E0"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LGB</w:t>
            </w:r>
          </w:p>
        </w:tc>
        <w:tc>
          <w:tcPr>
            <w:tcW w:w="5719" w:type="dxa"/>
          </w:tcPr>
          <w:p w14:paraId="010B5F51"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Local Governing Body</w:t>
            </w:r>
          </w:p>
        </w:tc>
      </w:tr>
      <w:tr w:rsidR="0049414F" w:rsidRPr="00114B8E" w14:paraId="79B3947E" w14:textId="77777777" w:rsidTr="00603E6E">
        <w:trPr>
          <w:trHeight w:val="432"/>
        </w:trPr>
        <w:tc>
          <w:tcPr>
            <w:tcW w:w="1271" w:type="dxa"/>
          </w:tcPr>
          <w:p w14:paraId="3A7FCACD" w14:textId="77777777" w:rsidR="0049414F" w:rsidRPr="00114B8E" w:rsidRDefault="0049414F"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5393DEFE"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6ADEA790"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LLC</w:t>
            </w:r>
          </w:p>
        </w:tc>
        <w:tc>
          <w:tcPr>
            <w:tcW w:w="5719" w:type="dxa"/>
          </w:tcPr>
          <w:p w14:paraId="7ACF31BA" w14:textId="77777777" w:rsidR="0049414F" w:rsidRPr="00114B8E" w:rsidRDefault="0049414F" w:rsidP="00603E6E">
            <w:pPr>
              <w:rPr>
                <w:rFonts w:asciiTheme="minorHAnsi" w:hAnsiTheme="minorHAnsi" w:cstheme="minorHAnsi"/>
              </w:rPr>
            </w:pPr>
            <w:r>
              <w:rPr>
                <w:rFonts w:asciiTheme="minorHAnsi" w:hAnsiTheme="minorHAnsi" w:cstheme="minorHAnsi"/>
              </w:rPr>
              <w:t>Low-Level Concerns</w:t>
            </w:r>
          </w:p>
        </w:tc>
      </w:tr>
      <w:tr w:rsidR="0049414F" w:rsidRPr="00114B8E" w14:paraId="06EF3417" w14:textId="77777777" w:rsidTr="00603E6E">
        <w:trPr>
          <w:trHeight w:val="432"/>
        </w:trPr>
        <w:tc>
          <w:tcPr>
            <w:tcW w:w="1271" w:type="dxa"/>
          </w:tcPr>
          <w:p w14:paraId="7954A393"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F143DB5"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690139C"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LSA</w:t>
            </w:r>
          </w:p>
        </w:tc>
        <w:tc>
          <w:tcPr>
            <w:tcW w:w="5719" w:type="dxa"/>
          </w:tcPr>
          <w:p w14:paraId="604D0CC1" w14:textId="77777777" w:rsidR="0049414F" w:rsidRPr="00114B8E" w:rsidRDefault="0049414F" w:rsidP="00603E6E">
            <w:pPr>
              <w:rPr>
                <w:rFonts w:asciiTheme="minorHAnsi" w:hAnsiTheme="minorHAnsi" w:cstheme="minorHAnsi"/>
              </w:rPr>
            </w:pPr>
            <w:r>
              <w:rPr>
                <w:rFonts w:asciiTheme="minorHAnsi" w:hAnsiTheme="minorHAnsi" w:cstheme="minorHAnsi"/>
              </w:rPr>
              <w:t>Learning Support Assistants</w:t>
            </w:r>
          </w:p>
        </w:tc>
      </w:tr>
      <w:tr w:rsidR="0049414F" w:rsidRPr="00114B8E" w14:paraId="5E30D341" w14:textId="77777777" w:rsidTr="00603E6E">
        <w:trPr>
          <w:trHeight w:val="432"/>
        </w:trPr>
        <w:tc>
          <w:tcPr>
            <w:tcW w:w="1271" w:type="dxa"/>
          </w:tcPr>
          <w:p w14:paraId="21AE0005"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2B4372FE"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59F566F"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MASH</w:t>
            </w:r>
          </w:p>
        </w:tc>
        <w:tc>
          <w:tcPr>
            <w:tcW w:w="5719" w:type="dxa"/>
          </w:tcPr>
          <w:p w14:paraId="5CC3CA32"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Multi-Agency Safeguarding Hub</w:t>
            </w:r>
          </w:p>
        </w:tc>
      </w:tr>
      <w:tr w:rsidR="0049414F" w:rsidRPr="00114B8E" w14:paraId="555CF766" w14:textId="77777777" w:rsidTr="00603E6E">
        <w:trPr>
          <w:trHeight w:val="432"/>
        </w:trPr>
        <w:tc>
          <w:tcPr>
            <w:tcW w:w="1271" w:type="dxa"/>
          </w:tcPr>
          <w:p w14:paraId="12253E75"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39D9B9D0" w14:textId="77777777" w:rsidR="0049414F" w:rsidRPr="00114B8E" w:rsidRDefault="0049414F" w:rsidP="00603E6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70BA39F3"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MAT</w:t>
            </w:r>
          </w:p>
        </w:tc>
        <w:tc>
          <w:tcPr>
            <w:tcW w:w="5719" w:type="dxa"/>
          </w:tcPr>
          <w:p w14:paraId="334E13DE" w14:textId="77777777" w:rsidR="0049414F" w:rsidRPr="00114B8E" w:rsidRDefault="0049414F" w:rsidP="00603E6E">
            <w:pPr>
              <w:rPr>
                <w:rFonts w:asciiTheme="minorHAnsi" w:hAnsiTheme="minorHAnsi" w:cstheme="minorHAnsi"/>
              </w:rPr>
            </w:pPr>
            <w:r>
              <w:rPr>
                <w:rFonts w:asciiTheme="minorHAnsi" w:hAnsiTheme="minorHAnsi" w:cstheme="minorHAnsi"/>
              </w:rPr>
              <w:t>Multi-Academy Trust</w:t>
            </w:r>
          </w:p>
        </w:tc>
      </w:tr>
      <w:tr w:rsidR="0049414F" w:rsidRPr="00114B8E" w14:paraId="015EB352" w14:textId="77777777" w:rsidTr="00603E6E">
        <w:trPr>
          <w:trHeight w:val="432"/>
        </w:trPr>
        <w:tc>
          <w:tcPr>
            <w:tcW w:w="1271" w:type="dxa"/>
          </w:tcPr>
          <w:p w14:paraId="6A8BF665"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CP</w:t>
            </w:r>
          </w:p>
        </w:tc>
        <w:tc>
          <w:tcPr>
            <w:tcW w:w="5697" w:type="dxa"/>
          </w:tcPr>
          <w:p w14:paraId="16786194"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Child Protection</w:t>
            </w:r>
          </w:p>
        </w:tc>
        <w:tc>
          <w:tcPr>
            <w:tcW w:w="1249" w:type="dxa"/>
          </w:tcPr>
          <w:p w14:paraId="234418EC"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MFA</w:t>
            </w:r>
          </w:p>
        </w:tc>
        <w:tc>
          <w:tcPr>
            <w:tcW w:w="5719" w:type="dxa"/>
          </w:tcPr>
          <w:p w14:paraId="067CEB62" w14:textId="77777777" w:rsidR="0049414F" w:rsidRPr="00114B8E" w:rsidRDefault="0049414F" w:rsidP="00603E6E">
            <w:pPr>
              <w:tabs>
                <w:tab w:val="left" w:pos="1095"/>
              </w:tabs>
              <w:rPr>
                <w:rFonts w:asciiTheme="minorHAnsi" w:hAnsiTheme="minorHAnsi" w:cstheme="minorHAnsi"/>
              </w:rPr>
            </w:pPr>
            <w:r>
              <w:rPr>
                <w:rFonts w:asciiTheme="minorHAnsi" w:hAnsiTheme="minorHAnsi" w:cstheme="minorHAnsi"/>
              </w:rPr>
              <w:t>Multi-Factor Authentication</w:t>
            </w:r>
          </w:p>
        </w:tc>
      </w:tr>
      <w:tr w:rsidR="0049414F" w:rsidRPr="00114B8E" w14:paraId="1EBB5322" w14:textId="77777777" w:rsidTr="00603E6E">
        <w:trPr>
          <w:trHeight w:val="432"/>
        </w:trPr>
        <w:tc>
          <w:tcPr>
            <w:tcW w:w="1271" w:type="dxa"/>
          </w:tcPr>
          <w:p w14:paraId="2912046B"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CPD</w:t>
            </w:r>
          </w:p>
        </w:tc>
        <w:tc>
          <w:tcPr>
            <w:tcW w:w="5697" w:type="dxa"/>
          </w:tcPr>
          <w:p w14:paraId="3340361E"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168F98C"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MFL</w:t>
            </w:r>
          </w:p>
        </w:tc>
        <w:tc>
          <w:tcPr>
            <w:tcW w:w="5719" w:type="dxa"/>
          </w:tcPr>
          <w:p w14:paraId="733A4D7B" w14:textId="77777777" w:rsidR="0049414F" w:rsidRPr="00114B8E" w:rsidRDefault="0049414F" w:rsidP="00603E6E">
            <w:pPr>
              <w:rPr>
                <w:rFonts w:asciiTheme="minorHAnsi" w:hAnsiTheme="minorHAnsi" w:cstheme="minorHAnsi"/>
              </w:rPr>
            </w:pPr>
            <w:r>
              <w:rPr>
                <w:rFonts w:asciiTheme="minorHAnsi" w:hAnsiTheme="minorHAnsi" w:cstheme="minorHAnsi"/>
              </w:rPr>
              <w:t>Modern Foreign Language</w:t>
            </w:r>
          </w:p>
        </w:tc>
      </w:tr>
      <w:tr w:rsidR="0049414F" w:rsidRPr="00114B8E" w14:paraId="670DFFAE" w14:textId="77777777" w:rsidTr="00603E6E">
        <w:trPr>
          <w:trHeight w:val="418"/>
        </w:trPr>
        <w:tc>
          <w:tcPr>
            <w:tcW w:w="1271" w:type="dxa"/>
          </w:tcPr>
          <w:p w14:paraId="1371051D"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CSCS</w:t>
            </w:r>
          </w:p>
        </w:tc>
        <w:tc>
          <w:tcPr>
            <w:tcW w:w="5697" w:type="dxa"/>
          </w:tcPr>
          <w:p w14:paraId="71DDE121" w14:textId="77777777" w:rsidR="0049414F" w:rsidRPr="00114B8E" w:rsidRDefault="0049414F" w:rsidP="00603E6E">
            <w:pPr>
              <w:rPr>
                <w:rFonts w:asciiTheme="minorHAnsi" w:hAnsiTheme="minorHAnsi" w:cstheme="minorHAnsi"/>
              </w:rPr>
            </w:pPr>
            <w:r>
              <w:rPr>
                <w:rFonts w:asciiTheme="minorHAnsi" w:hAnsiTheme="minorHAnsi" w:cstheme="minorHAnsi"/>
              </w:rPr>
              <w:t>Children’s Social Care Services</w:t>
            </w:r>
          </w:p>
        </w:tc>
        <w:tc>
          <w:tcPr>
            <w:tcW w:w="1249" w:type="dxa"/>
          </w:tcPr>
          <w:p w14:paraId="6812A6A6"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NCSC’s</w:t>
            </w:r>
          </w:p>
        </w:tc>
        <w:tc>
          <w:tcPr>
            <w:tcW w:w="5719" w:type="dxa"/>
          </w:tcPr>
          <w:p w14:paraId="2E900B4B" w14:textId="77777777" w:rsidR="0049414F" w:rsidRPr="00114B8E" w:rsidRDefault="0049414F" w:rsidP="00603E6E">
            <w:pPr>
              <w:rPr>
                <w:rFonts w:asciiTheme="minorHAnsi" w:hAnsiTheme="minorHAnsi" w:cstheme="minorHAnsi"/>
              </w:rPr>
            </w:pPr>
            <w:r>
              <w:rPr>
                <w:rFonts w:asciiTheme="minorHAnsi" w:hAnsiTheme="minorHAnsi" w:cstheme="minorHAnsi"/>
              </w:rPr>
              <w:t>National Cyber Security Centres</w:t>
            </w:r>
          </w:p>
        </w:tc>
      </w:tr>
      <w:tr w:rsidR="0049414F" w:rsidRPr="00114B8E" w14:paraId="27226A59" w14:textId="77777777" w:rsidTr="00603E6E">
        <w:trPr>
          <w:trHeight w:val="432"/>
        </w:trPr>
        <w:tc>
          <w:tcPr>
            <w:tcW w:w="1271" w:type="dxa"/>
          </w:tcPr>
          <w:p w14:paraId="1F16A256"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CSE</w:t>
            </w:r>
          </w:p>
        </w:tc>
        <w:tc>
          <w:tcPr>
            <w:tcW w:w="5697" w:type="dxa"/>
          </w:tcPr>
          <w:p w14:paraId="425E74D7"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CB52D67"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NPQEL</w:t>
            </w:r>
          </w:p>
        </w:tc>
        <w:tc>
          <w:tcPr>
            <w:tcW w:w="5719" w:type="dxa"/>
          </w:tcPr>
          <w:p w14:paraId="0D9BA555" w14:textId="77777777" w:rsidR="0049414F" w:rsidRPr="00114B8E" w:rsidRDefault="0049414F" w:rsidP="00603E6E">
            <w:pPr>
              <w:rPr>
                <w:rFonts w:asciiTheme="minorHAnsi" w:hAnsiTheme="minorHAnsi" w:cstheme="minorHAnsi"/>
              </w:rPr>
            </w:pPr>
            <w:r>
              <w:rPr>
                <w:rFonts w:asciiTheme="minorHAnsi" w:hAnsiTheme="minorHAnsi" w:cstheme="minorHAnsi"/>
              </w:rPr>
              <w:t>National Professional Qualification in Executive Leadership</w:t>
            </w:r>
          </w:p>
        </w:tc>
      </w:tr>
      <w:tr w:rsidR="0049414F" w:rsidRPr="00114B8E" w14:paraId="7CBEB0E9" w14:textId="77777777" w:rsidTr="00603E6E">
        <w:trPr>
          <w:trHeight w:val="432"/>
        </w:trPr>
        <w:tc>
          <w:tcPr>
            <w:tcW w:w="1271" w:type="dxa"/>
          </w:tcPr>
          <w:p w14:paraId="6E56A235"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CTIRU</w:t>
            </w:r>
          </w:p>
        </w:tc>
        <w:tc>
          <w:tcPr>
            <w:tcW w:w="5697" w:type="dxa"/>
          </w:tcPr>
          <w:p w14:paraId="0C99CF35" w14:textId="77777777" w:rsidR="0049414F" w:rsidRPr="00114B8E" w:rsidRDefault="0049414F" w:rsidP="00603E6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03AED2CA"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PA</w:t>
            </w:r>
          </w:p>
        </w:tc>
        <w:tc>
          <w:tcPr>
            <w:tcW w:w="5719" w:type="dxa"/>
          </w:tcPr>
          <w:p w14:paraId="64D93B24" w14:textId="77777777" w:rsidR="0049414F" w:rsidRPr="00114B8E" w:rsidRDefault="0049414F" w:rsidP="00603E6E">
            <w:pPr>
              <w:rPr>
                <w:rFonts w:asciiTheme="minorHAnsi" w:hAnsiTheme="minorHAnsi" w:cstheme="minorHAnsi"/>
              </w:rPr>
            </w:pPr>
            <w:r>
              <w:rPr>
                <w:rFonts w:asciiTheme="minorHAnsi" w:hAnsiTheme="minorHAnsi" w:cstheme="minorHAnsi"/>
              </w:rPr>
              <w:t>Persistent Absence</w:t>
            </w:r>
          </w:p>
        </w:tc>
      </w:tr>
      <w:tr w:rsidR="0049414F" w:rsidRPr="00114B8E" w14:paraId="18E8A03B" w14:textId="77777777" w:rsidTr="00603E6E">
        <w:trPr>
          <w:trHeight w:val="432"/>
        </w:trPr>
        <w:tc>
          <w:tcPr>
            <w:tcW w:w="1271" w:type="dxa"/>
          </w:tcPr>
          <w:p w14:paraId="3A95DCDF"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CWD</w:t>
            </w:r>
          </w:p>
        </w:tc>
        <w:tc>
          <w:tcPr>
            <w:tcW w:w="5697" w:type="dxa"/>
          </w:tcPr>
          <w:p w14:paraId="2247252A" w14:textId="77777777" w:rsidR="0049414F" w:rsidRPr="00114B8E" w:rsidRDefault="0049414F" w:rsidP="00603E6E">
            <w:pPr>
              <w:rPr>
                <w:rFonts w:asciiTheme="minorHAnsi" w:hAnsiTheme="minorHAnsi" w:cstheme="minorHAnsi"/>
              </w:rPr>
            </w:pPr>
            <w:r>
              <w:rPr>
                <w:rFonts w:asciiTheme="minorHAnsi" w:hAnsiTheme="minorHAnsi" w:cstheme="minorHAnsi"/>
              </w:rPr>
              <w:t>Children with Disabilities</w:t>
            </w:r>
          </w:p>
        </w:tc>
        <w:tc>
          <w:tcPr>
            <w:tcW w:w="1249" w:type="dxa"/>
          </w:tcPr>
          <w:p w14:paraId="1E69810B"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PAN</w:t>
            </w:r>
          </w:p>
        </w:tc>
        <w:tc>
          <w:tcPr>
            <w:tcW w:w="5719" w:type="dxa"/>
          </w:tcPr>
          <w:p w14:paraId="50885318" w14:textId="77777777" w:rsidR="0049414F" w:rsidRPr="00114B8E" w:rsidRDefault="0049414F" w:rsidP="00603E6E">
            <w:pPr>
              <w:rPr>
                <w:rFonts w:asciiTheme="minorHAnsi" w:hAnsiTheme="minorHAnsi" w:cstheme="minorHAnsi"/>
              </w:rPr>
            </w:pPr>
            <w:r>
              <w:rPr>
                <w:rFonts w:asciiTheme="minorHAnsi" w:hAnsiTheme="minorHAnsi" w:cstheme="minorHAnsi"/>
              </w:rPr>
              <w:t>Published Admission Number</w:t>
            </w:r>
          </w:p>
        </w:tc>
      </w:tr>
      <w:tr w:rsidR="0049414F" w:rsidRPr="00114B8E" w14:paraId="17366511" w14:textId="77777777" w:rsidTr="00603E6E">
        <w:trPr>
          <w:trHeight w:val="432"/>
        </w:trPr>
        <w:tc>
          <w:tcPr>
            <w:tcW w:w="1271" w:type="dxa"/>
          </w:tcPr>
          <w:p w14:paraId="2F57A91D"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DBS</w:t>
            </w:r>
          </w:p>
        </w:tc>
        <w:tc>
          <w:tcPr>
            <w:tcW w:w="5697" w:type="dxa"/>
          </w:tcPr>
          <w:p w14:paraId="50FF816B"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7514D570"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PECR</w:t>
            </w:r>
          </w:p>
        </w:tc>
        <w:tc>
          <w:tcPr>
            <w:tcW w:w="5719" w:type="dxa"/>
          </w:tcPr>
          <w:p w14:paraId="3B4D1549" w14:textId="77777777" w:rsidR="0049414F" w:rsidRPr="00114B8E" w:rsidRDefault="0049414F" w:rsidP="00603E6E">
            <w:pPr>
              <w:rPr>
                <w:rFonts w:asciiTheme="minorHAnsi" w:hAnsiTheme="minorHAnsi" w:cstheme="minorHAnsi"/>
              </w:rPr>
            </w:pPr>
            <w:r>
              <w:rPr>
                <w:rFonts w:asciiTheme="minorHAnsi" w:hAnsiTheme="minorHAnsi" w:cstheme="minorHAnsi"/>
              </w:rPr>
              <w:t>Privacy and Electronic Communications Regulations</w:t>
            </w:r>
          </w:p>
        </w:tc>
      </w:tr>
      <w:tr w:rsidR="0049414F" w:rsidRPr="00114B8E" w14:paraId="648EF509" w14:textId="77777777" w:rsidTr="00603E6E">
        <w:trPr>
          <w:trHeight w:val="432"/>
        </w:trPr>
        <w:tc>
          <w:tcPr>
            <w:tcW w:w="1271" w:type="dxa"/>
          </w:tcPr>
          <w:p w14:paraId="1CD004F6"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DDSL</w:t>
            </w:r>
          </w:p>
        </w:tc>
        <w:tc>
          <w:tcPr>
            <w:tcW w:w="5697" w:type="dxa"/>
          </w:tcPr>
          <w:p w14:paraId="735B054A"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05E6E35E"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PEP</w:t>
            </w:r>
          </w:p>
        </w:tc>
        <w:tc>
          <w:tcPr>
            <w:tcW w:w="5719" w:type="dxa"/>
          </w:tcPr>
          <w:p w14:paraId="05AD4DD1"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Personal Education Plan</w:t>
            </w:r>
          </w:p>
        </w:tc>
      </w:tr>
      <w:tr w:rsidR="0049414F" w:rsidRPr="00114B8E" w14:paraId="2FA4730E" w14:textId="77777777" w:rsidTr="00603E6E">
        <w:trPr>
          <w:trHeight w:val="432"/>
        </w:trPr>
        <w:tc>
          <w:tcPr>
            <w:tcW w:w="1271" w:type="dxa"/>
          </w:tcPr>
          <w:p w14:paraId="5B5B3741"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DfE</w:t>
            </w:r>
          </w:p>
        </w:tc>
        <w:tc>
          <w:tcPr>
            <w:tcW w:w="5697" w:type="dxa"/>
          </w:tcPr>
          <w:p w14:paraId="5563A269"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A5A8244"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PEEP</w:t>
            </w:r>
          </w:p>
        </w:tc>
        <w:tc>
          <w:tcPr>
            <w:tcW w:w="5719" w:type="dxa"/>
          </w:tcPr>
          <w:p w14:paraId="2D4448AA" w14:textId="77777777" w:rsidR="0049414F" w:rsidRPr="00114B8E" w:rsidRDefault="0049414F" w:rsidP="00603E6E">
            <w:pPr>
              <w:rPr>
                <w:rFonts w:asciiTheme="minorHAnsi" w:hAnsiTheme="minorHAnsi" w:cstheme="minorHAnsi"/>
              </w:rPr>
            </w:pPr>
            <w:r>
              <w:rPr>
                <w:rFonts w:asciiTheme="minorHAnsi" w:hAnsiTheme="minorHAnsi" w:cstheme="minorHAnsi"/>
              </w:rPr>
              <w:t>Personal Emergency Evacuation Plan</w:t>
            </w:r>
          </w:p>
        </w:tc>
      </w:tr>
      <w:tr w:rsidR="0049414F" w:rsidRPr="00114B8E" w14:paraId="60DAF250" w14:textId="77777777" w:rsidTr="00603E6E">
        <w:trPr>
          <w:trHeight w:val="432"/>
        </w:trPr>
        <w:tc>
          <w:tcPr>
            <w:tcW w:w="1271" w:type="dxa"/>
          </w:tcPr>
          <w:p w14:paraId="52DEBCFF"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DHT</w:t>
            </w:r>
          </w:p>
        </w:tc>
        <w:tc>
          <w:tcPr>
            <w:tcW w:w="5697" w:type="dxa"/>
          </w:tcPr>
          <w:p w14:paraId="46056578"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Deputy Headteacher</w:t>
            </w:r>
          </w:p>
        </w:tc>
        <w:tc>
          <w:tcPr>
            <w:tcW w:w="1249" w:type="dxa"/>
          </w:tcPr>
          <w:p w14:paraId="58127679"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PEx</w:t>
            </w:r>
          </w:p>
        </w:tc>
        <w:tc>
          <w:tcPr>
            <w:tcW w:w="5719" w:type="dxa"/>
          </w:tcPr>
          <w:p w14:paraId="5757DD8B" w14:textId="77777777" w:rsidR="0049414F" w:rsidRPr="00114B8E" w:rsidRDefault="0049414F" w:rsidP="00603E6E">
            <w:pPr>
              <w:rPr>
                <w:rFonts w:asciiTheme="minorHAnsi" w:hAnsiTheme="minorHAnsi" w:cstheme="minorHAnsi"/>
              </w:rPr>
            </w:pPr>
            <w:r>
              <w:rPr>
                <w:rFonts w:asciiTheme="minorHAnsi" w:hAnsiTheme="minorHAnsi" w:cstheme="minorHAnsi"/>
              </w:rPr>
              <w:t>Permanent Exclusion</w:t>
            </w:r>
          </w:p>
        </w:tc>
      </w:tr>
      <w:tr w:rsidR="0049414F" w:rsidRPr="00114B8E" w14:paraId="556694E4" w14:textId="77777777" w:rsidTr="00603E6E">
        <w:trPr>
          <w:trHeight w:val="432"/>
        </w:trPr>
        <w:tc>
          <w:tcPr>
            <w:tcW w:w="1271" w:type="dxa"/>
          </w:tcPr>
          <w:p w14:paraId="4A8ED894"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DSE</w:t>
            </w:r>
          </w:p>
        </w:tc>
        <w:tc>
          <w:tcPr>
            <w:tcW w:w="5697" w:type="dxa"/>
          </w:tcPr>
          <w:p w14:paraId="651786B9" w14:textId="77777777" w:rsidR="0049414F" w:rsidRPr="00114B8E" w:rsidRDefault="0049414F" w:rsidP="00603E6E">
            <w:pPr>
              <w:rPr>
                <w:rFonts w:asciiTheme="minorHAnsi" w:hAnsiTheme="minorHAnsi" w:cstheme="minorHAnsi"/>
              </w:rPr>
            </w:pPr>
            <w:r>
              <w:rPr>
                <w:rFonts w:asciiTheme="minorHAnsi" w:hAnsiTheme="minorHAnsi" w:cstheme="minorHAnsi"/>
              </w:rPr>
              <w:t>Display Screen Equipment</w:t>
            </w:r>
          </w:p>
        </w:tc>
        <w:tc>
          <w:tcPr>
            <w:tcW w:w="1249" w:type="dxa"/>
          </w:tcPr>
          <w:p w14:paraId="529842B2"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PLAC</w:t>
            </w:r>
          </w:p>
        </w:tc>
        <w:tc>
          <w:tcPr>
            <w:tcW w:w="5719" w:type="dxa"/>
          </w:tcPr>
          <w:p w14:paraId="36437830"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Previously Looked After Child</w:t>
            </w:r>
          </w:p>
        </w:tc>
      </w:tr>
      <w:tr w:rsidR="0049414F" w:rsidRPr="00114B8E" w14:paraId="01D913B4" w14:textId="77777777" w:rsidTr="00603E6E">
        <w:trPr>
          <w:trHeight w:val="432"/>
        </w:trPr>
        <w:tc>
          <w:tcPr>
            <w:tcW w:w="1271" w:type="dxa"/>
          </w:tcPr>
          <w:p w14:paraId="5B6AC54B"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DSL</w:t>
            </w:r>
          </w:p>
        </w:tc>
        <w:tc>
          <w:tcPr>
            <w:tcW w:w="5697" w:type="dxa"/>
          </w:tcPr>
          <w:p w14:paraId="2A1FBF9D"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1F06BD0F"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PP</w:t>
            </w:r>
          </w:p>
        </w:tc>
        <w:tc>
          <w:tcPr>
            <w:tcW w:w="5719" w:type="dxa"/>
          </w:tcPr>
          <w:p w14:paraId="608FA5D0"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Pupil Premium</w:t>
            </w:r>
          </w:p>
        </w:tc>
      </w:tr>
      <w:tr w:rsidR="0049414F" w:rsidRPr="00114B8E" w14:paraId="4A154D1A" w14:textId="77777777" w:rsidTr="00603E6E">
        <w:trPr>
          <w:trHeight w:val="432"/>
        </w:trPr>
        <w:tc>
          <w:tcPr>
            <w:tcW w:w="1271" w:type="dxa"/>
          </w:tcPr>
          <w:p w14:paraId="7FD58C85"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DPO</w:t>
            </w:r>
          </w:p>
        </w:tc>
        <w:tc>
          <w:tcPr>
            <w:tcW w:w="5697" w:type="dxa"/>
          </w:tcPr>
          <w:p w14:paraId="3E7CC9FF" w14:textId="77777777" w:rsidR="0049414F" w:rsidRPr="00114B8E" w:rsidRDefault="0049414F" w:rsidP="00603E6E">
            <w:pPr>
              <w:rPr>
                <w:rFonts w:asciiTheme="minorHAnsi" w:hAnsiTheme="minorHAnsi" w:cstheme="minorHAnsi"/>
              </w:rPr>
            </w:pPr>
            <w:r>
              <w:rPr>
                <w:rFonts w:asciiTheme="minorHAnsi" w:hAnsiTheme="minorHAnsi" w:cstheme="minorHAnsi"/>
              </w:rPr>
              <w:t>Data Protection Officer</w:t>
            </w:r>
          </w:p>
        </w:tc>
        <w:tc>
          <w:tcPr>
            <w:tcW w:w="1249" w:type="dxa"/>
          </w:tcPr>
          <w:p w14:paraId="545E19F8"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PSHE</w:t>
            </w:r>
          </w:p>
        </w:tc>
        <w:tc>
          <w:tcPr>
            <w:tcW w:w="5719" w:type="dxa"/>
          </w:tcPr>
          <w:p w14:paraId="3917333C"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Personal, Social and Health Education</w:t>
            </w:r>
          </w:p>
        </w:tc>
      </w:tr>
      <w:tr w:rsidR="0049414F" w:rsidRPr="00114B8E" w14:paraId="2CF51DCD" w14:textId="77777777" w:rsidTr="00603E6E">
        <w:trPr>
          <w:trHeight w:val="432"/>
        </w:trPr>
        <w:tc>
          <w:tcPr>
            <w:tcW w:w="1271" w:type="dxa"/>
          </w:tcPr>
          <w:p w14:paraId="2E3BC326"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EAL</w:t>
            </w:r>
          </w:p>
        </w:tc>
        <w:tc>
          <w:tcPr>
            <w:tcW w:w="5697" w:type="dxa"/>
          </w:tcPr>
          <w:p w14:paraId="45BA6770"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1B1F1D57"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PSED</w:t>
            </w:r>
          </w:p>
        </w:tc>
        <w:tc>
          <w:tcPr>
            <w:tcW w:w="5719" w:type="dxa"/>
          </w:tcPr>
          <w:p w14:paraId="13B54A6E" w14:textId="77777777" w:rsidR="0049414F" w:rsidRPr="00114B8E" w:rsidRDefault="0049414F" w:rsidP="00603E6E">
            <w:pPr>
              <w:rPr>
                <w:rFonts w:asciiTheme="minorHAnsi" w:hAnsiTheme="minorHAnsi" w:cstheme="minorHAnsi"/>
              </w:rPr>
            </w:pPr>
            <w:r>
              <w:rPr>
                <w:rFonts w:asciiTheme="minorHAnsi" w:hAnsiTheme="minorHAnsi" w:cstheme="minorHAnsi"/>
              </w:rPr>
              <w:t>Public Sector Equality Duty</w:t>
            </w:r>
          </w:p>
        </w:tc>
      </w:tr>
      <w:tr w:rsidR="0049414F" w:rsidRPr="00114B8E" w14:paraId="69147941" w14:textId="77777777" w:rsidTr="00603E6E">
        <w:trPr>
          <w:trHeight w:val="432"/>
        </w:trPr>
        <w:tc>
          <w:tcPr>
            <w:tcW w:w="1271" w:type="dxa"/>
          </w:tcPr>
          <w:p w14:paraId="52851205"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ECT</w:t>
            </w:r>
          </w:p>
        </w:tc>
        <w:tc>
          <w:tcPr>
            <w:tcW w:w="5697" w:type="dxa"/>
          </w:tcPr>
          <w:p w14:paraId="56112DC5"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Early Career Teacher</w:t>
            </w:r>
          </w:p>
        </w:tc>
        <w:tc>
          <w:tcPr>
            <w:tcW w:w="1249" w:type="dxa"/>
          </w:tcPr>
          <w:p w14:paraId="6C15C43E"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PTFA</w:t>
            </w:r>
          </w:p>
        </w:tc>
        <w:tc>
          <w:tcPr>
            <w:tcW w:w="5719" w:type="dxa"/>
          </w:tcPr>
          <w:p w14:paraId="1A166B06" w14:textId="77777777" w:rsidR="0049414F" w:rsidRPr="00114B8E" w:rsidRDefault="0049414F" w:rsidP="00603E6E">
            <w:pPr>
              <w:rPr>
                <w:rFonts w:asciiTheme="minorHAnsi" w:hAnsiTheme="minorHAnsi" w:cstheme="minorHAnsi"/>
              </w:rPr>
            </w:pPr>
            <w:r>
              <w:rPr>
                <w:rFonts w:asciiTheme="minorHAnsi" w:hAnsiTheme="minorHAnsi" w:cstheme="minorHAnsi"/>
              </w:rPr>
              <w:t>Parent, Teacher and Friends Association</w:t>
            </w:r>
          </w:p>
        </w:tc>
      </w:tr>
      <w:tr w:rsidR="0049414F" w:rsidRPr="00114B8E" w14:paraId="1B4D1FCA" w14:textId="77777777" w:rsidTr="00603E6E">
        <w:trPr>
          <w:trHeight w:val="432"/>
        </w:trPr>
        <w:tc>
          <w:tcPr>
            <w:tcW w:w="1271" w:type="dxa"/>
          </w:tcPr>
          <w:p w14:paraId="517C95AB"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EHA</w:t>
            </w:r>
          </w:p>
        </w:tc>
        <w:tc>
          <w:tcPr>
            <w:tcW w:w="5697" w:type="dxa"/>
          </w:tcPr>
          <w:p w14:paraId="33869FE8" w14:textId="77777777" w:rsidR="0049414F" w:rsidRPr="00114B8E" w:rsidRDefault="0049414F" w:rsidP="00603E6E">
            <w:pPr>
              <w:rPr>
                <w:rFonts w:asciiTheme="minorHAnsi" w:hAnsiTheme="minorHAnsi" w:cstheme="minorHAnsi"/>
              </w:rPr>
            </w:pPr>
            <w:r>
              <w:rPr>
                <w:rFonts w:asciiTheme="minorHAnsi" w:hAnsiTheme="minorHAnsi" w:cstheme="minorHAnsi"/>
              </w:rPr>
              <w:t>Early Help Assessment</w:t>
            </w:r>
          </w:p>
        </w:tc>
        <w:tc>
          <w:tcPr>
            <w:tcW w:w="1249" w:type="dxa"/>
          </w:tcPr>
          <w:p w14:paraId="4EB15881"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RIDDOR</w:t>
            </w:r>
          </w:p>
        </w:tc>
        <w:tc>
          <w:tcPr>
            <w:tcW w:w="5719" w:type="dxa"/>
          </w:tcPr>
          <w:p w14:paraId="049D22CF" w14:textId="77777777" w:rsidR="0049414F" w:rsidRPr="00114B8E" w:rsidRDefault="0049414F" w:rsidP="00603E6E">
            <w:pPr>
              <w:rPr>
                <w:rFonts w:asciiTheme="minorHAnsi" w:hAnsiTheme="minorHAnsi" w:cstheme="minorHAnsi"/>
              </w:rPr>
            </w:pPr>
            <w:r>
              <w:rPr>
                <w:rFonts w:asciiTheme="minorHAnsi" w:hAnsiTheme="minorHAnsi" w:cstheme="minorHAnsi"/>
              </w:rPr>
              <w:t>Reporting of Injuries, Diseases and Dangerous Occurrences Regulations</w:t>
            </w:r>
          </w:p>
        </w:tc>
      </w:tr>
      <w:tr w:rsidR="0049414F" w:rsidRPr="00114B8E" w14:paraId="59EB07CA" w14:textId="77777777" w:rsidTr="00603E6E">
        <w:trPr>
          <w:trHeight w:val="432"/>
        </w:trPr>
        <w:tc>
          <w:tcPr>
            <w:tcW w:w="1271" w:type="dxa"/>
          </w:tcPr>
          <w:p w14:paraId="78C951E2"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E575292"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7079476"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RHE</w:t>
            </w:r>
          </w:p>
        </w:tc>
        <w:tc>
          <w:tcPr>
            <w:tcW w:w="5719" w:type="dxa"/>
          </w:tcPr>
          <w:p w14:paraId="58D76282" w14:textId="77777777" w:rsidR="0049414F" w:rsidRPr="00114B8E" w:rsidRDefault="0049414F" w:rsidP="00603E6E">
            <w:pPr>
              <w:rPr>
                <w:rFonts w:asciiTheme="minorHAnsi" w:hAnsiTheme="minorHAnsi" w:cstheme="minorHAnsi"/>
              </w:rPr>
            </w:pPr>
            <w:r>
              <w:rPr>
                <w:rFonts w:asciiTheme="minorHAnsi" w:hAnsiTheme="minorHAnsi" w:cstheme="minorHAnsi"/>
              </w:rPr>
              <w:t>Relationships and Health Education</w:t>
            </w:r>
          </w:p>
        </w:tc>
      </w:tr>
      <w:tr w:rsidR="0049414F" w:rsidRPr="00114B8E" w14:paraId="45CC02DE" w14:textId="77777777" w:rsidTr="00603E6E">
        <w:trPr>
          <w:trHeight w:val="432"/>
        </w:trPr>
        <w:tc>
          <w:tcPr>
            <w:tcW w:w="1271" w:type="dxa"/>
          </w:tcPr>
          <w:p w14:paraId="2896C62C"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3B3D4E24"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9EB91D9"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RSHE</w:t>
            </w:r>
          </w:p>
        </w:tc>
        <w:tc>
          <w:tcPr>
            <w:tcW w:w="5719" w:type="dxa"/>
          </w:tcPr>
          <w:p w14:paraId="1D46F259"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Relationships, Sex and Health Education</w:t>
            </w:r>
          </w:p>
        </w:tc>
      </w:tr>
      <w:tr w:rsidR="0049414F" w:rsidRPr="00114B8E" w14:paraId="603537D6" w14:textId="77777777" w:rsidTr="00603E6E">
        <w:trPr>
          <w:trHeight w:val="432"/>
        </w:trPr>
        <w:tc>
          <w:tcPr>
            <w:tcW w:w="1271" w:type="dxa"/>
          </w:tcPr>
          <w:p w14:paraId="3E96E3E1"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EHE</w:t>
            </w:r>
          </w:p>
        </w:tc>
        <w:tc>
          <w:tcPr>
            <w:tcW w:w="5697" w:type="dxa"/>
          </w:tcPr>
          <w:p w14:paraId="3DB0F16D" w14:textId="77777777" w:rsidR="0049414F" w:rsidRPr="00114B8E" w:rsidRDefault="0049414F" w:rsidP="00603E6E">
            <w:pPr>
              <w:rPr>
                <w:rFonts w:asciiTheme="minorHAnsi" w:hAnsiTheme="minorHAnsi" w:cstheme="minorHAnsi"/>
              </w:rPr>
            </w:pPr>
            <w:r>
              <w:rPr>
                <w:rFonts w:asciiTheme="minorHAnsi" w:hAnsiTheme="minorHAnsi" w:cstheme="minorHAnsi"/>
              </w:rPr>
              <w:t>Elective Home Education</w:t>
            </w:r>
          </w:p>
        </w:tc>
        <w:tc>
          <w:tcPr>
            <w:tcW w:w="1249" w:type="dxa"/>
          </w:tcPr>
          <w:p w14:paraId="482AAF66"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SALT</w:t>
            </w:r>
          </w:p>
        </w:tc>
        <w:tc>
          <w:tcPr>
            <w:tcW w:w="5719" w:type="dxa"/>
          </w:tcPr>
          <w:p w14:paraId="2897BCDD" w14:textId="77777777" w:rsidR="0049414F" w:rsidRPr="00114B8E" w:rsidRDefault="0049414F" w:rsidP="00603E6E">
            <w:pPr>
              <w:rPr>
                <w:rFonts w:asciiTheme="minorHAnsi" w:hAnsiTheme="minorHAnsi" w:cstheme="minorHAnsi"/>
              </w:rPr>
            </w:pPr>
            <w:r>
              <w:rPr>
                <w:rFonts w:asciiTheme="minorHAnsi" w:hAnsiTheme="minorHAnsi" w:cstheme="minorHAnsi"/>
              </w:rPr>
              <w:t>Speech and Language Therapist</w:t>
            </w:r>
          </w:p>
        </w:tc>
      </w:tr>
      <w:tr w:rsidR="0049414F" w:rsidRPr="00114B8E" w14:paraId="07372ADF" w14:textId="77777777" w:rsidTr="00603E6E">
        <w:trPr>
          <w:trHeight w:val="432"/>
        </w:trPr>
        <w:tc>
          <w:tcPr>
            <w:tcW w:w="1271" w:type="dxa"/>
          </w:tcPr>
          <w:p w14:paraId="74ABE681"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ELSA</w:t>
            </w:r>
          </w:p>
        </w:tc>
        <w:tc>
          <w:tcPr>
            <w:tcW w:w="5697" w:type="dxa"/>
          </w:tcPr>
          <w:p w14:paraId="01B6D3EF" w14:textId="77777777" w:rsidR="0049414F" w:rsidRPr="00114B8E" w:rsidRDefault="0049414F" w:rsidP="00603E6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5DED2F0B"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SARC</w:t>
            </w:r>
          </w:p>
        </w:tc>
        <w:tc>
          <w:tcPr>
            <w:tcW w:w="5719" w:type="dxa"/>
          </w:tcPr>
          <w:p w14:paraId="6F32B42E" w14:textId="77777777" w:rsidR="0049414F" w:rsidRPr="00114B8E" w:rsidRDefault="0049414F" w:rsidP="00603E6E">
            <w:pPr>
              <w:rPr>
                <w:rFonts w:asciiTheme="minorHAnsi" w:hAnsiTheme="minorHAnsi" w:cstheme="minorHAnsi"/>
              </w:rPr>
            </w:pPr>
            <w:r>
              <w:rPr>
                <w:rFonts w:asciiTheme="minorHAnsi" w:hAnsiTheme="minorHAnsi" w:cstheme="minorHAnsi"/>
              </w:rPr>
              <w:t>Sexual Assault Referral Centre</w:t>
            </w:r>
          </w:p>
        </w:tc>
      </w:tr>
      <w:tr w:rsidR="0049414F" w:rsidRPr="00114B8E" w14:paraId="43352EE5" w14:textId="77777777" w:rsidTr="00603E6E">
        <w:trPr>
          <w:trHeight w:val="432"/>
        </w:trPr>
        <w:tc>
          <w:tcPr>
            <w:tcW w:w="1271" w:type="dxa"/>
          </w:tcPr>
          <w:p w14:paraId="6A745EB0"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ESFA</w:t>
            </w:r>
          </w:p>
        </w:tc>
        <w:tc>
          <w:tcPr>
            <w:tcW w:w="5697" w:type="dxa"/>
          </w:tcPr>
          <w:p w14:paraId="0D617030"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6E19AAA4"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SBM</w:t>
            </w:r>
          </w:p>
        </w:tc>
        <w:tc>
          <w:tcPr>
            <w:tcW w:w="5719" w:type="dxa"/>
          </w:tcPr>
          <w:p w14:paraId="69B4412C" w14:textId="77777777" w:rsidR="0049414F" w:rsidRPr="00114B8E" w:rsidRDefault="0049414F" w:rsidP="00603E6E">
            <w:pPr>
              <w:rPr>
                <w:rFonts w:asciiTheme="minorHAnsi" w:hAnsiTheme="minorHAnsi" w:cstheme="minorHAnsi"/>
              </w:rPr>
            </w:pPr>
            <w:r>
              <w:rPr>
                <w:rFonts w:asciiTheme="minorHAnsi" w:hAnsiTheme="minorHAnsi" w:cstheme="minorHAnsi"/>
              </w:rPr>
              <w:t>School Business Manager</w:t>
            </w:r>
          </w:p>
        </w:tc>
      </w:tr>
      <w:tr w:rsidR="0049414F" w:rsidRPr="00114B8E" w14:paraId="3DBF7E4D" w14:textId="77777777" w:rsidTr="00603E6E">
        <w:trPr>
          <w:trHeight w:val="432"/>
        </w:trPr>
        <w:tc>
          <w:tcPr>
            <w:tcW w:w="1271" w:type="dxa"/>
          </w:tcPr>
          <w:p w14:paraId="6A54CEF8"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EVC</w:t>
            </w:r>
          </w:p>
        </w:tc>
        <w:tc>
          <w:tcPr>
            <w:tcW w:w="5697" w:type="dxa"/>
          </w:tcPr>
          <w:p w14:paraId="529500BF" w14:textId="77777777" w:rsidR="0049414F" w:rsidRPr="00114B8E" w:rsidRDefault="0049414F" w:rsidP="00603E6E">
            <w:pPr>
              <w:rPr>
                <w:rFonts w:asciiTheme="minorHAnsi" w:hAnsiTheme="minorHAnsi" w:cstheme="minorHAnsi"/>
              </w:rPr>
            </w:pPr>
            <w:r>
              <w:rPr>
                <w:rFonts w:asciiTheme="minorHAnsi" w:hAnsiTheme="minorHAnsi" w:cstheme="minorHAnsi"/>
              </w:rPr>
              <w:t>Educational Visit Coordinator</w:t>
            </w:r>
          </w:p>
        </w:tc>
        <w:tc>
          <w:tcPr>
            <w:tcW w:w="1249" w:type="dxa"/>
          </w:tcPr>
          <w:p w14:paraId="394A7482"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SCCs</w:t>
            </w:r>
          </w:p>
        </w:tc>
        <w:tc>
          <w:tcPr>
            <w:tcW w:w="5719" w:type="dxa"/>
          </w:tcPr>
          <w:p w14:paraId="78645FE3" w14:textId="77777777" w:rsidR="0049414F" w:rsidRPr="00114B8E" w:rsidRDefault="0049414F" w:rsidP="00603E6E">
            <w:pPr>
              <w:rPr>
                <w:rFonts w:asciiTheme="minorHAnsi" w:hAnsiTheme="minorHAnsi" w:cstheme="minorHAnsi"/>
              </w:rPr>
            </w:pPr>
            <w:r>
              <w:rPr>
                <w:rFonts w:asciiTheme="minorHAnsi" w:hAnsiTheme="minorHAnsi" w:cstheme="minorHAnsi"/>
              </w:rPr>
              <w:t>Standard Contractual Clauses</w:t>
            </w:r>
          </w:p>
        </w:tc>
      </w:tr>
      <w:tr w:rsidR="0049414F" w:rsidRPr="00114B8E" w14:paraId="606AD965" w14:textId="77777777" w:rsidTr="00603E6E">
        <w:trPr>
          <w:trHeight w:val="432"/>
        </w:trPr>
        <w:tc>
          <w:tcPr>
            <w:tcW w:w="1271" w:type="dxa"/>
          </w:tcPr>
          <w:p w14:paraId="765D2D1B"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EWO</w:t>
            </w:r>
          </w:p>
        </w:tc>
        <w:tc>
          <w:tcPr>
            <w:tcW w:w="5697" w:type="dxa"/>
          </w:tcPr>
          <w:p w14:paraId="6F985C8B"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43232487"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SDQ</w:t>
            </w:r>
          </w:p>
        </w:tc>
        <w:tc>
          <w:tcPr>
            <w:tcW w:w="5719" w:type="dxa"/>
          </w:tcPr>
          <w:p w14:paraId="363D1567" w14:textId="77777777" w:rsidR="0049414F" w:rsidRPr="00114B8E" w:rsidRDefault="0049414F" w:rsidP="00603E6E">
            <w:pPr>
              <w:rPr>
                <w:rFonts w:asciiTheme="minorHAnsi" w:hAnsiTheme="minorHAnsi" w:cstheme="minorHAnsi"/>
              </w:rPr>
            </w:pPr>
            <w:r>
              <w:rPr>
                <w:rFonts w:asciiTheme="minorHAnsi" w:hAnsiTheme="minorHAnsi" w:cstheme="minorHAnsi"/>
              </w:rPr>
              <w:t>Strengths and Difficulties Questionnaire</w:t>
            </w:r>
          </w:p>
        </w:tc>
      </w:tr>
      <w:tr w:rsidR="0049414F" w:rsidRPr="00114B8E" w14:paraId="7D5A7E27" w14:textId="77777777" w:rsidTr="00603E6E">
        <w:trPr>
          <w:trHeight w:val="432"/>
        </w:trPr>
        <w:tc>
          <w:tcPr>
            <w:tcW w:w="1271" w:type="dxa"/>
          </w:tcPr>
          <w:p w14:paraId="7E22F4BE"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EYFS</w:t>
            </w:r>
          </w:p>
        </w:tc>
        <w:tc>
          <w:tcPr>
            <w:tcW w:w="5697" w:type="dxa"/>
          </w:tcPr>
          <w:p w14:paraId="1E14234C"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59AE145"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SEMH</w:t>
            </w:r>
          </w:p>
        </w:tc>
        <w:tc>
          <w:tcPr>
            <w:tcW w:w="5719" w:type="dxa"/>
          </w:tcPr>
          <w:p w14:paraId="21C0D28F" w14:textId="77777777" w:rsidR="0049414F" w:rsidRPr="00114B8E" w:rsidRDefault="0049414F" w:rsidP="00603E6E">
            <w:pPr>
              <w:rPr>
                <w:rFonts w:asciiTheme="minorHAnsi" w:hAnsiTheme="minorHAnsi" w:cstheme="minorHAnsi"/>
              </w:rPr>
            </w:pPr>
            <w:r w:rsidRPr="00635744">
              <w:rPr>
                <w:rFonts w:asciiTheme="minorHAnsi" w:hAnsiTheme="minorHAnsi" w:cstheme="minorHAnsi"/>
              </w:rPr>
              <w:t>Social, Emotional, and Mental Health</w:t>
            </w:r>
          </w:p>
        </w:tc>
      </w:tr>
      <w:tr w:rsidR="0049414F" w:rsidRPr="00114B8E" w14:paraId="35EE8B44" w14:textId="77777777" w:rsidTr="00603E6E">
        <w:trPr>
          <w:trHeight w:val="432"/>
        </w:trPr>
        <w:tc>
          <w:tcPr>
            <w:tcW w:w="1271" w:type="dxa"/>
          </w:tcPr>
          <w:p w14:paraId="13A6A5F1"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FBV</w:t>
            </w:r>
          </w:p>
        </w:tc>
        <w:tc>
          <w:tcPr>
            <w:tcW w:w="5697" w:type="dxa"/>
          </w:tcPr>
          <w:p w14:paraId="7B38C71E" w14:textId="77777777" w:rsidR="0049414F" w:rsidRPr="00114B8E" w:rsidRDefault="0049414F" w:rsidP="00603E6E">
            <w:pPr>
              <w:rPr>
                <w:rFonts w:asciiTheme="minorHAnsi" w:hAnsiTheme="minorHAnsi" w:cstheme="minorHAnsi"/>
              </w:rPr>
            </w:pPr>
            <w:r>
              <w:rPr>
                <w:rFonts w:asciiTheme="minorHAnsi" w:hAnsiTheme="minorHAnsi" w:cstheme="minorHAnsi"/>
              </w:rPr>
              <w:t>Fundamental British Values</w:t>
            </w:r>
          </w:p>
        </w:tc>
        <w:tc>
          <w:tcPr>
            <w:tcW w:w="1249" w:type="dxa"/>
          </w:tcPr>
          <w:p w14:paraId="4C3BCF6C"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SENCO</w:t>
            </w:r>
          </w:p>
        </w:tc>
        <w:tc>
          <w:tcPr>
            <w:tcW w:w="5719" w:type="dxa"/>
          </w:tcPr>
          <w:p w14:paraId="2D913016" w14:textId="77777777" w:rsidR="0049414F" w:rsidRPr="00114B8E" w:rsidRDefault="0049414F" w:rsidP="00603E6E">
            <w:pPr>
              <w:rPr>
                <w:rFonts w:asciiTheme="minorHAnsi" w:hAnsiTheme="minorHAnsi" w:cstheme="minorHAnsi"/>
              </w:rPr>
            </w:pPr>
            <w:r w:rsidRPr="00635744">
              <w:rPr>
                <w:rFonts w:asciiTheme="minorHAnsi" w:hAnsiTheme="minorHAnsi" w:cstheme="minorHAnsi"/>
              </w:rPr>
              <w:t>Special Educational Needs Coordinator</w:t>
            </w:r>
          </w:p>
        </w:tc>
      </w:tr>
      <w:tr w:rsidR="0049414F" w:rsidRPr="00114B8E" w14:paraId="0CB83D8B" w14:textId="77777777" w:rsidTr="00603E6E">
        <w:trPr>
          <w:trHeight w:val="432"/>
        </w:trPr>
        <w:tc>
          <w:tcPr>
            <w:tcW w:w="1271" w:type="dxa"/>
          </w:tcPr>
          <w:p w14:paraId="1B61904A"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FGM</w:t>
            </w:r>
          </w:p>
        </w:tc>
        <w:tc>
          <w:tcPr>
            <w:tcW w:w="5697" w:type="dxa"/>
          </w:tcPr>
          <w:p w14:paraId="08E91F88"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726B642B"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SEND</w:t>
            </w:r>
          </w:p>
        </w:tc>
        <w:tc>
          <w:tcPr>
            <w:tcW w:w="5719" w:type="dxa"/>
          </w:tcPr>
          <w:p w14:paraId="1CEEB591"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Special Educational Needs and Disabilities</w:t>
            </w:r>
          </w:p>
        </w:tc>
      </w:tr>
      <w:tr w:rsidR="0049414F" w:rsidRPr="00114B8E" w14:paraId="26B46E26" w14:textId="77777777" w:rsidTr="00603E6E">
        <w:trPr>
          <w:trHeight w:val="432"/>
        </w:trPr>
        <w:tc>
          <w:tcPr>
            <w:tcW w:w="1271" w:type="dxa"/>
          </w:tcPr>
          <w:p w14:paraId="131DA403"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FOI</w:t>
            </w:r>
          </w:p>
        </w:tc>
        <w:tc>
          <w:tcPr>
            <w:tcW w:w="5697" w:type="dxa"/>
          </w:tcPr>
          <w:p w14:paraId="7329C880"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24FDC64C"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SLA’s</w:t>
            </w:r>
          </w:p>
        </w:tc>
        <w:tc>
          <w:tcPr>
            <w:tcW w:w="5719" w:type="dxa"/>
          </w:tcPr>
          <w:p w14:paraId="36AD0563" w14:textId="77777777" w:rsidR="0049414F" w:rsidRPr="00114B8E" w:rsidRDefault="0049414F" w:rsidP="00603E6E">
            <w:pPr>
              <w:rPr>
                <w:rFonts w:asciiTheme="minorHAnsi" w:hAnsiTheme="minorHAnsi" w:cstheme="minorHAnsi"/>
              </w:rPr>
            </w:pPr>
            <w:r>
              <w:rPr>
                <w:rFonts w:asciiTheme="minorHAnsi" w:hAnsiTheme="minorHAnsi" w:cstheme="minorHAnsi"/>
              </w:rPr>
              <w:t>Service Level Agreements</w:t>
            </w:r>
          </w:p>
        </w:tc>
      </w:tr>
      <w:tr w:rsidR="0049414F" w:rsidRPr="00114B8E" w14:paraId="2F9B6803" w14:textId="77777777" w:rsidTr="00603E6E">
        <w:trPr>
          <w:trHeight w:val="432"/>
        </w:trPr>
        <w:tc>
          <w:tcPr>
            <w:tcW w:w="1271" w:type="dxa"/>
          </w:tcPr>
          <w:p w14:paraId="72F270B5"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FSM</w:t>
            </w:r>
          </w:p>
        </w:tc>
        <w:tc>
          <w:tcPr>
            <w:tcW w:w="5697" w:type="dxa"/>
          </w:tcPr>
          <w:p w14:paraId="59DAC5D7"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Free School Meals</w:t>
            </w:r>
          </w:p>
        </w:tc>
        <w:tc>
          <w:tcPr>
            <w:tcW w:w="1249" w:type="dxa"/>
          </w:tcPr>
          <w:p w14:paraId="38E4AD23"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STEM</w:t>
            </w:r>
          </w:p>
        </w:tc>
        <w:tc>
          <w:tcPr>
            <w:tcW w:w="5719" w:type="dxa"/>
          </w:tcPr>
          <w:p w14:paraId="37D2DE00" w14:textId="77777777" w:rsidR="0049414F" w:rsidRPr="00114B8E" w:rsidRDefault="0049414F" w:rsidP="00603E6E">
            <w:pPr>
              <w:rPr>
                <w:rFonts w:asciiTheme="minorHAnsi" w:hAnsiTheme="minorHAnsi" w:cstheme="minorHAnsi"/>
              </w:rPr>
            </w:pPr>
            <w:r>
              <w:rPr>
                <w:rFonts w:asciiTheme="minorHAnsi" w:hAnsiTheme="minorHAnsi" w:cstheme="minorHAnsi"/>
              </w:rPr>
              <w:t>Science, Technology, Engineering and Maths</w:t>
            </w:r>
          </w:p>
        </w:tc>
      </w:tr>
      <w:tr w:rsidR="0049414F" w:rsidRPr="00114B8E" w14:paraId="1C9480B1" w14:textId="77777777" w:rsidTr="00603E6E">
        <w:trPr>
          <w:trHeight w:val="432"/>
        </w:trPr>
        <w:tc>
          <w:tcPr>
            <w:tcW w:w="1271" w:type="dxa"/>
          </w:tcPr>
          <w:p w14:paraId="77F215E6"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FTS</w:t>
            </w:r>
          </w:p>
        </w:tc>
        <w:tc>
          <w:tcPr>
            <w:tcW w:w="5697" w:type="dxa"/>
          </w:tcPr>
          <w:p w14:paraId="1D3F1E74" w14:textId="77777777" w:rsidR="0049414F" w:rsidRPr="00114B8E" w:rsidRDefault="0049414F" w:rsidP="00603E6E">
            <w:pPr>
              <w:rPr>
                <w:rFonts w:asciiTheme="minorHAnsi" w:hAnsiTheme="minorHAnsi" w:cstheme="minorHAnsi"/>
              </w:rPr>
            </w:pPr>
            <w:r>
              <w:rPr>
                <w:rFonts w:asciiTheme="minorHAnsi" w:hAnsiTheme="minorHAnsi" w:cstheme="minorHAnsi"/>
              </w:rPr>
              <w:t>Find a Tender Service</w:t>
            </w:r>
          </w:p>
        </w:tc>
        <w:tc>
          <w:tcPr>
            <w:tcW w:w="1249" w:type="dxa"/>
          </w:tcPr>
          <w:p w14:paraId="19801266"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TA</w:t>
            </w:r>
          </w:p>
        </w:tc>
        <w:tc>
          <w:tcPr>
            <w:tcW w:w="5719" w:type="dxa"/>
          </w:tcPr>
          <w:p w14:paraId="614E86C1" w14:textId="77777777" w:rsidR="0049414F" w:rsidRPr="00114B8E" w:rsidRDefault="0049414F" w:rsidP="00603E6E">
            <w:pPr>
              <w:rPr>
                <w:rFonts w:asciiTheme="minorHAnsi" w:hAnsiTheme="minorHAnsi" w:cstheme="minorHAnsi"/>
              </w:rPr>
            </w:pPr>
            <w:r>
              <w:rPr>
                <w:rFonts w:asciiTheme="minorHAnsi" w:hAnsiTheme="minorHAnsi" w:cstheme="minorHAnsi"/>
              </w:rPr>
              <w:t>Teaching Assistant</w:t>
            </w:r>
          </w:p>
        </w:tc>
      </w:tr>
      <w:tr w:rsidR="0049414F" w:rsidRPr="00114B8E" w14:paraId="2FB2EBFE" w14:textId="77777777" w:rsidTr="00603E6E">
        <w:trPr>
          <w:trHeight w:val="432"/>
        </w:trPr>
        <w:tc>
          <w:tcPr>
            <w:tcW w:w="1271" w:type="dxa"/>
          </w:tcPr>
          <w:p w14:paraId="0819D355"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GAG</w:t>
            </w:r>
          </w:p>
        </w:tc>
        <w:tc>
          <w:tcPr>
            <w:tcW w:w="5697" w:type="dxa"/>
          </w:tcPr>
          <w:p w14:paraId="61CD0CDD" w14:textId="77777777" w:rsidR="0049414F" w:rsidRPr="00114B8E" w:rsidRDefault="0049414F" w:rsidP="00603E6E">
            <w:pPr>
              <w:rPr>
                <w:rFonts w:asciiTheme="minorHAnsi" w:hAnsiTheme="minorHAnsi" w:cstheme="minorHAnsi"/>
              </w:rPr>
            </w:pPr>
            <w:r>
              <w:rPr>
                <w:rFonts w:asciiTheme="minorHAnsi" w:hAnsiTheme="minorHAnsi" w:cstheme="minorHAnsi"/>
              </w:rPr>
              <w:t>General Annual Grant</w:t>
            </w:r>
          </w:p>
        </w:tc>
        <w:tc>
          <w:tcPr>
            <w:tcW w:w="1249" w:type="dxa"/>
          </w:tcPr>
          <w:p w14:paraId="127361D7"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TCAT</w:t>
            </w:r>
          </w:p>
        </w:tc>
        <w:tc>
          <w:tcPr>
            <w:tcW w:w="5719" w:type="dxa"/>
          </w:tcPr>
          <w:p w14:paraId="6F7D29A1"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Three Counties Academy Trust</w:t>
            </w:r>
          </w:p>
        </w:tc>
      </w:tr>
      <w:tr w:rsidR="0049414F" w:rsidRPr="00114B8E" w14:paraId="291D64BE" w14:textId="77777777" w:rsidTr="00603E6E">
        <w:trPr>
          <w:trHeight w:val="432"/>
        </w:trPr>
        <w:tc>
          <w:tcPr>
            <w:tcW w:w="1271" w:type="dxa"/>
          </w:tcPr>
          <w:p w14:paraId="7E143554"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GDPR</w:t>
            </w:r>
          </w:p>
        </w:tc>
        <w:tc>
          <w:tcPr>
            <w:tcW w:w="5697" w:type="dxa"/>
          </w:tcPr>
          <w:p w14:paraId="684ED159"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32C22AA9" w14:textId="77777777" w:rsidR="0049414F" w:rsidRPr="00114B8E" w:rsidRDefault="0049414F" w:rsidP="00603E6E">
            <w:pPr>
              <w:rPr>
                <w:rFonts w:asciiTheme="minorHAnsi" w:hAnsiTheme="minorHAnsi" w:cstheme="minorHAnsi"/>
                <w:b/>
                <w:bCs/>
              </w:rPr>
            </w:pPr>
            <w:r w:rsidRPr="00114B8E">
              <w:rPr>
                <w:rFonts w:asciiTheme="minorHAnsi" w:hAnsiTheme="minorHAnsi" w:cstheme="minorHAnsi"/>
                <w:b/>
                <w:bCs/>
              </w:rPr>
              <w:t>VSH</w:t>
            </w:r>
          </w:p>
        </w:tc>
        <w:tc>
          <w:tcPr>
            <w:tcW w:w="5719" w:type="dxa"/>
          </w:tcPr>
          <w:p w14:paraId="5DEB5B60" w14:textId="77777777" w:rsidR="0049414F" w:rsidRPr="00114B8E" w:rsidRDefault="0049414F" w:rsidP="00603E6E">
            <w:pPr>
              <w:rPr>
                <w:rFonts w:asciiTheme="minorHAnsi" w:hAnsiTheme="minorHAnsi" w:cstheme="minorHAnsi"/>
              </w:rPr>
            </w:pPr>
            <w:r w:rsidRPr="00114B8E">
              <w:rPr>
                <w:rFonts w:asciiTheme="minorHAnsi" w:hAnsiTheme="minorHAnsi" w:cstheme="minorHAnsi"/>
              </w:rPr>
              <w:t>Virtual School Headteacher</w:t>
            </w:r>
          </w:p>
        </w:tc>
      </w:tr>
      <w:tr w:rsidR="0049414F" w:rsidRPr="00114B8E" w14:paraId="53E2BC2C" w14:textId="77777777" w:rsidTr="00603E6E">
        <w:trPr>
          <w:trHeight w:val="432"/>
        </w:trPr>
        <w:tc>
          <w:tcPr>
            <w:tcW w:w="1271" w:type="dxa"/>
          </w:tcPr>
          <w:p w14:paraId="67AE91F5"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GIAS</w:t>
            </w:r>
          </w:p>
        </w:tc>
        <w:tc>
          <w:tcPr>
            <w:tcW w:w="5697" w:type="dxa"/>
          </w:tcPr>
          <w:p w14:paraId="2F22420A" w14:textId="77777777" w:rsidR="0049414F" w:rsidRPr="00114B8E" w:rsidRDefault="0049414F" w:rsidP="00603E6E">
            <w:pPr>
              <w:rPr>
                <w:rFonts w:asciiTheme="minorHAnsi" w:hAnsiTheme="minorHAnsi" w:cstheme="minorHAnsi"/>
              </w:rPr>
            </w:pPr>
            <w:r>
              <w:rPr>
                <w:rFonts w:asciiTheme="minorHAnsi" w:hAnsiTheme="minorHAnsi" w:cstheme="minorHAnsi"/>
              </w:rPr>
              <w:t>Get Information about Schools</w:t>
            </w:r>
          </w:p>
        </w:tc>
        <w:tc>
          <w:tcPr>
            <w:tcW w:w="1249" w:type="dxa"/>
          </w:tcPr>
          <w:p w14:paraId="504C51E6" w14:textId="77777777" w:rsidR="0049414F" w:rsidRPr="00114B8E" w:rsidRDefault="0049414F" w:rsidP="00603E6E">
            <w:pPr>
              <w:rPr>
                <w:rFonts w:asciiTheme="minorHAnsi" w:hAnsiTheme="minorHAnsi" w:cstheme="minorHAnsi"/>
                <w:b/>
                <w:bCs/>
              </w:rPr>
            </w:pPr>
          </w:p>
        </w:tc>
        <w:tc>
          <w:tcPr>
            <w:tcW w:w="5719" w:type="dxa"/>
          </w:tcPr>
          <w:p w14:paraId="1AEEBD59" w14:textId="77777777" w:rsidR="0049414F" w:rsidRPr="00114B8E" w:rsidRDefault="0049414F" w:rsidP="00603E6E">
            <w:pPr>
              <w:rPr>
                <w:rFonts w:asciiTheme="minorHAnsi" w:hAnsiTheme="minorHAnsi" w:cstheme="minorHAnsi"/>
              </w:rPr>
            </w:pPr>
          </w:p>
        </w:tc>
      </w:tr>
      <w:tr w:rsidR="0049414F" w:rsidRPr="00114B8E" w14:paraId="732C2DF2" w14:textId="77777777" w:rsidTr="00603E6E">
        <w:trPr>
          <w:trHeight w:val="432"/>
        </w:trPr>
        <w:tc>
          <w:tcPr>
            <w:tcW w:w="1271" w:type="dxa"/>
          </w:tcPr>
          <w:p w14:paraId="3C59D0B5" w14:textId="77777777" w:rsidR="0049414F" w:rsidRPr="00114B8E" w:rsidRDefault="0049414F" w:rsidP="00603E6E">
            <w:pPr>
              <w:rPr>
                <w:rFonts w:asciiTheme="minorHAnsi" w:hAnsiTheme="minorHAnsi" w:cstheme="minorHAnsi"/>
                <w:b/>
                <w:bCs/>
              </w:rPr>
            </w:pPr>
            <w:r>
              <w:rPr>
                <w:rFonts w:asciiTheme="minorHAnsi" w:hAnsiTheme="minorHAnsi" w:cstheme="minorHAnsi"/>
                <w:b/>
                <w:bCs/>
              </w:rPr>
              <w:t>GPA</w:t>
            </w:r>
          </w:p>
        </w:tc>
        <w:tc>
          <w:tcPr>
            <w:tcW w:w="5697" w:type="dxa"/>
          </w:tcPr>
          <w:p w14:paraId="5CA878BC" w14:textId="77777777" w:rsidR="0049414F" w:rsidRPr="00114B8E" w:rsidRDefault="0049414F" w:rsidP="00603E6E">
            <w:pPr>
              <w:rPr>
                <w:rFonts w:asciiTheme="minorHAnsi" w:hAnsiTheme="minorHAnsi" w:cstheme="minorHAnsi"/>
              </w:rPr>
            </w:pPr>
            <w:r>
              <w:rPr>
                <w:rFonts w:asciiTheme="minorHAnsi" w:hAnsiTheme="minorHAnsi" w:cstheme="minorHAnsi"/>
              </w:rPr>
              <w:t>Government Procurement Arrangement</w:t>
            </w:r>
          </w:p>
        </w:tc>
        <w:tc>
          <w:tcPr>
            <w:tcW w:w="1249" w:type="dxa"/>
          </w:tcPr>
          <w:p w14:paraId="462C9AFD" w14:textId="77777777" w:rsidR="0049414F" w:rsidRPr="00114B8E" w:rsidRDefault="0049414F" w:rsidP="00603E6E">
            <w:pPr>
              <w:rPr>
                <w:rFonts w:asciiTheme="minorHAnsi" w:hAnsiTheme="minorHAnsi" w:cstheme="minorHAnsi"/>
                <w:b/>
                <w:bCs/>
              </w:rPr>
            </w:pPr>
          </w:p>
        </w:tc>
        <w:tc>
          <w:tcPr>
            <w:tcW w:w="5719" w:type="dxa"/>
          </w:tcPr>
          <w:p w14:paraId="3842BBD2" w14:textId="77777777" w:rsidR="0049414F" w:rsidRPr="00114B8E" w:rsidRDefault="0049414F" w:rsidP="00603E6E">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1CF2B516" w14:textId="77777777" w:rsidR="0049414F" w:rsidRDefault="0049414F"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43603869" w14:textId="6B95B2BE" w:rsidR="00BF3F57" w:rsidRPr="00CD300B" w:rsidRDefault="00A23725" w:rsidP="00BE3E65">
      <w:pPr>
        <w:rPr>
          <w:b/>
          <w:bCs/>
          <w:sz w:val="28"/>
          <w:szCs w:val="28"/>
        </w:rPr>
      </w:pPr>
      <w:r w:rsidRPr="00CD300B">
        <w:rPr>
          <w:b/>
          <w:bCs/>
          <w:sz w:val="28"/>
          <w:szCs w:val="28"/>
        </w:rPr>
        <w:lastRenderedPageBreak/>
        <w:t>Statement of intent</w:t>
      </w:r>
    </w:p>
    <w:p w14:paraId="131BBF7C" w14:textId="77777777" w:rsidR="000A6B28" w:rsidRDefault="000A6B28" w:rsidP="000A6B28">
      <w:r w:rsidRPr="00331027">
        <w:t xml:space="preserve">A </w:t>
      </w:r>
      <w:r>
        <w:t>subject access request (SAR)</w:t>
      </w:r>
      <w:r w:rsidRPr="00331027">
        <w:t xml:space="preserve"> is a request made by</w:t>
      </w:r>
      <w:r>
        <w:t>,</w:t>
      </w:r>
      <w:r w:rsidRPr="00331027">
        <w:t xml:space="preserve"> or on behalf of</w:t>
      </w:r>
      <w:r>
        <w:t>,</w:t>
      </w:r>
      <w:r w:rsidRPr="00331027">
        <w:t xml:space="preserve"> an individual for the information which they are entitled to ask for under Article 15 of the UK GDPR.</w:t>
      </w:r>
      <w:r>
        <w:t xml:space="preserve"> At Three Counties Academy Trust (TCAT), we are committed to upholding the right of individuals </w:t>
      </w:r>
      <w:r w:rsidRPr="00904EB7">
        <w:t>to obtain a copy of their personal data, as well as other supplementary information</w:t>
      </w:r>
      <w:r>
        <w:t>, to provide transparency in how</w:t>
      </w:r>
      <w:r w:rsidRPr="00904EB7">
        <w:t xml:space="preserve"> </w:t>
      </w:r>
      <w:r>
        <w:t>and why our trust and schools use such data. This policy sets out how TCAT will:</w:t>
      </w:r>
    </w:p>
    <w:p w14:paraId="2A8DA6E1" w14:textId="77777777" w:rsidR="000A6B28" w:rsidRDefault="000A6B28" w:rsidP="000A6B28">
      <w:pPr>
        <w:pStyle w:val="ListParagraph"/>
        <w:numPr>
          <w:ilvl w:val="0"/>
          <w:numId w:val="30"/>
        </w:numPr>
      </w:pPr>
      <w:r>
        <w:t>Recognise and respond to SARs</w:t>
      </w:r>
    </w:p>
    <w:p w14:paraId="1747CD5F" w14:textId="77777777" w:rsidR="000A6B28" w:rsidRDefault="000A6B28" w:rsidP="000A6B28">
      <w:pPr>
        <w:pStyle w:val="ListParagraph"/>
        <w:numPr>
          <w:ilvl w:val="0"/>
          <w:numId w:val="30"/>
        </w:numPr>
      </w:pPr>
      <w:r>
        <w:t>Provide the information requested</w:t>
      </w:r>
    </w:p>
    <w:p w14:paraId="389E81DD" w14:textId="77777777" w:rsidR="000A6B28" w:rsidRDefault="000A6B28" w:rsidP="000A6B28">
      <w:pPr>
        <w:pStyle w:val="ListParagraph"/>
        <w:numPr>
          <w:ilvl w:val="0"/>
          <w:numId w:val="30"/>
        </w:numPr>
      </w:pPr>
      <w:r>
        <w:t>Always consider pupil wellbeing</w:t>
      </w:r>
    </w:p>
    <w:p w14:paraId="33E8D8A6" w14:textId="77777777" w:rsidR="000A6B28" w:rsidRDefault="000A6B28" w:rsidP="000A6B28">
      <w:pPr>
        <w:pStyle w:val="ListParagraph"/>
        <w:numPr>
          <w:ilvl w:val="0"/>
          <w:numId w:val="30"/>
        </w:numPr>
      </w:pPr>
      <w:r>
        <w:t>Refuse requests, where appropriate</w:t>
      </w:r>
    </w:p>
    <w:p w14:paraId="363A3093" w14:textId="7BC65A86" w:rsidR="000A6B28" w:rsidRDefault="000A6B28" w:rsidP="000A6B28">
      <w:r>
        <w:t xml:space="preserve">Routine verbal enquiries and correspondence that covers information that is provided routinely and can be managed quickly in the normal course of TCAT or a TCAT school’s business, e.g. a request by a staff member to see their employment contract, are not considered to be SARs and are not considered under this policy. </w:t>
      </w:r>
    </w:p>
    <w:p w14:paraId="06CC1839" w14:textId="20CD46B8" w:rsidR="000A6B28" w:rsidRPr="000A6B28" w:rsidRDefault="000A6B28" w:rsidP="000A6B28">
      <w:pPr>
        <w:rPr>
          <w:b/>
          <w:bCs/>
        </w:rPr>
        <w:sectPr w:rsidR="000A6B28" w:rsidRPr="000A6B28" w:rsidSect="000A6B28">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F370D1">
        <w:rPr>
          <w:b/>
          <w:bCs/>
        </w:rPr>
        <w:t>NB. Where the term “parent” or “parents” is used this includes those who act as carers or have parental responsibility</w:t>
      </w:r>
    </w:p>
    <w:p w14:paraId="1296CE72" w14:textId="3A07FBF6" w:rsidR="00FE20CC" w:rsidRPr="00CD300B" w:rsidRDefault="00FE20CC" w:rsidP="000377EA">
      <w:pPr>
        <w:pStyle w:val="Heading10"/>
      </w:pPr>
      <w:r w:rsidRPr="00CD300B">
        <w:lastRenderedPageBreak/>
        <w:t>Legal framework</w:t>
      </w:r>
    </w:p>
    <w:p w14:paraId="3E7AA436" w14:textId="77777777" w:rsidR="00FE20CC" w:rsidRPr="00CD300B" w:rsidRDefault="00FE20CC" w:rsidP="00FE20CC">
      <w:r w:rsidRPr="00CD300B">
        <w:t xml:space="preserve">This policy has due regard to all relevant legislation and statutory guidance including, but not limited to, the following: </w:t>
      </w:r>
    </w:p>
    <w:p w14:paraId="03D62D1D" w14:textId="77777777" w:rsidR="000A6B28" w:rsidRDefault="000A6B28" w:rsidP="000A6B28">
      <w:pPr>
        <w:pStyle w:val="ListParagraph"/>
        <w:numPr>
          <w:ilvl w:val="0"/>
          <w:numId w:val="8"/>
        </w:numPr>
      </w:pPr>
      <w:r>
        <w:t>Data Protection Act 2018</w:t>
      </w:r>
    </w:p>
    <w:p w14:paraId="4A8D702D" w14:textId="0F628F38" w:rsidR="000A6B28" w:rsidRDefault="000A6B28" w:rsidP="000A6B28">
      <w:pPr>
        <w:pStyle w:val="ListParagraph"/>
        <w:numPr>
          <w:ilvl w:val="0"/>
          <w:numId w:val="8"/>
        </w:numPr>
      </w:pPr>
      <w:r>
        <w:t>DfE ‘Data protection in schools’</w:t>
      </w:r>
    </w:p>
    <w:p w14:paraId="2F15427E" w14:textId="77777777" w:rsidR="000A6B28" w:rsidRDefault="000A6B28" w:rsidP="000A6B28">
      <w:pPr>
        <w:pStyle w:val="ListParagraph"/>
        <w:numPr>
          <w:ilvl w:val="0"/>
          <w:numId w:val="8"/>
        </w:numPr>
      </w:pPr>
      <w:r>
        <w:t>UK GDPR</w:t>
      </w:r>
    </w:p>
    <w:p w14:paraId="3C574B44" w14:textId="77777777" w:rsidR="00FE20CC" w:rsidRPr="00CD300B"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B82B3FB" w14:textId="003F708A" w:rsidR="0009755A" w:rsidRPr="00AC045B" w:rsidRDefault="00FE20CC" w:rsidP="00FE20CC">
      <w:r w:rsidRPr="00AC045B">
        <w:t>This policy operates in conjunction with the following policies:</w:t>
      </w:r>
    </w:p>
    <w:p w14:paraId="6E95E9F0" w14:textId="3FE8B667" w:rsidR="000A6B28" w:rsidRDefault="000A6B28" w:rsidP="000A6B28">
      <w:pPr>
        <w:pStyle w:val="ListParagraph"/>
        <w:numPr>
          <w:ilvl w:val="0"/>
          <w:numId w:val="8"/>
        </w:numPr>
      </w:pPr>
      <w:r>
        <w:t>Data Protection Policy</w:t>
      </w:r>
      <w:r w:rsidR="0009755A">
        <w:t xml:space="preserve"> (FI20)</w:t>
      </w:r>
    </w:p>
    <w:p w14:paraId="083C9952" w14:textId="202F21F6" w:rsidR="000A6B28" w:rsidRDefault="000A6B28" w:rsidP="000A6B28">
      <w:pPr>
        <w:pStyle w:val="ListParagraph"/>
        <w:numPr>
          <w:ilvl w:val="0"/>
          <w:numId w:val="8"/>
        </w:numPr>
      </w:pPr>
      <w:r>
        <w:t>Freedom of Information Policy</w:t>
      </w:r>
      <w:r w:rsidR="0009755A">
        <w:t xml:space="preserve"> (FI10)</w:t>
      </w:r>
    </w:p>
    <w:p w14:paraId="17D29F74" w14:textId="1875AB0F" w:rsidR="000A6B28" w:rsidRDefault="000A6B28" w:rsidP="000A6B28">
      <w:pPr>
        <w:pStyle w:val="ListParagraph"/>
        <w:numPr>
          <w:ilvl w:val="0"/>
          <w:numId w:val="8"/>
        </w:numPr>
      </w:pPr>
      <w:r>
        <w:t>Records Management Policy</w:t>
      </w:r>
      <w:r w:rsidR="0009755A">
        <w:t xml:space="preserve"> (FI2)</w:t>
      </w:r>
    </w:p>
    <w:p w14:paraId="370FBDC7" w14:textId="698CC3C9" w:rsidR="0009755A" w:rsidRPr="00AC045B" w:rsidRDefault="0009755A" w:rsidP="0009755A">
      <w:r>
        <w:t>And</w:t>
      </w:r>
      <w:r w:rsidRPr="00AC045B">
        <w:t xml:space="preserve"> with the following </w:t>
      </w:r>
      <w:r>
        <w:t>documents</w:t>
      </w:r>
      <w:r w:rsidRPr="00AC045B">
        <w:t>:</w:t>
      </w:r>
    </w:p>
    <w:p w14:paraId="0CAF145A" w14:textId="4AAC9FB1" w:rsidR="0009755A" w:rsidRDefault="0009755A" w:rsidP="0009755A">
      <w:pPr>
        <w:pStyle w:val="ListParagraph"/>
        <w:numPr>
          <w:ilvl w:val="0"/>
          <w:numId w:val="8"/>
        </w:numPr>
      </w:pPr>
      <w:r>
        <w:t>Data Asset Register</w:t>
      </w:r>
    </w:p>
    <w:p w14:paraId="081C2413" w14:textId="77777777" w:rsidR="00FE20CC" w:rsidRPr="00DE42DB"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3AA0ACF7" w14:textId="000A727C" w:rsidR="00FE20CC" w:rsidRPr="00DE42DB" w:rsidRDefault="00A867FF" w:rsidP="000377EA">
      <w:pPr>
        <w:pStyle w:val="Heading10"/>
      </w:pPr>
      <w:r>
        <w:t>Roles and responsibilities</w:t>
      </w:r>
    </w:p>
    <w:p w14:paraId="2E747C8C" w14:textId="77777777" w:rsidR="000A6B28" w:rsidRDefault="000A6B28" w:rsidP="000A6B28">
      <w:r>
        <w:t>The Trust Board will be responsible for:</w:t>
      </w:r>
    </w:p>
    <w:p w14:paraId="45DAD2E9" w14:textId="77777777" w:rsidR="000A6B28" w:rsidRDefault="000A6B28" w:rsidP="000A6B28">
      <w:pPr>
        <w:pStyle w:val="ListParagraph"/>
        <w:numPr>
          <w:ilvl w:val="0"/>
          <w:numId w:val="8"/>
        </w:numPr>
      </w:pPr>
      <w:r>
        <w:t>Ensuring each TCAT school respects the rights of individuals to obtain copies of their personal information</w:t>
      </w:r>
    </w:p>
    <w:p w14:paraId="76DA1C7E" w14:textId="77777777" w:rsidR="000A6B28" w:rsidRDefault="000A6B28" w:rsidP="000A6B28">
      <w:pPr>
        <w:pStyle w:val="ListParagraph"/>
        <w:numPr>
          <w:ilvl w:val="0"/>
          <w:numId w:val="8"/>
        </w:numPr>
      </w:pPr>
      <w:r>
        <w:t>Ensuring the trust obtains legal advice as required when handling SARs</w:t>
      </w:r>
    </w:p>
    <w:p w14:paraId="07D25ECC" w14:textId="77777777" w:rsidR="0009755A" w:rsidRDefault="0009755A" w:rsidP="000A6B28"/>
    <w:p w14:paraId="2E146188" w14:textId="77777777" w:rsidR="005F3016" w:rsidRDefault="005F3016" w:rsidP="005F3016">
      <w:r>
        <w:lastRenderedPageBreak/>
        <w:t>The Data Protection Officer (DPO) or where the DPO is externally sourced, the Executive Headteacher/CEO will be responsible for:</w:t>
      </w:r>
    </w:p>
    <w:p w14:paraId="5EEE6D87" w14:textId="77777777" w:rsidR="005F3016" w:rsidRDefault="005F3016" w:rsidP="005F3016">
      <w:pPr>
        <w:pStyle w:val="ListParagraph"/>
        <w:numPr>
          <w:ilvl w:val="0"/>
          <w:numId w:val="8"/>
        </w:numPr>
      </w:pPr>
      <w:r>
        <w:t>Overseeing the management of all SARs received by TCAT</w:t>
      </w:r>
    </w:p>
    <w:p w14:paraId="7738050B" w14:textId="77777777" w:rsidR="005F3016" w:rsidRDefault="005F3016" w:rsidP="005F3016">
      <w:pPr>
        <w:pStyle w:val="ListParagraph"/>
        <w:numPr>
          <w:ilvl w:val="0"/>
          <w:numId w:val="8"/>
        </w:numPr>
      </w:pPr>
      <w:r>
        <w:t>Ensuring all staff understand how to recognise a SAR</w:t>
      </w:r>
    </w:p>
    <w:p w14:paraId="7BECCD0C" w14:textId="3B266704" w:rsidR="005F3016" w:rsidRDefault="005F3016" w:rsidP="005F3016">
      <w:pPr>
        <w:pStyle w:val="ListParagraph"/>
        <w:numPr>
          <w:ilvl w:val="0"/>
          <w:numId w:val="8"/>
        </w:numPr>
      </w:pPr>
      <w:r>
        <w:t>E</w:t>
      </w:r>
      <w:r>
        <w:t>nsuring all relevant staff understand their roles and responsibilities in relation to complying with SARs.</w:t>
      </w:r>
    </w:p>
    <w:p w14:paraId="468352F9" w14:textId="77777777" w:rsidR="005F3016" w:rsidRDefault="005F3016" w:rsidP="005F3016">
      <w:pPr>
        <w:pStyle w:val="ListParagraph"/>
        <w:numPr>
          <w:ilvl w:val="0"/>
          <w:numId w:val="8"/>
        </w:numPr>
      </w:pPr>
      <w:r>
        <w:t>Identifying which staff members should receive specific training on SARs</w:t>
      </w:r>
    </w:p>
    <w:p w14:paraId="05AEFF7E" w14:textId="4A6459F1" w:rsidR="005F3016" w:rsidRDefault="005F3016" w:rsidP="005F3016">
      <w:pPr>
        <w:pStyle w:val="ListParagraph"/>
        <w:numPr>
          <w:ilvl w:val="0"/>
          <w:numId w:val="8"/>
        </w:numPr>
      </w:pPr>
      <w:r>
        <w:t>Ensuring relevant staff receive detailed training on handling SARs in line with their job responsibilities</w:t>
      </w:r>
    </w:p>
    <w:p w14:paraId="4CC9B44B" w14:textId="76AC7A56" w:rsidR="005F3016" w:rsidRDefault="005F3016" w:rsidP="005F3016">
      <w:pPr>
        <w:pStyle w:val="ListParagraph"/>
        <w:numPr>
          <w:ilvl w:val="0"/>
          <w:numId w:val="8"/>
        </w:numPr>
      </w:pPr>
      <w:r>
        <w:t>Ensuring the wellbeing of pupils is always taken into account when handling SARs</w:t>
      </w:r>
    </w:p>
    <w:p w14:paraId="28840489" w14:textId="4B4ACD35" w:rsidR="000A6B28" w:rsidRDefault="000A6B28" w:rsidP="000A6B28">
      <w:r>
        <w:t xml:space="preserve">The </w:t>
      </w:r>
      <w:r w:rsidR="005F3016">
        <w:t>Headteacher/Head of School</w:t>
      </w:r>
      <w:r>
        <w:t xml:space="preserve"> will be responsible for:</w:t>
      </w:r>
    </w:p>
    <w:p w14:paraId="6BAED1DC" w14:textId="77777777" w:rsidR="000A6B28" w:rsidRDefault="000A6B28" w:rsidP="000A6B28">
      <w:pPr>
        <w:pStyle w:val="ListParagraph"/>
        <w:numPr>
          <w:ilvl w:val="0"/>
          <w:numId w:val="8"/>
        </w:numPr>
      </w:pPr>
      <w:r>
        <w:t>Ensuring all staff understand how to recognise a SAR</w:t>
      </w:r>
    </w:p>
    <w:p w14:paraId="5771C1D3" w14:textId="77777777" w:rsidR="000A6B28" w:rsidRDefault="000A6B28" w:rsidP="000A6B28">
      <w:pPr>
        <w:pStyle w:val="ListParagraph"/>
        <w:numPr>
          <w:ilvl w:val="0"/>
          <w:numId w:val="8"/>
        </w:numPr>
      </w:pPr>
      <w:r>
        <w:t>Ensuring the wellbeing of pupils is always taken into account when handling SARs</w:t>
      </w:r>
    </w:p>
    <w:p w14:paraId="4423110C" w14:textId="77777777" w:rsidR="000A6B28" w:rsidRDefault="000A6B28" w:rsidP="000A6B28">
      <w:r>
        <w:t>The Designated Safeguarding Lead (DSL) will be responsible for:</w:t>
      </w:r>
    </w:p>
    <w:p w14:paraId="1051D9CC" w14:textId="77777777" w:rsidR="000A6B28" w:rsidRDefault="000A6B28" w:rsidP="000A6B28">
      <w:pPr>
        <w:pStyle w:val="ListParagraph"/>
        <w:numPr>
          <w:ilvl w:val="0"/>
          <w:numId w:val="32"/>
        </w:numPr>
      </w:pPr>
      <w:r>
        <w:t>Advising the DPO/Executive Headteacher/CEO as necessary on possible safeguarding concerns when handling SARs</w:t>
      </w:r>
    </w:p>
    <w:p w14:paraId="2F1D11D2" w14:textId="77777777" w:rsidR="000A6B28" w:rsidRDefault="000A6B28" w:rsidP="000A6B28">
      <w:r>
        <w:t>All staff will be responsible for:</w:t>
      </w:r>
    </w:p>
    <w:p w14:paraId="09416D4C" w14:textId="77777777" w:rsidR="000A6B28" w:rsidRDefault="000A6B28" w:rsidP="000A6B28">
      <w:pPr>
        <w:pStyle w:val="ListParagraph"/>
        <w:numPr>
          <w:ilvl w:val="0"/>
          <w:numId w:val="31"/>
        </w:numPr>
      </w:pPr>
      <w:r>
        <w:t>Identifying SARs and understanding the next steps</w:t>
      </w:r>
    </w:p>
    <w:p w14:paraId="2E0AC571" w14:textId="77777777" w:rsidR="000A6B28" w:rsidRDefault="000A6B28" w:rsidP="000A6B28">
      <w:pPr>
        <w:pStyle w:val="ListParagraph"/>
        <w:numPr>
          <w:ilvl w:val="0"/>
          <w:numId w:val="31"/>
        </w:numPr>
      </w:pPr>
      <w:r>
        <w:t>Making entries on the SAR Log as appropriate</w:t>
      </w:r>
    </w:p>
    <w:p w14:paraId="6E4548CE" w14:textId="77777777" w:rsidR="000A6B28" w:rsidRDefault="000A6B28" w:rsidP="000A6B28">
      <w:pPr>
        <w:pStyle w:val="ListParagraph"/>
        <w:numPr>
          <w:ilvl w:val="0"/>
          <w:numId w:val="31"/>
        </w:numPr>
      </w:pPr>
      <w:r>
        <w:t>Following instructions and advice from the DPO/Executive Headteacher/CEO on how to handle SARs</w:t>
      </w:r>
    </w:p>
    <w:p w14:paraId="4C2B9AE1" w14:textId="010A455D" w:rsidR="00FE20CC" w:rsidRPr="002A5C08" w:rsidRDefault="0049414F" w:rsidP="000377EA">
      <w:pPr>
        <w:pStyle w:val="Heading10"/>
      </w:pPr>
      <w:r>
        <w:t>Handling requests</w:t>
      </w:r>
    </w:p>
    <w:p w14:paraId="2EE28CFC" w14:textId="5C41C234" w:rsidR="000A6B28" w:rsidRDefault="000A6B28" w:rsidP="000A6B28">
      <w:r>
        <w:t>Anyone whose personal data is controlled by TCAT or one of our schools can submit a SAR, including pupils, parents, staff, volunteers</w:t>
      </w:r>
      <w:r w:rsidR="005F3016">
        <w:t xml:space="preserve">, Trustees </w:t>
      </w:r>
      <w:r>
        <w:t xml:space="preserve">and </w:t>
      </w:r>
      <w:r w:rsidR="005F3016">
        <w:t>Local G</w:t>
      </w:r>
      <w:r>
        <w:t>overnors. Where a request is made for data for which TCAT or the school is a processor but not a controller, it will inform the requester and refer them to the controller.</w:t>
      </w:r>
    </w:p>
    <w:p w14:paraId="44476395" w14:textId="77777777" w:rsidR="000A6B28" w:rsidRDefault="000A6B28" w:rsidP="000A6B28">
      <w:r>
        <w:t xml:space="preserve">TCAT will treat any request where it is clear that an individual is asking for their own personal data, and which is outside of TCAT’s normal course of business, as a SAR. The DPO or the Executive Headteacher/CEO will determine whether enquiries that are not formal requests for information should be processed as a SAR on a case-by-case basis. </w:t>
      </w:r>
    </w:p>
    <w:p w14:paraId="01C42246" w14:textId="34AC1068" w:rsidR="000A6B28" w:rsidRDefault="000A6B28" w:rsidP="000A6B28">
      <w:r>
        <w:lastRenderedPageBreak/>
        <w:t xml:space="preserve">TCAT may receive requests for personal data which refer to the Freedom of Information Act 2000 in error – these will still be processed as SARs. Legitimate freedom of information requests will be handled in line with </w:t>
      </w:r>
      <w:r w:rsidR="005F3016">
        <w:t>TCATs</w:t>
      </w:r>
      <w:r>
        <w:t xml:space="preserve"> Freedom of Information Policy.</w:t>
      </w:r>
    </w:p>
    <w:p w14:paraId="5C63946B" w14:textId="77777777" w:rsidR="000A6B28" w:rsidRDefault="000A6B28" w:rsidP="000A6B28">
      <w:r>
        <w:t xml:space="preserve">All office staff, and any other staff identified by the DPO/Executive Headteacher/CEO, will receive specific training on how to identify a SAR and the next steps to take. All SARs will be forwarded to the Executive Headteacher/CEO, upon receipt, for oversight. TCAT will treat all SARs the same regardless of how they are received, e.g. in writing, verbally or through social media. </w:t>
      </w:r>
    </w:p>
    <w:p w14:paraId="7341C787" w14:textId="77777777" w:rsidR="000A6B28" w:rsidRDefault="000A6B28" w:rsidP="000A6B28">
      <w:r>
        <w:t xml:space="preserve">The SAR will be acknowledged as soon as possible to the requester, with a timeframe set out for the response. Requests will be responded to within one calendar month from the date received or 30 days, whichever is the shorter, e.g. a request on 1 January will have a deadline of 1 February. Where there is no corresponding calendar date, the date for response is the last day of the following month, e.g. a request on 31 August will have a deadline of 30 September. Where the corresponding date falls on a weekend or public holiday, the deadline will be the next working day. </w:t>
      </w:r>
    </w:p>
    <w:p w14:paraId="3D908426" w14:textId="77777777" w:rsidR="000A6B28" w:rsidRPr="00DD61C4" w:rsidRDefault="000A6B28" w:rsidP="000A6B28">
      <w:r>
        <w:rPr>
          <w:b/>
          <w:bCs/>
        </w:rPr>
        <w:t>Identity verification</w:t>
      </w:r>
    </w:p>
    <w:p w14:paraId="6C2A7441" w14:textId="77777777" w:rsidR="000A6B28" w:rsidRDefault="000A6B28" w:rsidP="000A6B28">
      <w:pPr>
        <w:spacing w:after="0"/>
      </w:pPr>
      <w:r>
        <w:t xml:space="preserve">To avoid personal data being sent to someone who does not have a right to access it, TCAT will ensure it is satisfied that the identity of the requester or the person the request is made on behalf of is known. Requests for identity verification will be made promptly. The deadline for responding will begin only after the requester’s identity has been verified. </w:t>
      </w:r>
    </w:p>
    <w:p w14:paraId="33BAC246" w14:textId="77777777" w:rsidR="000A6B28" w:rsidRDefault="000A6B28" w:rsidP="000A6B28">
      <w:pPr>
        <w:spacing w:after="0"/>
      </w:pPr>
      <w:r>
        <w:t xml:space="preserve">Alternatives to requesting formal identification will be considered, and formal identification will only be requested to verify a requester’s identity where necessary, e.g. who they are is not obvious to TCAT, or there is the possibility of deception. The DPO or Executive Headteacher/CEO will determine what information TCAT requires to verify an individual’s identity and explain to them what they need to provide.  </w:t>
      </w:r>
    </w:p>
    <w:p w14:paraId="1EBBB732" w14:textId="77777777" w:rsidR="000A6B28" w:rsidRPr="000C7AC8" w:rsidRDefault="000A6B28" w:rsidP="000A6B28">
      <w:pPr>
        <w:rPr>
          <w:b/>
          <w:bCs/>
        </w:rPr>
      </w:pPr>
      <w:r>
        <w:rPr>
          <w:b/>
          <w:bCs/>
        </w:rPr>
        <w:t>Requests by a pupil</w:t>
      </w:r>
    </w:p>
    <w:p w14:paraId="226FC2BF" w14:textId="6191CD71" w:rsidR="000A6B28" w:rsidRDefault="000A6B28" w:rsidP="000A6B28">
      <w:pPr>
        <w:spacing w:after="0"/>
      </w:pPr>
      <w:r>
        <w:t xml:space="preserve">Where a request is from a pupil, TCAT will consider the extent to which the pupil is mature enough to understand their rights. Typically, a pupil will be presumed to possess sufficient maturity from the age of thirteen, but TCAT will decide on a case-by-case basis. Where </w:t>
      </w:r>
      <w:r w:rsidR="005F3016">
        <w:t>TCAT</w:t>
      </w:r>
      <w:r>
        <w:t xml:space="preserve"> is confident the pupil understands their rights, it will respond directly to the pupil. If not, the pupil will be informed that they will need to ask their parents to make a request on their behalf. </w:t>
      </w:r>
    </w:p>
    <w:p w14:paraId="184C2269" w14:textId="77777777" w:rsidR="005F3016" w:rsidRDefault="005F3016" w:rsidP="000A6B28">
      <w:pPr>
        <w:spacing w:after="0"/>
      </w:pPr>
    </w:p>
    <w:p w14:paraId="55211B6E" w14:textId="77777777" w:rsidR="005F3016" w:rsidRDefault="005F3016" w:rsidP="000A6B28">
      <w:pPr>
        <w:spacing w:after="0"/>
      </w:pPr>
    </w:p>
    <w:p w14:paraId="348EDB1A" w14:textId="77777777" w:rsidR="000A6B28" w:rsidRPr="000C7AC8" w:rsidRDefault="000A6B28" w:rsidP="000A6B28">
      <w:pPr>
        <w:rPr>
          <w:b/>
          <w:bCs/>
        </w:rPr>
      </w:pPr>
      <w:r>
        <w:rPr>
          <w:b/>
          <w:bCs/>
        </w:rPr>
        <w:lastRenderedPageBreak/>
        <w:t>Complex requests</w:t>
      </w:r>
    </w:p>
    <w:p w14:paraId="67783362" w14:textId="79E32387" w:rsidR="000A6B28" w:rsidRDefault="000A6B28" w:rsidP="000A6B28">
      <w:r>
        <w:t>Where a request is deemed to be complex, the response deadline will be extended by</w:t>
      </w:r>
      <w:r w:rsidR="005F3016">
        <w:t xml:space="preserve"> up to</w:t>
      </w:r>
      <w:r>
        <w:t xml:space="preserve"> an extra two calendar months. The individual will be notified within one month of receiving their request of the decision, with a clear explanation of why it has been deemed complex. </w:t>
      </w:r>
    </w:p>
    <w:p w14:paraId="0958269F" w14:textId="77777777" w:rsidR="000A6B28" w:rsidRDefault="000A6B28" w:rsidP="000A6B28">
      <w:r>
        <w:t>In deciding whether a request is complex, the DPO or Executive Headteacher/CEO will consider TCAT’s circumstances and the specifics of the requests. Examples of where a request may be complex include, but are not limited to, the following:</w:t>
      </w:r>
    </w:p>
    <w:p w14:paraId="15CE6A72" w14:textId="77777777" w:rsidR="000A6B28" w:rsidRPr="00142A63" w:rsidRDefault="000A6B28" w:rsidP="000A6B28">
      <w:pPr>
        <w:pStyle w:val="ListParagraph"/>
        <w:numPr>
          <w:ilvl w:val="0"/>
          <w:numId w:val="8"/>
        </w:numPr>
        <w:spacing w:before="0" w:after="0"/>
        <w:rPr>
          <w:rFonts w:cstheme="minorHAnsi"/>
        </w:rPr>
      </w:pPr>
      <w:r w:rsidRPr="00142A63">
        <w:rPr>
          <w:rFonts w:cstheme="minorHAnsi"/>
        </w:rPr>
        <w:t>Technical difficulties in retrieving the information, e.g. it is electronically archived</w:t>
      </w:r>
    </w:p>
    <w:p w14:paraId="2AD6523C" w14:textId="77777777" w:rsidR="000A6B28" w:rsidRPr="00142A63" w:rsidRDefault="000A6B28" w:rsidP="000A6B28">
      <w:pPr>
        <w:numPr>
          <w:ilvl w:val="0"/>
          <w:numId w:val="8"/>
        </w:numPr>
        <w:shd w:val="clear" w:color="auto" w:fill="FFFFFF"/>
        <w:spacing w:before="0" w:after="0"/>
        <w:jc w:val="left"/>
        <w:rPr>
          <w:rFonts w:asciiTheme="minorHAnsi" w:eastAsia="Times New Roman" w:hAnsiTheme="minorHAnsi" w:cstheme="minorHAnsi"/>
          <w:color w:val="000000"/>
          <w:lang w:eastAsia="en-GB"/>
        </w:rPr>
      </w:pPr>
      <w:r w:rsidRPr="00142A63">
        <w:rPr>
          <w:rFonts w:asciiTheme="minorHAnsi" w:eastAsia="Times New Roman" w:hAnsiTheme="minorHAnsi" w:cstheme="minorHAnsi"/>
          <w:color w:val="000000"/>
          <w:lang w:eastAsia="en-GB"/>
        </w:rPr>
        <w:t>Applying an exemption that involves large volumes of particularly sensitive information</w:t>
      </w:r>
    </w:p>
    <w:p w14:paraId="7B1D91D3" w14:textId="77777777" w:rsidR="000A6B28" w:rsidRPr="00142A63" w:rsidRDefault="000A6B28" w:rsidP="000A6B28">
      <w:pPr>
        <w:numPr>
          <w:ilvl w:val="0"/>
          <w:numId w:val="8"/>
        </w:numPr>
        <w:shd w:val="clear" w:color="auto" w:fill="FFFFFF"/>
        <w:spacing w:before="0" w:after="0"/>
        <w:jc w:val="left"/>
        <w:rPr>
          <w:rFonts w:asciiTheme="minorHAnsi" w:eastAsia="Times New Roman" w:hAnsiTheme="minorHAnsi" w:cstheme="minorHAnsi"/>
          <w:color w:val="000000"/>
          <w:lang w:eastAsia="en-GB"/>
        </w:rPr>
      </w:pPr>
      <w:r w:rsidRPr="00142A63">
        <w:rPr>
          <w:rFonts w:asciiTheme="minorHAnsi" w:eastAsia="Times New Roman" w:hAnsiTheme="minorHAnsi" w:cstheme="minorHAnsi"/>
          <w:color w:val="000000"/>
          <w:lang w:eastAsia="en-GB"/>
        </w:rPr>
        <w:t xml:space="preserve">Clarifying potential issues around disclosing information about a </w:t>
      </w:r>
      <w:r>
        <w:rPr>
          <w:rFonts w:asciiTheme="minorHAnsi" w:eastAsia="Times New Roman" w:hAnsiTheme="minorHAnsi" w:cstheme="minorHAnsi"/>
          <w:color w:val="000000"/>
          <w:lang w:eastAsia="en-GB"/>
        </w:rPr>
        <w:t>pupil</w:t>
      </w:r>
      <w:r w:rsidRPr="00142A63">
        <w:rPr>
          <w:rFonts w:asciiTheme="minorHAnsi" w:eastAsia="Times New Roman" w:hAnsiTheme="minorHAnsi" w:cstheme="minorHAnsi"/>
          <w:color w:val="000000"/>
          <w:lang w:eastAsia="en-GB"/>
        </w:rPr>
        <w:t xml:space="preserve"> to a legal guardian</w:t>
      </w:r>
    </w:p>
    <w:p w14:paraId="3870372D" w14:textId="77777777" w:rsidR="000A6B28" w:rsidRPr="00142A63" w:rsidRDefault="000A6B28" w:rsidP="000A6B28">
      <w:pPr>
        <w:numPr>
          <w:ilvl w:val="0"/>
          <w:numId w:val="8"/>
        </w:numPr>
        <w:shd w:val="clear" w:color="auto" w:fill="FFFFFF"/>
        <w:spacing w:before="0" w:after="0"/>
        <w:jc w:val="left"/>
        <w:rPr>
          <w:rFonts w:asciiTheme="minorHAnsi" w:eastAsia="Times New Roman" w:hAnsiTheme="minorHAnsi" w:cstheme="minorHAnsi"/>
          <w:color w:val="000000"/>
          <w:lang w:eastAsia="en-GB"/>
        </w:rPr>
      </w:pPr>
      <w:r w:rsidRPr="00142A63">
        <w:rPr>
          <w:rFonts w:asciiTheme="minorHAnsi" w:eastAsia="Times New Roman" w:hAnsiTheme="minorHAnsi" w:cstheme="minorHAnsi"/>
          <w:color w:val="000000"/>
          <w:lang w:eastAsia="en-GB"/>
        </w:rPr>
        <w:t>Any specialist work involved in obtaining the information or communicating it in an intelligible form</w:t>
      </w:r>
    </w:p>
    <w:p w14:paraId="44018600" w14:textId="77777777" w:rsidR="000A6B28" w:rsidRPr="00142A63" w:rsidRDefault="000A6B28" w:rsidP="000A6B28">
      <w:pPr>
        <w:numPr>
          <w:ilvl w:val="0"/>
          <w:numId w:val="8"/>
        </w:numPr>
        <w:shd w:val="clear" w:color="auto" w:fill="FFFFFF"/>
        <w:spacing w:before="0" w:after="0"/>
        <w:jc w:val="left"/>
        <w:rPr>
          <w:rFonts w:asciiTheme="minorHAnsi" w:eastAsia="Times New Roman" w:hAnsiTheme="minorHAnsi" w:cstheme="minorHAnsi"/>
          <w:color w:val="000000"/>
          <w:lang w:eastAsia="en-GB"/>
        </w:rPr>
      </w:pPr>
      <w:r w:rsidRPr="00142A63">
        <w:rPr>
          <w:rFonts w:asciiTheme="minorHAnsi" w:eastAsia="Times New Roman" w:hAnsiTheme="minorHAnsi" w:cstheme="minorHAnsi"/>
          <w:color w:val="000000"/>
          <w:lang w:eastAsia="en-GB"/>
        </w:rPr>
        <w:t>Clarifying potential confidentiality issues around the disclosure of sensitive medical information to an authorised third party</w:t>
      </w:r>
    </w:p>
    <w:p w14:paraId="097E80E0" w14:textId="77777777" w:rsidR="000A6B28" w:rsidRPr="00142A63" w:rsidRDefault="000A6B28" w:rsidP="000A6B28">
      <w:pPr>
        <w:numPr>
          <w:ilvl w:val="0"/>
          <w:numId w:val="8"/>
        </w:numPr>
        <w:shd w:val="clear" w:color="auto" w:fill="FFFFFF"/>
        <w:spacing w:before="0" w:after="0"/>
        <w:jc w:val="left"/>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S</w:t>
      </w:r>
      <w:r w:rsidRPr="00142A63">
        <w:rPr>
          <w:rFonts w:asciiTheme="minorHAnsi" w:eastAsia="Times New Roman" w:hAnsiTheme="minorHAnsi" w:cstheme="minorHAnsi"/>
          <w:color w:val="000000"/>
          <w:lang w:eastAsia="en-GB"/>
        </w:rPr>
        <w:t>pecialist legal advice</w:t>
      </w:r>
      <w:r>
        <w:rPr>
          <w:rFonts w:asciiTheme="minorHAnsi" w:eastAsia="Times New Roman" w:hAnsiTheme="minorHAnsi" w:cstheme="minorHAnsi"/>
          <w:color w:val="000000"/>
          <w:lang w:eastAsia="en-GB"/>
        </w:rPr>
        <w:t xml:space="preserve"> is required</w:t>
      </w:r>
    </w:p>
    <w:p w14:paraId="5522C0CE" w14:textId="77777777" w:rsidR="000A6B28" w:rsidRDefault="000A6B28" w:rsidP="000A6B28">
      <w:pPr>
        <w:numPr>
          <w:ilvl w:val="0"/>
          <w:numId w:val="8"/>
        </w:numPr>
        <w:shd w:val="clear" w:color="auto" w:fill="FFFFFF"/>
        <w:spacing w:before="0" w:after="0"/>
        <w:jc w:val="left"/>
        <w:rPr>
          <w:rFonts w:asciiTheme="minorHAnsi" w:eastAsia="Times New Roman" w:hAnsiTheme="minorHAnsi" w:cstheme="minorHAnsi"/>
          <w:color w:val="000000"/>
          <w:lang w:eastAsia="en-GB"/>
        </w:rPr>
      </w:pPr>
      <w:r w:rsidRPr="00142A63">
        <w:rPr>
          <w:rFonts w:asciiTheme="minorHAnsi" w:eastAsia="Times New Roman" w:hAnsiTheme="minorHAnsi" w:cstheme="minorHAnsi"/>
          <w:color w:val="000000"/>
          <w:lang w:eastAsia="en-GB"/>
        </w:rPr>
        <w:t>Searching large volumes of unstructured manual records</w:t>
      </w:r>
    </w:p>
    <w:p w14:paraId="314B77DA" w14:textId="77777777" w:rsidR="000A6B28" w:rsidRDefault="000A6B28" w:rsidP="000A6B28">
      <w:pPr>
        <w:shd w:val="clear" w:color="auto" w:fill="FFFFFF"/>
        <w:spacing w:after="0"/>
        <w:jc w:val="left"/>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Requests involving a large volume of information will be considered a factor that can add to the complexity of a request, but a request will not be deemed complex solely on this basis.</w:t>
      </w:r>
    </w:p>
    <w:p w14:paraId="3741B7F1" w14:textId="77777777" w:rsidR="000A6B28" w:rsidRPr="002572D6" w:rsidRDefault="000A6B28" w:rsidP="000A6B28">
      <w:pPr>
        <w:rPr>
          <w:b/>
          <w:bCs/>
        </w:rPr>
      </w:pPr>
      <w:r>
        <w:rPr>
          <w:b/>
          <w:bCs/>
        </w:rPr>
        <w:t>Third party requests</w:t>
      </w:r>
    </w:p>
    <w:p w14:paraId="6F3A78E8" w14:textId="77777777" w:rsidR="000A6B28" w:rsidRDefault="000A6B28" w:rsidP="000A6B28">
      <w:r>
        <w:t xml:space="preserve">TCAT will ensure the third party is entitled to act on behalf of the individual, e.g. by requesting a written authority signed by the individual confirming they give the third-party permission to act on their behalf. Where there is insufficient evidence to satisfy TCAT that the third party is authorised to act on the individual’s behalf, the SAR will not be complied with. A response will be provided to the requester to explain this. </w:t>
      </w:r>
    </w:p>
    <w:p w14:paraId="313D4CC0" w14:textId="77777777" w:rsidR="000A6B28" w:rsidRDefault="000A6B28" w:rsidP="000A6B28">
      <w:r>
        <w:t>Where TCAT believes an</w:t>
      </w:r>
      <w:r w:rsidRPr="00DD61C4">
        <w:t xml:space="preserve"> individual may not understand the nature of the information </w:t>
      </w:r>
      <w:r>
        <w:t>being</w:t>
      </w:r>
      <w:r w:rsidRPr="00DD61C4">
        <w:t xml:space="preserve"> disclos</w:t>
      </w:r>
      <w:r>
        <w:t>ed</w:t>
      </w:r>
      <w:r w:rsidRPr="00DD61C4">
        <w:t xml:space="preserve"> and </w:t>
      </w:r>
      <w:r>
        <w:t>is</w:t>
      </w:r>
      <w:r w:rsidRPr="00DD61C4">
        <w:t xml:space="preserve"> concerned about disclosing excessive information, </w:t>
      </w:r>
      <w:r>
        <w:t>TCAT will</w:t>
      </w:r>
      <w:r w:rsidRPr="00DD61C4">
        <w:t xml:space="preserve"> contact the individual to make them aware </w:t>
      </w:r>
      <w:r>
        <w:t>and may agree to send the response directly to the individual rather than the third party.</w:t>
      </w:r>
    </w:p>
    <w:p w14:paraId="6274D689" w14:textId="77777777" w:rsidR="005F3016" w:rsidRDefault="005F3016" w:rsidP="000A6B28"/>
    <w:p w14:paraId="243F1707" w14:textId="77777777" w:rsidR="005F3016" w:rsidRDefault="005F3016" w:rsidP="000A6B28"/>
    <w:p w14:paraId="17B62DF4" w14:textId="77777777" w:rsidR="000A6B28" w:rsidRPr="000C7AC8" w:rsidRDefault="000A6B28" w:rsidP="000A6B28">
      <w:pPr>
        <w:rPr>
          <w:b/>
          <w:bCs/>
        </w:rPr>
      </w:pPr>
      <w:r>
        <w:rPr>
          <w:b/>
          <w:bCs/>
        </w:rPr>
        <w:lastRenderedPageBreak/>
        <w:t>Simultaneous requests</w:t>
      </w:r>
    </w:p>
    <w:p w14:paraId="430DB911" w14:textId="410B2134" w:rsidR="000A6B28" w:rsidRDefault="000A6B28" w:rsidP="000A6B28">
      <w:r>
        <w:t>Where an individual makes a number of other requests relating to other rights, e.g. the right to erasure and the right to data portability, each request will be managed separately. The deadline for the SAR will be extended by</w:t>
      </w:r>
      <w:r w:rsidR="005F3016">
        <w:t xml:space="preserve"> up to</w:t>
      </w:r>
      <w:r>
        <w:t xml:space="preserve"> two months; the individual will be notified with an explanation as soon as possible, and within one month at the latest. </w:t>
      </w:r>
    </w:p>
    <w:p w14:paraId="55CDB63B" w14:textId="282FD745" w:rsidR="00FE20CC" w:rsidRPr="009F1292" w:rsidRDefault="0049414F" w:rsidP="000377EA">
      <w:pPr>
        <w:pStyle w:val="Heading10"/>
      </w:pPr>
      <w:r>
        <w:t>Requests on behalf of a pupil</w:t>
      </w:r>
    </w:p>
    <w:p w14:paraId="72EE208A" w14:textId="77777777" w:rsidR="000A6B28" w:rsidRDefault="000A6B28" w:rsidP="000A6B28">
      <w:r>
        <w:t>Where a parent makes a request to see what the data TCAT holds about their child, TCAT will first check if:</w:t>
      </w:r>
    </w:p>
    <w:p w14:paraId="3463456B" w14:textId="77777777" w:rsidR="000A6B28" w:rsidRDefault="000A6B28" w:rsidP="000A6B28">
      <w:pPr>
        <w:pStyle w:val="ListParagraph"/>
        <w:numPr>
          <w:ilvl w:val="0"/>
          <w:numId w:val="8"/>
        </w:numPr>
      </w:pPr>
      <w:r>
        <w:t>The requester has parental responsibility</w:t>
      </w:r>
    </w:p>
    <w:p w14:paraId="5F6AFA4D" w14:textId="77777777" w:rsidR="000A6B28" w:rsidRDefault="000A6B28" w:rsidP="000A6B28">
      <w:pPr>
        <w:pStyle w:val="ListParagraph"/>
        <w:numPr>
          <w:ilvl w:val="0"/>
          <w:numId w:val="8"/>
        </w:numPr>
      </w:pPr>
      <w:r>
        <w:t>The pupil is aged 13 or older and has given their consent for a parent or carer to act on their behalf</w:t>
      </w:r>
    </w:p>
    <w:p w14:paraId="26115369" w14:textId="77777777" w:rsidR="000A6B28" w:rsidRDefault="000A6B28" w:rsidP="000A6B28">
      <w:pPr>
        <w:pStyle w:val="ListParagraph"/>
        <w:numPr>
          <w:ilvl w:val="0"/>
          <w:numId w:val="8"/>
        </w:numPr>
      </w:pPr>
      <w:r>
        <w:t>Releasing the information to an absent parent or carer would cause the pupil distress or result in safeguarding concerns</w:t>
      </w:r>
    </w:p>
    <w:p w14:paraId="01B9AB28" w14:textId="77777777" w:rsidR="000A6B28" w:rsidRDefault="000A6B28" w:rsidP="000A6B28">
      <w:r>
        <w:t>TCAT will allow parents to exercise their child’s rights on their behalf where authorisation is provided, or it is evident that this is in the child’s best interests. TCAT will consider the following when a parent, or someone else authorised by the pupil, makes a SAR on the pupil’s behalf:</w:t>
      </w:r>
    </w:p>
    <w:p w14:paraId="4AE7BFFF" w14:textId="77777777" w:rsidR="000A6B28" w:rsidRDefault="000A6B28" w:rsidP="000A6B28">
      <w:pPr>
        <w:pStyle w:val="ListParagraph"/>
        <w:numPr>
          <w:ilvl w:val="0"/>
          <w:numId w:val="33"/>
        </w:numPr>
      </w:pPr>
      <w:r>
        <w:t>A</w:t>
      </w:r>
      <w:r w:rsidRPr="00D05550">
        <w:t>ny court orders relating to parental access or responsibility that may apply</w:t>
      </w:r>
    </w:p>
    <w:p w14:paraId="37BD88C2" w14:textId="77777777" w:rsidR="000A6B28" w:rsidRDefault="000A6B28" w:rsidP="000A6B28">
      <w:pPr>
        <w:pStyle w:val="ListParagraph"/>
        <w:numPr>
          <w:ilvl w:val="0"/>
          <w:numId w:val="33"/>
        </w:numPr>
      </w:pPr>
      <w:r>
        <w:t xml:space="preserve">The </w:t>
      </w:r>
      <w:r w:rsidRPr="00D05550">
        <w:t xml:space="preserve">duty of confidence owed to the </w:t>
      </w:r>
      <w:r>
        <w:t>pupil</w:t>
      </w:r>
    </w:p>
    <w:p w14:paraId="7D345343" w14:textId="77777777" w:rsidR="000A6B28" w:rsidRDefault="000A6B28" w:rsidP="000A6B28">
      <w:pPr>
        <w:pStyle w:val="ListParagraph"/>
        <w:numPr>
          <w:ilvl w:val="0"/>
          <w:numId w:val="33"/>
        </w:numPr>
      </w:pPr>
      <w:r>
        <w:t>A</w:t>
      </w:r>
      <w:r w:rsidRPr="00D05550">
        <w:t>ny consequences of allowing those with parental responsibility</w:t>
      </w:r>
      <w:r>
        <w:t>,</w:t>
      </w:r>
      <w:r w:rsidRPr="00D05550">
        <w:t xml:space="preserve"> or those authorised to act on their behalf</w:t>
      </w:r>
      <w:r>
        <w:t>,</w:t>
      </w:r>
      <w:r w:rsidRPr="00D05550">
        <w:t xml:space="preserve"> access to the </w:t>
      </w:r>
      <w:r>
        <w:t>pupil’s</w:t>
      </w:r>
      <w:r w:rsidRPr="00D05550">
        <w:t xml:space="preserve"> information</w:t>
      </w:r>
    </w:p>
    <w:p w14:paraId="5B6B3AE8" w14:textId="77777777" w:rsidR="000A6B28" w:rsidRDefault="000A6B28" w:rsidP="000A6B28">
      <w:pPr>
        <w:pStyle w:val="ListParagraph"/>
        <w:numPr>
          <w:ilvl w:val="0"/>
          <w:numId w:val="33"/>
        </w:numPr>
      </w:pPr>
      <w:r>
        <w:t>A</w:t>
      </w:r>
      <w:r w:rsidRPr="00D05550">
        <w:t xml:space="preserve">ny detriment to the </w:t>
      </w:r>
      <w:r>
        <w:t>pupil</w:t>
      </w:r>
      <w:r w:rsidRPr="00D05550">
        <w:t xml:space="preserve"> if individuals with parental responsibility, or their authorised representatives, cannot access this information</w:t>
      </w:r>
    </w:p>
    <w:p w14:paraId="3BBFC301" w14:textId="77777777" w:rsidR="000A6B28" w:rsidRDefault="000A6B28" w:rsidP="000A6B28">
      <w:pPr>
        <w:pStyle w:val="ListParagraph"/>
        <w:numPr>
          <w:ilvl w:val="0"/>
          <w:numId w:val="33"/>
        </w:numPr>
      </w:pPr>
      <w:r>
        <w:t>A</w:t>
      </w:r>
      <w:r w:rsidRPr="00D05550">
        <w:t xml:space="preserve">ny views the </w:t>
      </w:r>
      <w:r>
        <w:t>pupil</w:t>
      </w:r>
      <w:r w:rsidRPr="00D05550">
        <w:t xml:space="preserve"> has on whether </w:t>
      </w:r>
      <w:r>
        <w:t>others</w:t>
      </w:r>
      <w:r w:rsidRPr="00D05550">
        <w:t xml:space="preserve"> should have access to information about them</w:t>
      </w:r>
    </w:p>
    <w:p w14:paraId="46A8C658" w14:textId="77777777" w:rsidR="000A6B28" w:rsidRDefault="000A6B28" w:rsidP="000A6B28">
      <w:r>
        <w:t>The DSL will be consulted if there is information of a sensitive nature that it may not be in the best interests of the pupil to be shared. TCAT will</w:t>
      </w:r>
      <w:r w:rsidRPr="007F1ECE">
        <w:t xml:space="preserve"> not provide a pupil’s </w:t>
      </w:r>
      <w:r>
        <w:t>personal data, including their educational record,</w:t>
      </w:r>
      <w:r w:rsidRPr="007F1ECE">
        <w:t xml:space="preserve"> to a parent or carer if there is a court order in place that limits the exercise of their parental responsibility.</w:t>
      </w:r>
      <w:r>
        <w:t xml:space="preserve"> </w:t>
      </w:r>
    </w:p>
    <w:p w14:paraId="53CDF4A9" w14:textId="77777777" w:rsidR="000A6B28" w:rsidRDefault="000A6B28" w:rsidP="000A6B28">
      <w:r>
        <w:t xml:space="preserve">Where a pupil authorises someone other than a parent or carer to make a SAR on their behalf, TCAT will not respond if there are reasonable concerns that the pupil is acting against their own best interests, e.g. they are being pressured to make the SAR. Such concerns will be reported to the DSL immediately.  </w:t>
      </w:r>
    </w:p>
    <w:p w14:paraId="1F2FD74E" w14:textId="77777777" w:rsidR="000A6B28" w:rsidRDefault="000A6B28" w:rsidP="000A6B28">
      <w:r>
        <w:t>R</w:t>
      </w:r>
      <w:r w:rsidRPr="009679A0">
        <w:t xml:space="preserve">equests for educational records from parents </w:t>
      </w:r>
      <w:r>
        <w:t>will be treated as a SAR.</w:t>
      </w:r>
      <w:r w:rsidRPr="009679A0">
        <w:t xml:space="preserve"> This </w:t>
      </w:r>
      <w:r>
        <w:t>will be</w:t>
      </w:r>
      <w:r w:rsidRPr="009679A0">
        <w:t xml:space="preserve"> without prejudice to </w:t>
      </w:r>
      <w:r>
        <w:t>TCAT’s obligation</w:t>
      </w:r>
      <w:r w:rsidRPr="009679A0">
        <w:t xml:space="preserve"> to provide an annual report of each registered pupil's progress and attainment in the main subject areas taught to every parent</w:t>
      </w:r>
      <w:r>
        <w:t>,</w:t>
      </w:r>
      <w:r w:rsidRPr="009679A0">
        <w:t xml:space="preserve"> unless they agree otherwise in writing.</w:t>
      </w:r>
    </w:p>
    <w:p w14:paraId="3B6F3AB6" w14:textId="44FF7709" w:rsidR="00FE20CC" w:rsidRPr="009F1292" w:rsidRDefault="0049414F" w:rsidP="000377EA">
      <w:pPr>
        <w:pStyle w:val="Heading10"/>
      </w:pPr>
      <w:r>
        <w:lastRenderedPageBreak/>
        <w:t>Seeking clarification</w:t>
      </w:r>
    </w:p>
    <w:p w14:paraId="7FE57DAE" w14:textId="77777777" w:rsidR="000A6B28" w:rsidRDefault="000A6B28" w:rsidP="000A6B28">
      <w:r>
        <w:t xml:space="preserve">Where it is not fully clear what personal data the individual wants, TCAT will ask for clarification as soon as possible, with an explanation, to specify the information or processing activities the request relates to before responding. Clarification will not be required in usual circumstances and will be limited to requests where it is genuinely required in order to respond and where TCAT processes a large amount of information about the individual. </w:t>
      </w:r>
    </w:p>
    <w:p w14:paraId="22137D8A" w14:textId="77777777" w:rsidR="000A6B28" w:rsidRDefault="000A6B28" w:rsidP="000A6B28">
      <w:r>
        <w:t>The deadline for responding to the request will be paused until clarification is received, and the requester will be made aware of this. Once the requester responds, the deadline will resume with an extension by the number of days taken for a response. Where TCAT receives a request that is genuinely unclear whether an individual is making a SAR, the time limit to respond will apply from the date that clarification is received.</w:t>
      </w:r>
    </w:p>
    <w:p w14:paraId="60C3DE63" w14:textId="77777777" w:rsidR="000A6B28" w:rsidRDefault="000A6B28" w:rsidP="000A6B28">
      <w:r>
        <w:t xml:space="preserve">Where the requester responds repeating the original request or declines to provide any additional information, the SAR will be complied with by making reasonable searches for the information. </w:t>
      </w:r>
    </w:p>
    <w:p w14:paraId="491B2CA2" w14:textId="4EFB5E84" w:rsidR="00FE20CC" w:rsidRPr="00C33645" w:rsidRDefault="0049414F" w:rsidP="000377EA">
      <w:pPr>
        <w:pStyle w:val="Heading10"/>
      </w:pPr>
      <w:r>
        <w:t>Charges</w:t>
      </w:r>
    </w:p>
    <w:p w14:paraId="05D5D522" w14:textId="77777777" w:rsidR="000A6B28" w:rsidRDefault="000A6B28" w:rsidP="000A6B28">
      <w:r>
        <w:t>Requesters will not typically be charged for TCAT’s compliance with a SAR. TCAT may, however, decide to charge a reasonable fee for administrative costs where:</w:t>
      </w:r>
    </w:p>
    <w:p w14:paraId="775E3852" w14:textId="77777777" w:rsidR="000A6B28" w:rsidRDefault="000A6B28" w:rsidP="000A6B28">
      <w:pPr>
        <w:pStyle w:val="ListParagraph"/>
        <w:numPr>
          <w:ilvl w:val="0"/>
          <w:numId w:val="34"/>
        </w:numPr>
      </w:pPr>
      <w:r>
        <w:t>A request is manifestly unfounded or excessive</w:t>
      </w:r>
    </w:p>
    <w:p w14:paraId="74A3A0D7" w14:textId="77777777" w:rsidR="000A6B28" w:rsidRDefault="000A6B28" w:rsidP="000A6B28">
      <w:pPr>
        <w:pStyle w:val="ListParagraph"/>
        <w:numPr>
          <w:ilvl w:val="0"/>
          <w:numId w:val="34"/>
        </w:numPr>
      </w:pPr>
      <w:r>
        <w:t>An individual requests further copies of their data following a request</w:t>
      </w:r>
    </w:p>
    <w:p w14:paraId="445E5B01" w14:textId="77777777" w:rsidR="000A6B28" w:rsidRDefault="000A6B28" w:rsidP="000A6B28">
      <w:r>
        <w:t>In determining a reasonable fee, the administrative costs will be considered for:</w:t>
      </w:r>
    </w:p>
    <w:p w14:paraId="72D61BCA" w14:textId="77777777" w:rsidR="000A6B28" w:rsidRPr="000A0915" w:rsidRDefault="000A6B28" w:rsidP="000A6B28">
      <w:pPr>
        <w:numPr>
          <w:ilvl w:val="0"/>
          <w:numId w:val="35"/>
        </w:numPr>
        <w:shd w:val="clear" w:color="auto" w:fill="FFFFFF" w:themeFill="background1"/>
        <w:spacing w:before="0" w:after="100" w:afterAutospacing="1"/>
        <w:jc w:val="left"/>
        <w:rPr>
          <w:rFonts w:eastAsia="Times New Roman" w:cs="Arial"/>
          <w:lang w:eastAsia="en-GB"/>
        </w:rPr>
      </w:pPr>
      <w:r w:rsidRPr="000A0915">
        <w:rPr>
          <w:rFonts w:eastAsia="Times New Roman" w:cs="Arial"/>
          <w:lang w:eastAsia="en-GB"/>
        </w:rPr>
        <w:t xml:space="preserve">Assessing whether </w:t>
      </w:r>
      <w:r>
        <w:rPr>
          <w:rFonts w:eastAsia="Times New Roman" w:cs="Arial"/>
          <w:lang w:eastAsia="en-GB"/>
        </w:rPr>
        <w:t>TCAT</w:t>
      </w:r>
      <w:r w:rsidRPr="000A0915">
        <w:rPr>
          <w:rFonts w:eastAsia="Times New Roman" w:cs="Arial"/>
          <w:lang w:eastAsia="en-GB"/>
        </w:rPr>
        <w:t xml:space="preserve"> process</w:t>
      </w:r>
      <w:r>
        <w:rPr>
          <w:rFonts w:eastAsia="Times New Roman" w:cs="Arial"/>
          <w:lang w:eastAsia="en-GB"/>
        </w:rPr>
        <w:t>es</w:t>
      </w:r>
      <w:r w:rsidRPr="000A0915">
        <w:rPr>
          <w:rFonts w:eastAsia="Times New Roman" w:cs="Arial"/>
          <w:lang w:eastAsia="en-GB"/>
        </w:rPr>
        <w:t xml:space="preserve"> the information</w:t>
      </w:r>
    </w:p>
    <w:p w14:paraId="1AF4F9D7" w14:textId="77777777" w:rsidR="000A6B28" w:rsidRPr="000A0915" w:rsidRDefault="000A6B28" w:rsidP="000A6B28">
      <w:pPr>
        <w:numPr>
          <w:ilvl w:val="0"/>
          <w:numId w:val="35"/>
        </w:numPr>
        <w:shd w:val="clear" w:color="auto" w:fill="FFFFFF" w:themeFill="background1"/>
        <w:spacing w:before="0" w:after="100" w:afterAutospacing="1"/>
        <w:jc w:val="left"/>
        <w:rPr>
          <w:rFonts w:eastAsia="Times New Roman" w:cs="Arial"/>
          <w:lang w:eastAsia="en-GB"/>
        </w:rPr>
      </w:pPr>
      <w:r>
        <w:rPr>
          <w:rFonts w:eastAsia="Times New Roman" w:cs="Arial"/>
          <w:lang w:eastAsia="en-GB"/>
        </w:rPr>
        <w:t>L</w:t>
      </w:r>
      <w:r w:rsidRPr="000A0915">
        <w:rPr>
          <w:rFonts w:eastAsia="Times New Roman" w:cs="Arial"/>
          <w:lang w:eastAsia="en-GB"/>
        </w:rPr>
        <w:t>ocating, retrieving and extracting the information</w:t>
      </w:r>
    </w:p>
    <w:p w14:paraId="43215E7C" w14:textId="77777777" w:rsidR="000A6B28" w:rsidRPr="000A0915" w:rsidRDefault="000A6B28" w:rsidP="000A6B28">
      <w:pPr>
        <w:numPr>
          <w:ilvl w:val="0"/>
          <w:numId w:val="35"/>
        </w:numPr>
        <w:shd w:val="clear" w:color="auto" w:fill="FFFFFF"/>
        <w:spacing w:before="0" w:after="100" w:afterAutospacing="1"/>
        <w:jc w:val="left"/>
        <w:rPr>
          <w:rFonts w:eastAsia="Times New Roman" w:cs="Arial"/>
          <w:lang w:eastAsia="en-GB"/>
        </w:rPr>
      </w:pPr>
      <w:r>
        <w:rPr>
          <w:rFonts w:eastAsia="Times New Roman" w:cs="Arial"/>
          <w:lang w:eastAsia="en-GB"/>
        </w:rPr>
        <w:t>P</w:t>
      </w:r>
      <w:r w:rsidRPr="000A0915">
        <w:rPr>
          <w:rFonts w:eastAsia="Times New Roman" w:cs="Arial"/>
          <w:lang w:eastAsia="en-GB"/>
        </w:rPr>
        <w:t>roviding a copy of the information</w:t>
      </w:r>
      <w:r>
        <w:rPr>
          <w:rFonts w:eastAsia="Times New Roman" w:cs="Arial"/>
          <w:lang w:eastAsia="en-GB"/>
        </w:rPr>
        <w:t>, e.g. photocopying, printing and postage costs</w:t>
      </w:r>
    </w:p>
    <w:p w14:paraId="7232896B" w14:textId="77777777" w:rsidR="000A6B28" w:rsidRDefault="000A6B28" w:rsidP="000A6B28">
      <w:pPr>
        <w:numPr>
          <w:ilvl w:val="0"/>
          <w:numId w:val="35"/>
        </w:numPr>
        <w:shd w:val="clear" w:color="auto" w:fill="FFFFFF" w:themeFill="background1"/>
        <w:spacing w:before="0" w:after="100" w:afterAutospacing="1"/>
        <w:jc w:val="left"/>
        <w:rPr>
          <w:rFonts w:eastAsia="Times New Roman" w:cs="Arial"/>
          <w:lang w:eastAsia="en-GB"/>
        </w:rPr>
      </w:pPr>
      <w:r>
        <w:rPr>
          <w:rFonts w:eastAsia="Times New Roman" w:cs="Arial"/>
          <w:lang w:eastAsia="en-GB"/>
        </w:rPr>
        <w:t>C</w:t>
      </w:r>
      <w:r w:rsidRPr="000A0915">
        <w:rPr>
          <w:rFonts w:eastAsia="Times New Roman" w:cs="Arial"/>
          <w:lang w:eastAsia="en-GB"/>
        </w:rPr>
        <w:t xml:space="preserve">ommunicating the response to the individual, including contacting the individual to inform them that </w:t>
      </w:r>
      <w:r>
        <w:rPr>
          <w:rFonts w:eastAsia="Times New Roman" w:cs="Arial"/>
          <w:lang w:eastAsia="en-GB"/>
        </w:rPr>
        <w:t>TCAT</w:t>
      </w:r>
      <w:r w:rsidRPr="000A0915">
        <w:rPr>
          <w:rFonts w:eastAsia="Times New Roman" w:cs="Arial"/>
          <w:lang w:eastAsia="en-GB"/>
        </w:rPr>
        <w:t xml:space="preserve"> hold</w:t>
      </w:r>
      <w:r>
        <w:rPr>
          <w:rFonts w:eastAsia="Times New Roman" w:cs="Arial"/>
          <w:lang w:eastAsia="en-GB"/>
        </w:rPr>
        <w:t>s</w:t>
      </w:r>
      <w:r w:rsidRPr="000A0915">
        <w:rPr>
          <w:rFonts w:eastAsia="Times New Roman" w:cs="Arial"/>
          <w:lang w:eastAsia="en-GB"/>
        </w:rPr>
        <w:t xml:space="preserve"> the requested information</w:t>
      </w:r>
    </w:p>
    <w:p w14:paraId="17CECDED" w14:textId="77777777" w:rsidR="000A6B28" w:rsidRDefault="000A6B28" w:rsidP="000A6B28">
      <w:pPr>
        <w:numPr>
          <w:ilvl w:val="0"/>
          <w:numId w:val="35"/>
        </w:numPr>
        <w:shd w:val="clear" w:color="auto" w:fill="FFFFFF" w:themeFill="background1"/>
        <w:spacing w:before="0" w:after="100" w:afterAutospacing="1"/>
        <w:jc w:val="left"/>
        <w:rPr>
          <w:rFonts w:eastAsia="Times New Roman" w:cs="Arial"/>
          <w:lang w:eastAsia="en-GB"/>
        </w:rPr>
      </w:pPr>
      <w:r>
        <w:rPr>
          <w:rFonts w:eastAsia="Times New Roman" w:cs="Arial"/>
          <w:lang w:eastAsia="en-GB"/>
        </w:rPr>
        <w:t>Staff time in performing all of the above</w:t>
      </w:r>
    </w:p>
    <w:p w14:paraId="73BEC0E8" w14:textId="77777777" w:rsidR="000A6B28" w:rsidRDefault="000A6B28" w:rsidP="000A6B28">
      <w:pPr>
        <w:shd w:val="clear" w:color="auto" w:fill="FFFFFF"/>
        <w:spacing w:before="120" w:after="100" w:afterAutospacing="1"/>
        <w:jc w:val="left"/>
        <w:rPr>
          <w:rFonts w:eastAsia="Times New Roman" w:cs="Arial"/>
          <w:lang w:eastAsia="en-GB"/>
        </w:rPr>
      </w:pPr>
      <w:r>
        <w:rPr>
          <w:rFonts w:eastAsia="Times New Roman" w:cs="Arial"/>
          <w:lang w:eastAsia="en-GB"/>
        </w:rPr>
        <w:t xml:space="preserve">The costs of staff time will be based on the estimated time it will take staff to comply with the specific request, charged at a reasonable hourly rate. </w:t>
      </w:r>
    </w:p>
    <w:p w14:paraId="77FB6CE1" w14:textId="77777777" w:rsidR="000A6B28" w:rsidRDefault="000A6B28" w:rsidP="000A6B28">
      <w:pPr>
        <w:shd w:val="clear" w:color="auto" w:fill="FFFFFF"/>
        <w:spacing w:before="120" w:after="100" w:afterAutospacing="1"/>
        <w:jc w:val="left"/>
        <w:rPr>
          <w:rFonts w:eastAsia="Times New Roman" w:cs="Arial"/>
          <w:lang w:eastAsia="en-GB"/>
        </w:rPr>
      </w:pPr>
      <w:r>
        <w:rPr>
          <w:rFonts w:eastAsia="Times New Roman" w:cs="Arial"/>
          <w:lang w:eastAsia="en-GB"/>
        </w:rPr>
        <w:lastRenderedPageBreak/>
        <w:t xml:space="preserve">Requests for a fee will be sent as soon as possible, and within one calendar month of receiving the SAR. When requesting a fee, the costs will be explained to the individual, including a copy of the criteria used to determine it. The individual will be notified if TCAT intends to charge, even if the information is not being provided. </w:t>
      </w:r>
    </w:p>
    <w:p w14:paraId="038CE376" w14:textId="77777777" w:rsidR="000A6B28" w:rsidRPr="00C957AF" w:rsidRDefault="000A6B28" w:rsidP="000A6B28">
      <w:pPr>
        <w:shd w:val="clear" w:color="auto" w:fill="FFFFFF"/>
        <w:spacing w:before="120" w:after="100" w:afterAutospacing="1"/>
        <w:jc w:val="left"/>
        <w:rPr>
          <w:rFonts w:eastAsia="Times New Roman" w:cs="Arial"/>
          <w:lang w:eastAsia="en-GB"/>
        </w:rPr>
      </w:pPr>
      <w:r>
        <w:rPr>
          <w:rFonts w:eastAsia="Times New Roman" w:cs="Arial"/>
          <w:lang w:eastAsia="en-GB"/>
        </w:rPr>
        <w:t>Where a charge is determined, the SAR will not be complied with until it is paid. Where no response is received within one month, the DPO or Executive Headteacher/CEO will decide if it is appropriate to close the request on a case-by-case basis.</w:t>
      </w:r>
    </w:p>
    <w:p w14:paraId="244CB5C2" w14:textId="0DA67C0F" w:rsidR="00FE20CC" w:rsidRPr="00D90658" w:rsidRDefault="0049414F" w:rsidP="000377EA">
      <w:pPr>
        <w:pStyle w:val="Heading10"/>
      </w:pPr>
      <w:r>
        <w:t>Finding and sending information</w:t>
      </w:r>
    </w:p>
    <w:p w14:paraId="3D19A6E0" w14:textId="77777777" w:rsidR="000A6B28" w:rsidRPr="00491972" w:rsidRDefault="000A6B28" w:rsidP="000A6B28">
      <w:pPr>
        <w:rPr>
          <w:b/>
          <w:bCs/>
        </w:rPr>
      </w:pPr>
      <w:r>
        <w:rPr>
          <w:b/>
          <w:bCs/>
        </w:rPr>
        <w:t>Finding information</w:t>
      </w:r>
    </w:p>
    <w:p w14:paraId="1C23A74F" w14:textId="77777777" w:rsidR="000A6B28" w:rsidRDefault="000A6B28" w:rsidP="000A6B28">
      <w:r>
        <w:t>TCAT will make reasonable efforts to find and retrieve the information requested. Searches will not be conducted that are unreasonable or disproportionate to the importance of providing access to the information. To determine this, the following will be considered:</w:t>
      </w:r>
    </w:p>
    <w:p w14:paraId="1ED64390" w14:textId="77777777" w:rsidR="000A6B28" w:rsidRDefault="000A6B28" w:rsidP="000A6B28">
      <w:pPr>
        <w:pStyle w:val="ListParagraph"/>
        <w:numPr>
          <w:ilvl w:val="0"/>
          <w:numId w:val="37"/>
        </w:numPr>
      </w:pPr>
      <w:r>
        <w:t>The circumstances of the request</w:t>
      </w:r>
    </w:p>
    <w:p w14:paraId="1CEAB831" w14:textId="77777777" w:rsidR="000A6B28" w:rsidRDefault="000A6B28" w:rsidP="000A6B28">
      <w:pPr>
        <w:pStyle w:val="ListParagraph"/>
        <w:numPr>
          <w:ilvl w:val="0"/>
          <w:numId w:val="37"/>
        </w:numPr>
      </w:pPr>
      <w:r>
        <w:t>Any difficulties involved in finding the information, e.g. if technical expertise is required</w:t>
      </w:r>
    </w:p>
    <w:p w14:paraId="73A8F136" w14:textId="77777777" w:rsidR="000A6B28" w:rsidRDefault="000A6B28" w:rsidP="000A6B28">
      <w:pPr>
        <w:pStyle w:val="ListParagraph"/>
        <w:numPr>
          <w:ilvl w:val="0"/>
          <w:numId w:val="37"/>
        </w:numPr>
      </w:pPr>
      <w:r>
        <w:t>The fundamental nature of the right of access</w:t>
      </w:r>
    </w:p>
    <w:p w14:paraId="333A9469" w14:textId="77777777" w:rsidR="000A6B28" w:rsidRDefault="000A6B28" w:rsidP="000A6B28">
      <w:r>
        <w:t xml:space="preserve">If certain information is determined to be unreasonable or disproportionate, TCAT will still search for any other information within the scope of the SAR. The DPO or Executive Headteacher/CEO will have regard to guidance from the Information Commissioners Office (ICO) on finding and retrieving information to ensure adherence to UK GDPR for all SARs. </w:t>
      </w:r>
    </w:p>
    <w:p w14:paraId="695C5A48" w14:textId="77777777" w:rsidR="000A6B28" w:rsidRDefault="000A6B28" w:rsidP="000A6B28">
      <w:r>
        <w:t>Routine management and changes as part of TCAT’s processing activities will be allowed to proceed as normal for personal data in line with the Data Protection Policy and Records Management Policy; however, the DPO/Executive Headteacher/CEO will ensure that all staff understand that data must not be amended or deleted with the intention of preventing its disclosure under a SAR.</w:t>
      </w:r>
    </w:p>
    <w:p w14:paraId="170069B4" w14:textId="77777777" w:rsidR="000A6B28" w:rsidRPr="00491972" w:rsidRDefault="000A6B28" w:rsidP="000A6B28">
      <w:pPr>
        <w:rPr>
          <w:b/>
          <w:bCs/>
        </w:rPr>
      </w:pPr>
      <w:r>
        <w:rPr>
          <w:b/>
          <w:bCs/>
        </w:rPr>
        <w:t>Sending information</w:t>
      </w:r>
    </w:p>
    <w:p w14:paraId="05E3E74D" w14:textId="77777777" w:rsidR="000A6B28" w:rsidRDefault="000A6B28" w:rsidP="000A6B28">
      <w:r w:rsidRPr="002F302D">
        <w:t xml:space="preserve">Individuals </w:t>
      </w:r>
      <w:r>
        <w:t>will</w:t>
      </w:r>
      <w:r w:rsidRPr="002F302D">
        <w:t xml:space="preserve"> receive the following information</w:t>
      </w:r>
      <w:r>
        <w:t>:</w:t>
      </w:r>
    </w:p>
    <w:p w14:paraId="132D1E56" w14:textId="77777777" w:rsidR="000A6B28" w:rsidRDefault="000A6B28" w:rsidP="000A6B28">
      <w:pPr>
        <w:pStyle w:val="ListParagraph"/>
        <w:numPr>
          <w:ilvl w:val="0"/>
          <w:numId w:val="36"/>
        </w:numPr>
      </w:pPr>
      <w:r>
        <w:t>Confirmation that TCAT is processing their personal data</w:t>
      </w:r>
    </w:p>
    <w:p w14:paraId="44F186E8" w14:textId="77777777" w:rsidR="000A6B28" w:rsidRDefault="000A6B28" w:rsidP="000A6B28">
      <w:pPr>
        <w:pStyle w:val="ListParagraph"/>
        <w:numPr>
          <w:ilvl w:val="0"/>
          <w:numId w:val="36"/>
        </w:numPr>
      </w:pPr>
      <w:r>
        <w:t>A copy of their personal data</w:t>
      </w:r>
    </w:p>
    <w:p w14:paraId="00D15EEE" w14:textId="77777777" w:rsidR="000A6B28" w:rsidRDefault="000A6B28" w:rsidP="000A6B28">
      <w:pPr>
        <w:pStyle w:val="ListParagraph"/>
        <w:numPr>
          <w:ilvl w:val="0"/>
          <w:numId w:val="36"/>
        </w:numPr>
      </w:pPr>
      <w:r>
        <w:t>Other supplementary information</w:t>
      </w:r>
    </w:p>
    <w:p w14:paraId="7B339278" w14:textId="77777777" w:rsidR="000A6B28" w:rsidRDefault="000A6B28" w:rsidP="000A6B28">
      <w:r>
        <w:lastRenderedPageBreak/>
        <w:t>In addition to the above, the information below will be supplied:</w:t>
      </w:r>
    </w:p>
    <w:p w14:paraId="048706C6" w14:textId="77777777" w:rsidR="000A6B28" w:rsidRDefault="000A6B28" w:rsidP="000A6B28">
      <w:pPr>
        <w:pStyle w:val="ListParagraph"/>
        <w:numPr>
          <w:ilvl w:val="0"/>
          <w:numId w:val="36"/>
        </w:numPr>
      </w:pPr>
      <w:r>
        <w:t>TCAT’s</w:t>
      </w:r>
      <w:r w:rsidRPr="002F302D">
        <w:t xml:space="preserve"> purposes for processing</w:t>
      </w:r>
    </w:p>
    <w:p w14:paraId="4B1B9EA3" w14:textId="77777777" w:rsidR="000A6B28" w:rsidRDefault="000A6B28" w:rsidP="000A6B28">
      <w:pPr>
        <w:pStyle w:val="ListParagraph"/>
        <w:numPr>
          <w:ilvl w:val="0"/>
          <w:numId w:val="36"/>
        </w:numPr>
      </w:pPr>
      <w:r>
        <w:t>C</w:t>
      </w:r>
      <w:r w:rsidRPr="002F302D">
        <w:t xml:space="preserve">ategories of personal data </w:t>
      </w:r>
      <w:r>
        <w:t>being processed</w:t>
      </w:r>
    </w:p>
    <w:p w14:paraId="7DA1C2B4" w14:textId="77777777" w:rsidR="000A6B28" w:rsidRDefault="000A6B28" w:rsidP="000A6B28">
      <w:pPr>
        <w:pStyle w:val="ListParagraph"/>
        <w:numPr>
          <w:ilvl w:val="0"/>
          <w:numId w:val="36"/>
        </w:numPr>
      </w:pPr>
      <w:r>
        <w:t>R</w:t>
      </w:r>
      <w:r w:rsidRPr="002F302D">
        <w:t xml:space="preserve">ecipients or categories of recipient </w:t>
      </w:r>
      <w:r>
        <w:t>TCAT has</w:t>
      </w:r>
      <w:r w:rsidRPr="002F302D">
        <w:t xml:space="preserve"> or will be disclosing the personal data to</w:t>
      </w:r>
    </w:p>
    <w:p w14:paraId="41B77E62" w14:textId="77777777" w:rsidR="000A6B28" w:rsidRDefault="000A6B28" w:rsidP="000A6B28">
      <w:pPr>
        <w:pStyle w:val="ListParagraph"/>
        <w:numPr>
          <w:ilvl w:val="0"/>
          <w:numId w:val="36"/>
        </w:numPr>
      </w:pPr>
      <w:r>
        <w:t xml:space="preserve">The </w:t>
      </w:r>
      <w:r w:rsidRPr="002F302D">
        <w:t xml:space="preserve">retention period for storing the personal data or, where this is not possible, the criteria for determining how long </w:t>
      </w:r>
      <w:r>
        <w:t>it will be stored</w:t>
      </w:r>
    </w:p>
    <w:p w14:paraId="37784D58" w14:textId="77777777" w:rsidR="000A6B28" w:rsidRDefault="000A6B28" w:rsidP="000A6B28">
      <w:pPr>
        <w:pStyle w:val="ListParagraph"/>
        <w:numPr>
          <w:ilvl w:val="0"/>
          <w:numId w:val="36"/>
        </w:numPr>
      </w:pPr>
      <w:r>
        <w:t>T</w:t>
      </w:r>
      <w:r w:rsidRPr="002F302D">
        <w:t>he individual’s right to request rectification, erasure or restriction or to object to processing</w:t>
      </w:r>
    </w:p>
    <w:p w14:paraId="1D3BF759" w14:textId="77777777" w:rsidR="000A6B28" w:rsidRDefault="000A6B28" w:rsidP="000A6B28">
      <w:pPr>
        <w:pStyle w:val="ListParagraph"/>
        <w:numPr>
          <w:ilvl w:val="0"/>
          <w:numId w:val="36"/>
        </w:numPr>
      </w:pPr>
      <w:r>
        <w:t>T</w:t>
      </w:r>
      <w:r w:rsidRPr="002F302D">
        <w:t xml:space="preserve">he individual’s right to lodge a complaint with the </w:t>
      </w:r>
      <w:r>
        <w:t>ICO</w:t>
      </w:r>
    </w:p>
    <w:p w14:paraId="208CC4A9" w14:textId="77777777" w:rsidR="000A6B28" w:rsidRDefault="000A6B28" w:rsidP="000A6B28">
      <w:pPr>
        <w:pStyle w:val="ListParagraph"/>
        <w:numPr>
          <w:ilvl w:val="0"/>
          <w:numId w:val="36"/>
        </w:numPr>
      </w:pPr>
      <w:r>
        <w:t>I</w:t>
      </w:r>
      <w:r w:rsidRPr="002F302D">
        <w:t xml:space="preserve">nformation about the source of the data, if </w:t>
      </w:r>
      <w:r>
        <w:t xml:space="preserve">TCAT </w:t>
      </w:r>
      <w:r w:rsidRPr="002F302D">
        <w:t>did not obtain it directly from the individual</w:t>
      </w:r>
    </w:p>
    <w:p w14:paraId="53614B21" w14:textId="77777777" w:rsidR="000A6B28" w:rsidRDefault="000A6B28" w:rsidP="000A6B28">
      <w:pPr>
        <w:pStyle w:val="ListParagraph"/>
        <w:numPr>
          <w:ilvl w:val="0"/>
          <w:numId w:val="36"/>
        </w:numPr>
      </w:pPr>
      <w:r>
        <w:t>W</w:t>
      </w:r>
      <w:r w:rsidRPr="002F302D">
        <w:t xml:space="preserve">hether or not </w:t>
      </w:r>
      <w:r>
        <w:t>TCAT uses</w:t>
      </w:r>
      <w:r w:rsidRPr="002F302D">
        <w:t xml:space="preserve"> automated decision-making</w:t>
      </w:r>
      <w:r>
        <w:t>,</w:t>
      </w:r>
      <w:r w:rsidRPr="002F302D">
        <w:t xml:space="preserve"> including profiling</w:t>
      </w:r>
      <w:r>
        <w:t>,</w:t>
      </w:r>
      <w:r w:rsidRPr="002F302D">
        <w:t xml:space="preserve"> and information about the logic involved, as well as the significance and envisaged consequences of the processing for the individual</w:t>
      </w:r>
    </w:p>
    <w:p w14:paraId="568C129E" w14:textId="77777777" w:rsidR="000A6B28" w:rsidRDefault="000A6B28" w:rsidP="000A6B28">
      <w:pPr>
        <w:pStyle w:val="ListParagraph"/>
        <w:numPr>
          <w:ilvl w:val="0"/>
          <w:numId w:val="36"/>
        </w:numPr>
      </w:pPr>
      <w:r>
        <w:t>T</w:t>
      </w:r>
      <w:r w:rsidRPr="002F302D">
        <w:t>he safeguards provided where personal data has or will be transferred to a third country or international organisation</w:t>
      </w:r>
    </w:p>
    <w:p w14:paraId="56B32B3D" w14:textId="77777777" w:rsidR="000A6B28" w:rsidRDefault="000A6B28" w:rsidP="000A6B28">
      <w:r>
        <w:t xml:space="preserve">If the information above is provided in TCAT’s privacy notice, a link to or a copy of the notice may be provided instead. </w:t>
      </w:r>
    </w:p>
    <w:p w14:paraId="328E95F5" w14:textId="77777777" w:rsidR="000A6B28" w:rsidRDefault="000A6B28" w:rsidP="000A6B28">
      <w:r>
        <w:t xml:space="preserve">Prior to sending any personal data, information will be thoroughly checked to see if anything should be redacted, e.g. references to other individuals. The destination, e.g. email or postal address, will be checked to ensure it is correct. The DPO or Executive Headteacher/CEO will ensure information is sent securely, with consideration given to the nature and sensitivity of the data. </w:t>
      </w:r>
    </w:p>
    <w:p w14:paraId="231BA6D5" w14:textId="77777777" w:rsidR="000A6B28" w:rsidRDefault="000A6B28" w:rsidP="000A6B28">
      <w:r>
        <w:t xml:space="preserve">Information provided will be explained, where necessary, to ensure it is easily understandable, e.g. clarifying the meaning of an attendance code. </w:t>
      </w:r>
    </w:p>
    <w:p w14:paraId="76DBF026" w14:textId="77777777" w:rsidR="000A6B28" w:rsidRDefault="000A6B28" w:rsidP="000A6B28">
      <w:r>
        <w:t>Where a SAR is made verbally or through social media, TCAT will ask for an appropriate delivery address for the response. TCAT will respond to all SARs in a commonly used electronic format unless the requester asks for it to be provided in another commonly used format. Information will typically be provided via copies of relevant sections of original documents.</w:t>
      </w:r>
    </w:p>
    <w:p w14:paraId="6E98D98A" w14:textId="77777777" w:rsidR="000A6B28" w:rsidRDefault="000A6B28" w:rsidP="000A6B28">
      <w:r>
        <w:t xml:space="preserve">Where the response is requested to be verbal, TCAT will accept, provided the individual’s identity is confirmed and only a small amount of information is requested. A record will be kept of the date, who provided the information, and what was shared.  </w:t>
      </w:r>
    </w:p>
    <w:p w14:paraId="78DE6729" w14:textId="77777777" w:rsidR="000A6B28" w:rsidRDefault="000A6B28" w:rsidP="000A6B28">
      <w:r>
        <w:t>Reasonable adjustments will be made to the format of the response, as required, to facilitate and comply with SARs made by an individual with a disability, in line with their specific needs.</w:t>
      </w:r>
    </w:p>
    <w:p w14:paraId="07287C9F" w14:textId="77777777" w:rsidR="000A6B28" w:rsidRDefault="000A6B28" w:rsidP="000A6B28">
      <w:r>
        <w:t>Where TCAT has concerns, e.g. about security, over the method the individual has requested their information, the DPO or Executive Headteacher/CEO will contact them as soon as possible to explain TCAT’s concerns and ask for an alternative address or method.</w:t>
      </w:r>
    </w:p>
    <w:p w14:paraId="6F767FDB" w14:textId="2D73A9A7" w:rsidR="000377EA" w:rsidRDefault="0049414F" w:rsidP="000377EA">
      <w:pPr>
        <w:pStyle w:val="Heading10"/>
      </w:pPr>
      <w:r>
        <w:lastRenderedPageBreak/>
        <w:t>Exemptions and refusing requests</w:t>
      </w:r>
    </w:p>
    <w:p w14:paraId="1D71EC58" w14:textId="77777777" w:rsidR="000A6B28" w:rsidRDefault="000A6B28" w:rsidP="000A6B28">
      <w:r>
        <w:t>SARs will be refused wholly or in part where:</w:t>
      </w:r>
    </w:p>
    <w:p w14:paraId="3684B3C1" w14:textId="77777777" w:rsidR="000A6B28" w:rsidRDefault="000A6B28" w:rsidP="000A6B28">
      <w:pPr>
        <w:pStyle w:val="ListParagraph"/>
        <w:numPr>
          <w:ilvl w:val="0"/>
          <w:numId w:val="46"/>
        </w:numPr>
      </w:pPr>
      <w:r>
        <w:t>An exemption applies</w:t>
      </w:r>
    </w:p>
    <w:p w14:paraId="1BF0B28B" w14:textId="77777777" w:rsidR="000A6B28" w:rsidRDefault="000A6B28" w:rsidP="000A6B28">
      <w:pPr>
        <w:pStyle w:val="ListParagraph"/>
        <w:numPr>
          <w:ilvl w:val="0"/>
          <w:numId w:val="46"/>
        </w:numPr>
      </w:pPr>
      <w:r>
        <w:t>It is manifestly unfounded or manifestly excessive</w:t>
      </w:r>
    </w:p>
    <w:p w14:paraId="7BFE3BEF" w14:textId="77777777" w:rsidR="000A6B28" w:rsidRDefault="000A6B28" w:rsidP="000A6B28">
      <w:pPr>
        <w:pStyle w:val="ListParagraph"/>
        <w:numPr>
          <w:ilvl w:val="0"/>
          <w:numId w:val="46"/>
        </w:numPr>
      </w:pPr>
      <w:r>
        <w:t xml:space="preserve">Complying would cause serious harm to the physical or mental health of any individual, provided TCAT has obtained an opinion </w:t>
      </w:r>
      <w:r w:rsidRPr="001404A2">
        <w:t xml:space="preserve">within the last six months from </w:t>
      </w:r>
      <w:r>
        <w:t xml:space="preserve">an </w:t>
      </w:r>
      <w:r w:rsidRPr="001404A2">
        <w:t>appropriate health professional that the serious harm test is met</w:t>
      </w:r>
    </w:p>
    <w:p w14:paraId="24C1202A" w14:textId="20A805B0" w:rsidR="00932D82" w:rsidRDefault="00932D82" w:rsidP="000A6B28">
      <w:pPr>
        <w:pStyle w:val="ListParagraph"/>
        <w:numPr>
          <w:ilvl w:val="0"/>
          <w:numId w:val="46"/>
        </w:numPr>
      </w:pPr>
      <w:r>
        <w:t>The DPO advises the SAR to be refused</w:t>
      </w:r>
    </w:p>
    <w:p w14:paraId="634E3DED" w14:textId="77777777" w:rsidR="000A6B28" w:rsidRDefault="000A6B28" w:rsidP="000A6B28">
      <w:r>
        <w:t xml:space="preserve">All SARs will be considered on a case-by-case basis and in the context in which it is made before a decision is made to refuse to it. Where an individual genuinely wants to exercise their right to access, TCAT will not refuse the SAR without strong justification. </w:t>
      </w:r>
    </w:p>
    <w:p w14:paraId="4BAAA1E9" w14:textId="77777777" w:rsidR="000A6B28" w:rsidRDefault="000A6B28" w:rsidP="000A6B28">
      <w:r>
        <w:t>Following a refusal, TCAT will inform the individual of:</w:t>
      </w:r>
    </w:p>
    <w:p w14:paraId="6C12484D" w14:textId="77777777" w:rsidR="000A6B28" w:rsidRPr="0050124F" w:rsidRDefault="000A6B28" w:rsidP="000A6B28">
      <w:pPr>
        <w:pStyle w:val="ListParagraph"/>
        <w:numPr>
          <w:ilvl w:val="0"/>
          <w:numId w:val="41"/>
        </w:numPr>
        <w:rPr>
          <w:b/>
          <w:bCs/>
        </w:rPr>
      </w:pPr>
      <w:r>
        <w:t>The reasons why</w:t>
      </w:r>
    </w:p>
    <w:p w14:paraId="146C97F4" w14:textId="77777777" w:rsidR="000A6B28" w:rsidRPr="0050124F" w:rsidRDefault="000A6B28" w:rsidP="000A6B28">
      <w:pPr>
        <w:pStyle w:val="ListParagraph"/>
        <w:numPr>
          <w:ilvl w:val="0"/>
          <w:numId w:val="41"/>
        </w:numPr>
        <w:rPr>
          <w:b/>
          <w:bCs/>
        </w:rPr>
      </w:pPr>
      <w:r>
        <w:t>Their right to make a complaint to the ICO</w:t>
      </w:r>
    </w:p>
    <w:p w14:paraId="250E275C" w14:textId="77777777" w:rsidR="000A6B28" w:rsidRPr="0050124F" w:rsidRDefault="000A6B28" w:rsidP="000A6B28">
      <w:pPr>
        <w:pStyle w:val="ListParagraph"/>
        <w:numPr>
          <w:ilvl w:val="0"/>
          <w:numId w:val="41"/>
        </w:numPr>
        <w:rPr>
          <w:b/>
          <w:bCs/>
        </w:rPr>
      </w:pPr>
      <w:r>
        <w:t>Their ability to seek to enforce their right through the courts</w:t>
      </w:r>
    </w:p>
    <w:p w14:paraId="2B08C559" w14:textId="77777777" w:rsidR="000A6B28" w:rsidRDefault="000A6B28" w:rsidP="000A6B28">
      <w:r>
        <w:t xml:space="preserve">TCAT will be as transparent as possible on the reasons for withholding information; however, where telling an individual that a particular exemption applies would prejudice the purpose of that exemption, the response will be generalised. </w:t>
      </w:r>
    </w:p>
    <w:p w14:paraId="0A87A168" w14:textId="77777777" w:rsidR="000A6B28" w:rsidRPr="0050124F" w:rsidRDefault="000A6B28" w:rsidP="000A6B28">
      <w:r>
        <w:t xml:space="preserve">A record of when and why a decision was made to refuse a SAR, in whole or in part, will be maintained on the SAR Log. </w:t>
      </w:r>
    </w:p>
    <w:p w14:paraId="1047BD7E" w14:textId="77777777" w:rsidR="000A6B28" w:rsidRPr="003D2D31" w:rsidRDefault="000A6B28" w:rsidP="000A6B28">
      <w:pPr>
        <w:rPr>
          <w:b/>
          <w:bCs/>
        </w:rPr>
      </w:pPr>
      <w:r>
        <w:rPr>
          <w:b/>
          <w:bCs/>
        </w:rPr>
        <w:t>Manifestly unfounded requests</w:t>
      </w:r>
    </w:p>
    <w:p w14:paraId="2B3D52C8" w14:textId="77777777" w:rsidR="000A6B28" w:rsidRDefault="000A6B28" w:rsidP="000A6B28">
      <w:r>
        <w:t>TCAT will refuse to comply with a SAR wholly or partly where it is determined to be manifestly unfounded. This will apply where an individual has no clear intention to exercise their right of access, e.g. they offer to withdraw the SAR in return for some form of benefit, or the request is malicious in intent and is being used to harass TCAT to cause disruption. Examples of malicious requests include, but are not limited to, where an individual:</w:t>
      </w:r>
    </w:p>
    <w:p w14:paraId="6A9D8B7C" w14:textId="77777777" w:rsidR="000A6B28" w:rsidRDefault="000A6B28" w:rsidP="000A6B28">
      <w:pPr>
        <w:pStyle w:val="ListParagraph"/>
        <w:numPr>
          <w:ilvl w:val="0"/>
          <w:numId w:val="39"/>
        </w:numPr>
      </w:pPr>
      <w:r>
        <w:t>Explicitly states in the request or other communications their intent to cause disruption</w:t>
      </w:r>
    </w:p>
    <w:p w14:paraId="38FD032B" w14:textId="77777777" w:rsidR="000A6B28" w:rsidRDefault="000A6B28" w:rsidP="000A6B28">
      <w:pPr>
        <w:pStyle w:val="ListParagraph"/>
        <w:numPr>
          <w:ilvl w:val="0"/>
          <w:numId w:val="39"/>
        </w:numPr>
      </w:pPr>
      <w:r>
        <w:t>Makes unsubstantiated accusations against TCAT or our schools or specific employees</w:t>
      </w:r>
    </w:p>
    <w:p w14:paraId="5D6F4A68" w14:textId="77777777" w:rsidR="000A6B28" w:rsidRDefault="000A6B28" w:rsidP="000A6B28">
      <w:pPr>
        <w:pStyle w:val="ListParagraph"/>
        <w:numPr>
          <w:ilvl w:val="0"/>
          <w:numId w:val="39"/>
        </w:numPr>
      </w:pPr>
      <w:r>
        <w:t>Targets a particular employee against whom they have a personal grudge</w:t>
      </w:r>
    </w:p>
    <w:p w14:paraId="1186640E" w14:textId="77777777" w:rsidR="000A6B28" w:rsidRDefault="000A6B28" w:rsidP="000A6B28">
      <w:pPr>
        <w:pStyle w:val="ListParagraph"/>
        <w:numPr>
          <w:ilvl w:val="0"/>
          <w:numId w:val="39"/>
        </w:numPr>
      </w:pPr>
      <w:r>
        <w:lastRenderedPageBreak/>
        <w:t>Systematically sends different requests to TCAT, e.g. once a week, as part of a campaign</w:t>
      </w:r>
    </w:p>
    <w:p w14:paraId="6BB9329E" w14:textId="77777777" w:rsidR="000A6B28" w:rsidRDefault="000A6B28" w:rsidP="000A6B28">
      <w:pPr>
        <w:rPr>
          <w:b/>
          <w:bCs/>
        </w:rPr>
      </w:pPr>
      <w:r>
        <w:rPr>
          <w:b/>
          <w:bCs/>
        </w:rPr>
        <w:t>Manifestly excessive requests</w:t>
      </w:r>
    </w:p>
    <w:p w14:paraId="3AD7C6D1" w14:textId="77777777" w:rsidR="000A6B28" w:rsidRDefault="000A6B28" w:rsidP="000A6B28">
      <w:r>
        <w:t>TCAT will refuse to comply with a SAR wholly or partly where it is determined to be manifestly excessive, i.e. it is clearly or obviously unreasonable. The DPO or Executive Headteacher/CEO will consider whether the request is proportionate when balanced with the burden or costs involved in dealing with it, and consider the following circumstances:</w:t>
      </w:r>
    </w:p>
    <w:p w14:paraId="02F31DAA" w14:textId="77777777" w:rsidR="000A6B28" w:rsidRPr="003D2D31" w:rsidRDefault="000A6B28" w:rsidP="000A6B28">
      <w:pPr>
        <w:pStyle w:val="ListParagraph"/>
        <w:numPr>
          <w:ilvl w:val="0"/>
          <w:numId w:val="40"/>
        </w:numPr>
      </w:pPr>
      <w:r w:rsidRPr="003D2D31">
        <w:t>The nature of the requested information</w:t>
      </w:r>
    </w:p>
    <w:p w14:paraId="43C5BF26" w14:textId="77777777" w:rsidR="000A6B28" w:rsidRPr="003D2D31" w:rsidRDefault="000A6B28" w:rsidP="000A6B28">
      <w:pPr>
        <w:pStyle w:val="ListParagraph"/>
        <w:numPr>
          <w:ilvl w:val="0"/>
          <w:numId w:val="40"/>
        </w:numPr>
      </w:pPr>
      <w:r w:rsidRPr="003D2D31">
        <w:t xml:space="preserve">The context of the request, and the relationship between </w:t>
      </w:r>
      <w:r>
        <w:t>TCAT</w:t>
      </w:r>
      <w:r w:rsidRPr="003D2D31">
        <w:t xml:space="preserve"> and the individual</w:t>
      </w:r>
    </w:p>
    <w:p w14:paraId="1442FE16" w14:textId="77777777" w:rsidR="000A6B28" w:rsidRPr="003D2D31" w:rsidRDefault="000A6B28" w:rsidP="000A6B28">
      <w:pPr>
        <w:pStyle w:val="ListParagraph"/>
        <w:numPr>
          <w:ilvl w:val="0"/>
          <w:numId w:val="40"/>
        </w:numPr>
      </w:pPr>
      <w:r w:rsidRPr="003D2D31">
        <w:t>Whether a refusal to provide the information</w:t>
      </w:r>
      <w:r>
        <w:t>,</w:t>
      </w:r>
      <w:r w:rsidRPr="003D2D31">
        <w:t xml:space="preserve"> or even acknowledge if </w:t>
      </w:r>
      <w:r>
        <w:t>TCAT</w:t>
      </w:r>
      <w:r w:rsidRPr="003D2D31">
        <w:t xml:space="preserve"> holds it</w:t>
      </w:r>
      <w:r>
        <w:t>,</w:t>
      </w:r>
      <w:r w:rsidRPr="003D2D31">
        <w:t xml:space="preserve"> may cause substantive damage to the individual</w:t>
      </w:r>
    </w:p>
    <w:p w14:paraId="691A3DF9" w14:textId="77777777" w:rsidR="000A6B28" w:rsidRPr="003D2D31" w:rsidRDefault="000A6B28" w:rsidP="000A6B28">
      <w:pPr>
        <w:pStyle w:val="ListParagraph"/>
        <w:numPr>
          <w:ilvl w:val="0"/>
          <w:numId w:val="40"/>
        </w:numPr>
      </w:pPr>
      <w:r w:rsidRPr="003D2D31">
        <w:t>T</w:t>
      </w:r>
      <w:r>
        <w:t>CAT</w:t>
      </w:r>
      <w:r w:rsidRPr="003D2D31">
        <w:t>’s available resources</w:t>
      </w:r>
    </w:p>
    <w:p w14:paraId="2EC86B33" w14:textId="77777777" w:rsidR="000A6B28" w:rsidRDefault="000A6B28" w:rsidP="000A6B28">
      <w:pPr>
        <w:pStyle w:val="ListParagraph"/>
        <w:numPr>
          <w:ilvl w:val="0"/>
          <w:numId w:val="40"/>
        </w:numPr>
      </w:pPr>
      <w:r w:rsidRPr="003D2D31">
        <w:t>Whether the request largely repeats previous requests, and a reasonable interval has not elapsed</w:t>
      </w:r>
    </w:p>
    <w:p w14:paraId="59C55306" w14:textId="77777777" w:rsidR="000A6B28" w:rsidRPr="003D2D31" w:rsidRDefault="000A6B28" w:rsidP="000A6B28">
      <w:pPr>
        <w:pStyle w:val="ListParagraph"/>
        <w:numPr>
          <w:ilvl w:val="0"/>
          <w:numId w:val="40"/>
        </w:numPr>
      </w:pPr>
      <w:r>
        <w:t>W</w:t>
      </w:r>
      <w:r w:rsidRPr="003D2D31">
        <w:t xml:space="preserve">hether it overlaps with other requests </w:t>
      </w:r>
    </w:p>
    <w:p w14:paraId="020F02AC" w14:textId="77777777" w:rsidR="000A6B28" w:rsidRPr="003D2D31" w:rsidRDefault="000A6B28" w:rsidP="000A6B28">
      <w:pPr>
        <w:rPr>
          <w:b/>
          <w:bCs/>
        </w:rPr>
      </w:pPr>
      <w:r>
        <w:rPr>
          <w:b/>
          <w:bCs/>
        </w:rPr>
        <w:t>Information about other individuals</w:t>
      </w:r>
    </w:p>
    <w:p w14:paraId="14E62CC5" w14:textId="77777777" w:rsidR="000A6B28" w:rsidRDefault="000A6B28" w:rsidP="000A6B28">
      <w:r>
        <w:t>Where the information requested would mean disclosing information that identifies another individual, the SAR will be refused wholly or partly unless:</w:t>
      </w:r>
    </w:p>
    <w:p w14:paraId="5D504275" w14:textId="77777777" w:rsidR="000A6B28" w:rsidRDefault="000A6B28" w:rsidP="000A6B28">
      <w:pPr>
        <w:pStyle w:val="ListParagraph"/>
        <w:numPr>
          <w:ilvl w:val="0"/>
          <w:numId w:val="38"/>
        </w:numPr>
      </w:pPr>
      <w:r>
        <w:t>The other individual consents to the disclosure</w:t>
      </w:r>
    </w:p>
    <w:p w14:paraId="6B125885" w14:textId="77777777" w:rsidR="000A6B28" w:rsidRDefault="000A6B28" w:rsidP="000A6B28">
      <w:pPr>
        <w:pStyle w:val="ListParagraph"/>
        <w:numPr>
          <w:ilvl w:val="0"/>
          <w:numId w:val="38"/>
        </w:numPr>
      </w:pPr>
      <w:r>
        <w:t>It is reasonable to comply with the request without the other individual’s consent</w:t>
      </w:r>
    </w:p>
    <w:p w14:paraId="39DAD43D" w14:textId="77777777" w:rsidR="000A6B28" w:rsidRDefault="000A6B28" w:rsidP="000A6B28">
      <w:r>
        <w:t>The DPO or Executive Headteacher/CEO will determine on a case-by-case basis whether it is reasonable to comply without the other individual’s consent. Considerations will include:</w:t>
      </w:r>
    </w:p>
    <w:p w14:paraId="1B0CED9F" w14:textId="77777777" w:rsidR="000A6B28" w:rsidRDefault="000A6B28" w:rsidP="000A6B28">
      <w:pPr>
        <w:pStyle w:val="ListParagraph"/>
        <w:numPr>
          <w:ilvl w:val="0"/>
          <w:numId w:val="42"/>
        </w:numPr>
      </w:pPr>
      <w:r>
        <w:t>Information the person making the request may have, or may get hold of, that could enable them to identify another individual referred to</w:t>
      </w:r>
    </w:p>
    <w:p w14:paraId="5A04AED9" w14:textId="77777777" w:rsidR="000A6B28" w:rsidRDefault="000A6B28" w:rsidP="000A6B28">
      <w:pPr>
        <w:pStyle w:val="ListParagraph"/>
        <w:numPr>
          <w:ilvl w:val="0"/>
          <w:numId w:val="42"/>
        </w:numPr>
      </w:pPr>
      <w:r>
        <w:t>Whether names can be deleted, or documents edited, so that information on another individual is not included, while still complying with the request</w:t>
      </w:r>
    </w:p>
    <w:p w14:paraId="00B49C9E" w14:textId="77777777" w:rsidR="000A6B28" w:rsidRDefault="000A6B28" w:rsidP="000A6B28">
      <w:pPr>
        <w:pStyle w:val="ListParagraph"/>
        <w:numPr>
          <w:ilvl w:val="0"/>
          <w:numId w:val="42"/>
        </w:numPr>
      </w:pPr>
      <w:r>
        <w:t>T</w:t>
      </w:r>
      <w:r w:rsidRPr="00B006B6">
        <w:t xml:space="preserve">he type of information that would </w:t>
      </w:r>
      <w:r>
        <w:t xml:space="preserve">be </w:t>
      </w:r>
      <w:r w:rsidRPr="00B006B6">
        <w:t>disclose</w:t>
      </w:r>
      <w:r>
        <w:t>d, e.g. if it is of a sensitive nature, if it is already known or generally available to the public</w:t>
      </w:r>
    </w:p>
    <w:p w14:paraId="2BE90E73" w14:textId="77777777" w:rsidR="000A6B28" w:rsidRDefault="000A6B28" w:rsidP="000A6B28">
      <w:pPr>
        <w:pStyle w:val="ListParagraph"/>
        <w:numPr>
          <w:ilvl w:val="0"/>
          <w:numId w:val="42"/>
        </w:numPr>
      </w:pPr>
      <w:r>
        <w:t>A</w:t>
      </w:r>
      <w:r w:rsidRPr="00B006B6">
        <w:t xml:space="preserve">ny duty of confidentiality owed to the </w:t>
      </w:r>
      <w:r>
        <w:t>other individual</w:t>
      </w:r>
    </w:p>
    <w:p w14:paraId="26DC1C56" w14:textId="77777777" w:rsidR="000A6B28" w:rsidRDefault="000A6B28" w:rsidP="000A6B28">
      <w:pPr>
        <w:pStyle w:val="ListParagraph"/>
        <w:numPr>
          <w:ilvl w:val="0"/>
          <w:numId w:val="42"/>
        </w:numPr>
      </w:pPr>
      <w:r>
        <w:t>A</w:t>
      </w:r>
      <w:r w:rsidRPr="00B006B6">
        <w:t xml:space="preserve">ny steps taken to try to get the </w:t>
      </w:r>
      <w:r>
        <w:t>other individual’s</w:t>
      </w:r>
      <w:r w:rsidRPr="00B006B6">
        <w:t xml:space="preserve"> consent</w:t>
      </w:r>
    </w:p>
    <w:p w14:paraId="6537C3F4" w14:textId="77777777" w:rsidR="000A6B28" w:rsidRDefault="000A6B28" w:rsidP="000A6B28">
      <w:pPr>
        <w:pStyle w:val="ListParagraph"/>
        <w:numPr>
          <w:ilvl w:val="0"/>
          <w:numId w:val="42"/>
        </w:numPr>
      </w:pPr>
      <w:r>
        <w:lastRenderedPageBreak/>
        <w:t>W</w:t>
      </w:r>
      <w:r w:rsidRPr="00B006B6">
        <w:t xml:space="preserve">hether the </w:t>
      </w:r>
      <w:r>
        <w:t>other</w:t>
      </w:r>
      <w:r w:rsidRPr="00B006B6">
        <w:t xml:space="preserve"> individual is capable of giving consent</w:t>
      </w:r>
    </w:p>
    <w:p w14:paraId="27654C62" w14:textId="77777777" w:rsidR="000A6B28" w:rsidRDefault="000A6B28" w:rsidP="000A6B28">
      <w:pPr>
        <w:pStyle w:val="ListParagraph"/>
        <w:numPr>
          <w:ilvl w:val="0"/>
          <w:numId w:val="42"/>
        </w:numPr>
      </w:pPr>
      <w:r>
        <w:t>A</w:t>
      </w:r>
      <w:r w:rsidRPr="00B006B6">
        <w:t xml:space="preserve">ny stated refusal of consent by the </w:t>
      </w:r>
      <w:r>
        <w:t>other</w:t>
      </w:r>
      <w:r w:rsidRPr="00B006B6">
        <w:t xml:space="preserve"> individual</w:t>
      </w:r>
    </w:p>
    <w:p w14:paraId="74301A93" w14:textId="77777777" w:rsidR="000A6B28" w:rsidRDefault="000A6B28" w:rsidP="000A6B28">
      <w:r>
        <w:t>All staff will be made aware that, under the Data Protection Act 2018, i</w:t>
      </w:r>
      <w:r w:rsidRPr="00E448F0">
        <w:t xml:space="preserve">f </w:t>
      </w:r>
      <w:r>
        <w:t>an individual</w:t>
      </w:r>
      <w:r w:rsidRPr="00E448F0">
        <w:t xml:space="preserve"> requests information that is also the personal data of an education worker, it is reasonable </w:t>
      </w:r>
      <w:r>
        <w:t xml:space="preserve">for TCAT </w:t>
      </w:r>
      <w:r w:rsidRPr="00E448F0">
        <w:t xml:space="preserve">to disclose information about them without their consent, </w:t>
      </w:r>
      <w:r>
        <w:t>provided the worker is:</w:t>
      </w:r>
    </w:p>
    <w:p w14:paraId="74786479" w14:textId="77777777" w:rsidR="000A6B28" w:rsidRDefault="000A6B28" w:rsidP="000A6B28">
      <w:pPr>
        <w:pStyle w:val="ListParagraph"/>
        <w:numPr>
          <w:ilvl w:val="0"/>
          <w:numId w:val="43"/>
        </w:numPr>
      </w:pPr>
      <w:r>
        <w:t>An employee of an LA that maintains a school</w:t>
      </w:r>
    </w:p>
    <w:p w14:paraId="49B36586" w14:textId="77777777" w:rsidR="000A6B28" w:rsidRDefault="000A6B28" w:rsidP="000A6B28">
      <w:pPr>
        <w:pStyle w:val="ListParagraph"/>
        <w:numPr>
          <w:ilvl w:val="0"/>
          <w:numId w:val="43"/>
        </w:numPr>
      </w:pPr>
      <w:r>
        <w:t>A teacher or other employee at a voluntary-aided, foundation or foundation special school, an academy school, alternative-provision academy, independent school or non-maintained special school</w:t>
      </w:r>
    </w:p>
    <w:p w14:paraId="024AB15B" w14:textId="77777777" w:rsidR="000A6B28" w:rsidRDefault="000A6B28" w:rsidP="000A6B28">
      <w:r>
        <w:rPr>
          <w:b/>
          <w:bCs/>
        </w:rPr>
        <w:t>Education data</w:t>
      </w:r>
    </w:p>
    <w:p w14:paraId="0682A436" w14:textId="77777777" w:rsidR="000A6B28" w:rsidRPr="007E7358" w:rsidRDefault="000A6B28" w:rsidP="000A6B28">
      <w:r>
        <w:t xml:space="preserve">Education data is personal data which consists of information that forms parts of a pupil’s educational record and is not data concerning health. Most of the personal information held by TCAT and our schools about a particular pupil will typically be considered to form part of the pupil’s educational record, including a statement of SEN. Information that teaching staff keep solely for their own professional use will not form part of a pupil’s educational record. </w:t>
      </w:r>
    </w:p>
    <w:p w14:paraId="5CE26F47" w14:textId="77777777" w:rsidR="000A6B28" w:rsidRDefault="000A6B28" w:rsidP="000A6B28">
      <w:pPr>
        <w:rPr>
          <w:b/>
          <w:bCs/>
        </w:rPr>
      </w:pPr>
      <w:r>
        <w:rPr>
          <w:b/>
          <w:bCs/>
        </w:rPr>
        <w:t>Child abuse data</w:t>
      </w:r>
    </w:p>
    <w:p w14:paraId="75D3E872" w14:textId="77777777" w:rsidR="000A6B28" w:rsidRDefault="000A6B28" w:rsidP="000A6B28">
      <w:r w:rsidRPr="00A87CE1">
        <w:t>Child abuse data is personal data consisting of information about whether the data subject is</w:t>
      </w:r>
      <w:r>
        <w:t>,</w:t>
      </w:r>
      <w:r w:rsidRPr="00A87CE1">
        <w:t xml:space="preserve"> or has been</w:t>
      </w:r>
      <w:r>
        <w:t>,</w:t>
      </w:r>
      <w:r w:rsidRPr="00A87CE1">
        <w:t xml:space="preserve"> the subject of, or may be at risk of, child abuse. This includes physical injury to, and physical and emotional neglect, ill-treatment and sexual abuse of, an individual aged under 18. </w:t>
      </w:r>
      <w:r>
        <w:t xml:space="preserve">TCAT is </w:t>
      </w:r>
      <w:r w:rsidRPr="00A87CE1">
        <w:t xml:space="preserve">exempt from providing child abuse data in response to a SAR from someone: </w:t>
      </w:r>
    </w:p>
    <w:p w14:paraId="5D896362" w14:textId="77777777" w:rsidR="000A6B28" w:rsidRDefault="000A6B28" w:rsidP="000A6B28">
      <w:pPr>
        <w:pStyle w:val="ListParagraph"/>
        <w:numPr>
          <w:ilvl w:val="0"/>
          <w:numId w:val="44"/>
        </w:numPr>
      </w:pPr>
      <w:r>
        <w:t>W</w:t>
      </w:r>
      <w:r w:rsidRPr="00A87CE1">
        <w:t>ith parental responsibility for an individual aged under 18</w:t>
      </w:r>
    </w:p>
    <w:p w14:paraId="7AB69E1C" w14:textId="77777777" w:rsidR="000A6B28" w:rsidRDefault="000A6B28" w:rsidP="000A6B28">
      <w:pPr>
        <w:pStyle w:val="ListParagraph"/>
        <w:numPr>
          <w:ilvl w:val="0"/>
          <w:numId w:val="44"/>
        </w:numPr>
      </w:pPr>
      <w:r>
        <w:t>A</w:t>
      </w:r>
      <w:r w:rsidRPr="00A87CE1">
        <w:t xml:space="preserve">ppointed by a court to manage the affairs of an individual who is incapable of managing their own affairs </w:t>
      </w:r>
    </w:p>
    <w:p w14:paraId="4ADC8D82" w14:textId="77777777" w:rsidR="000A6B28" w:rsidRDefault="000A6B28" w:rsidP="000A6B28">
      <w:r>
        <w:t>The</w:t>
      </w:r>
      <w:r w:rsidRPr="00A87CE1">
        <w:t xml:space="preserve"> exemption </w:t>
      </w:r>
      <w:r>
        <w:t xml:space="preserve">will </w:t>
      </w:r>
      <w:r w:rsidRPr="00A87CE1">
        <w:t>only a</w:t>
      </w:r>
      <w:r>
        <w:t>pply</w:t>
      </w:r>
      <w:r w:rsidRPr="00A87CE1">
        <w:t xml:space="preserve"> to the extent that complying with the request would not be in the best interests of the </w:t>
      </w:r>
      <w:r>
        <w:t>pupil</w:t>
      </w:r>
      <w:r w:rsidRPr="00A87CE1">
        <w:t>.</w:t>
      </w:r>
    </w:p>
    <w:p w14:paraId="0A2D9F74" w14:textId="77777777" w:rsidR="000A6B28" w:rsidRDefault="000A6B28" w:rsidP="000A6B28">
      <w:pPr>
        <w:rPr>
          <w:b/>
          <w:bCs/>
        </w:rPr>
      </w:pPr>
      <w:r>
        <w:rPr>
          <w:b/>
          <w:bCs/>
        </w:rPr>
        <w:t xml:space="preserve">Health data </w:t>
      </w:r>
    </w:p>
    <w:p w14:paraId="134AD5D9" w14:textId="77777777" w:rsidR="000A6B28" w:rsidRDefault="000A6B28" w:rsidP="000A6B28">
      <w:r>
        <w:t>H</w:t>
      </w:r>
      <w:r w:rsidRPr="007E7358">
        <w:t xml:space="preserve">ealth data </w:t>
      </w:r>
      <w:r>
        <w:t xml:space="preserve">will not be disclosed </w:t>
      </w:r>
      <w:r w:rsidRPr="007E7358">
        <w:t xml:space="preserve">in response to a SAR, unless: </w:t>
      </w:r>
    </w:p>
    <w:p w14:paraId="38FA9BDB" w14:textId="77777777" w:rsidR="000A6B28" w:rsidRDefault="000A6B28" w:rsidP="000A6B28">
      <w:pPr>
        <w:pStyle w:val="ListParagraph"/>
        <w:numPr>
          <w:ilvl w:val="0"/>
          <w:numId w:val="45"/>
        </w:numPr>
      </w:pPr>
      <w:r>
        <w:t>W</w:t>
      </w:r>
      <w:r w:rsidRPr="007E7358">
        <w:t xml:space="preserve">ithin the last six months </w:t>
      </w:r>
      <w:r>
        <w:t>TCAT has</w:t>
      </w:r>
      <w:r w:rsidRPr="007E7358">
        <w:t xml:space="preserve"> obtained an opinion from the appropriate health professional that the serious harm test for health data is not me</w:t>
      </w:r>
      <w:r>
        <w:t>t;</w:t>
      </w:r>
      <w:r w:rsidRPr="007E7358">
        <w:t xml:space="preserve"> the appropriate health professional </w:t>
      </w:r>
      <w:r>
        <w:t>will also be reconsulted if</w:t>
      </w:r>
      <w:r w:rsidRPr="007E7358">
        <w:t xml:space="preserve"> it would be reasonable </w:t>
      </w:r>
      <w:r>
        <w:t>given</w:t>
      </w:r>
      <w:r w:rsidRPr="007E7358">
        <w:t xml:space="preserve"> the circumstances</w:t>
      </w:r>
    </w:p>
    <w:p w14:paraId="0139F8FA" w14:textId="77777777" w:rsidR="000A6B28" w:rsidRDefault="000A6B28" w:rsidP="000A6B28">
      <w:pPr>
        <w:pStyle w:val="ListParagraph"/>
        <w:numPr>
          <w:ilvl w:val="0"/>
          <w:numId w:val="45"/>
        </w:numPr>
      </w:pPr>
      <w:r>
        <w:lastRenderedPageBreak/>
        <w:t xml:space="preserve">TCAT is </w:t>
      </w:r>
      <w:r w:rsidRPr="007E7358">
        <w:t>satisfied that the individual it is about has already seen, or knows about, the health data</w:t>
      </w:r>
    </w:p>
    <w:p w14:paraId="28114F2F" w14:textId="77777777" w:rsidR="000A6B28" w:rsidRDefault="000A6B28" w:rsidP="000A6B28">
      <w:pPr>
        <w:rPr>
          <w:b/>
          <w:bCs/>
        </w:rPr>
      </w:pPr>
      <w:r>
        <w:rPr>
          <w:b/>
          <w:bCs/>
        </w:rPr>
        <w:t>Exam scripts and exam marks</w:t>
      </w:r>
    </w:p>
    <w:p w14:paraId="3B17990A" w14:textId="77777777" w:rsidR="000A6B28" w:rsidRDefault="000A6B28" w:rsidP="000A6B28">
      <w:r>
        <w:t>Pupils</w:t>
      </w:r>
      <w:r w:rsidRPr="008B5AC3">
        <w:t xml:space="preserve"> do not have the right to copies of their answers to exam questions</w:t>
      </w:r>
      <w:r>
        <w:t xml:space="preserve"> but can access t</w:t>
      </w:r>
      <w:r w:rsidRPr="008B5AC3">
        <w:t>he information recorded by the person marking the exam.</w:t>
      </w:r>
      <w:r>
        <w:t xml:space="preserve"> Where</w:t>
      </w:r>
      <w:r w:rsidRPr="008B5AC3">
        <w:t xml:space="preserve"> a</w:t>
      </w:r>
      <w:r>
        <w:t xml:space="preserve"> pupil</w:t>
      </w:r>
      <w:r w:rsidRPr="008B5AC3">
        <w:t xml:space="preserve"> makes a SAR for this information before the results are announced, special rules </w:t>
      </w:r>
      <w:r>
        <w:t xml:space="preserve">will </w:t>
      </w:r>
      <w:r w:rsidRPr="008B5AC3">
        <w:t xml:space="preserve">apply </w:t>
      </w:r>
      <w:r>
        <w:t>for</w:t>
      </w:r>
      <w:r w:rsidRPr="008B5AC3">
        <w:t xml:space="preserve"> how long </w:t>
      </w:r>
      <w:r>
        <w:t xml:space="preserve">TCAT </w:t>
      </w:r>
      <w:r w:rsidRPr="008B5AC3">
        <w:t xml:space="preserve">has to comply with the request. </w:t>
      </w:r>
      <w:r>
        <w:t>T</w:t>
      </w:r>
      <w:r w:rsidRPr="008B5AC3">
        <w:t>he</w:t>
      </w:r>
      <w:r>
        <w:t xml:space="preserve"> information</w:t>
      </w:r>
      <w:r w:rsidRPr="008B5AC3">
        <w:t xml:space="preserve"> </w:t>
      </w:r>
      <w:r>
        <w:t xml:space="preserve">will be provided </w:t>
      </w:r>
      <w:r w:rsidRPr="008B5AC3">
        <w:t>within</w:t>
      </w:r>
      <w:r>
        <w:t xml:space="preserve"> </w:t>
      </w:r>
      <w:r w:rsidRPr="008B5AC3">
        <w:t>five months of receiving the request</w:t>
      </w:r>
      <w:r>
        <w:t>,</w:t>
      </w:r>
      <w:r w:rsidRPr="008B5AC3">
        <w:t xml:space="preserve"> or 40 days of </w:t>
      </w:r>
      <w:r>
        <w:t xml:space="preserve">the exam results being announced </w:t>
      </w:r>
      <w:r w:rsidRPr="008B5AC3">
        <w:t>if this is earlier.</w:t>
      </w:r>
    </w:p>
    <w:p w14:paraId="5DADF2AF" w14:textId="19122603" w:rsidR="0049414F" w:rsidRDefault="0049414F" w:rsidP="0049414F">
      <w:pPr>
        <w:pStyle w:val="Heading10"/>
      </w:pPr>
      <w:r>
        <w:t>Record-keeping</w:t>
      </w:r>
    </w:p>
    <w:p w14:paraId="7C790C45" w14:textId="77777777" w:rsidR="000A6B28" w:rsidRDefault="000A6B28" w:rsidP="000A6B28">
      <w:r>
        <w:t>All requests will be recorded on TCAT’s SAR Log upon being received and updated as appropriate. Each entry will document:</w:t>
      </w:r>
    </w:p>
    <w:p w14:paraId="4AD8AD93" w14:textId="77777777" w:rsidR="000A6B28" w:rsidRDefault="000A6B28" w:rsidP="000A6B28">
      <w:pPr>
        <w:pStyle w:val="ListParagraph"/>
        <w:numPr>
          <w:ilvl w:val="0"/>
          <w:numId w:val="47"/>
        </w:numPr>
      </w:pPr>
      <w:r>
        <w:t>The date the SAR was received</w:t>
      </w:r>
    </w:p>
    <w:p w14:paraId="7587B9A4" w14:textId="77777777" w:rsidR="000A6B28" w:rsidRDefault="000A6B28" w:rsidP="000A6B28">
      <w:pPr>
        <w:pStyle w:val="ListParagraph"/>
        <w:numPr>
          <w:ilvl w:val="0"/>
          <w:numId w:val="47"/>
        </w:numPr>
      </w:pPr>
      <w:r>
        <w:t>The data subject’s name and address</w:t>
      </w:r>
    </w:p>
    <w:p w14:paraId="72E9AF3A" w14:textId="77777777" w:rsidR="000A6B28" w:rsidRDefault="000A6B28" w:rsidP="000A6B28">
      <w:pPr>
        <w:pStyle w:val="ListParagraph"/>
        <w:numPr>
          <w:ilvl w:val="0"/>
          <w:numId w:val="47"/>
        </w:numPr>
      </w:pPr>
      <w:r>
        <w:t>The name of the requester, if made on another individual’s behalf</w:t>
      </w:r>
    </w:p>
    <w:p w14:paraId="09F43E95" w14:textId="77777777" w:rsidR="000A6B28" w:rsidRDefault="000A6B28" w:rsidP="000A6B28">
      <w:pPr>
        <w:pStyle w:val="ListParagraph"/>
        <w:numPr>
          <w:ilvl w:val="0"/>
          <w:numId w:val="47"/>
        </w:numPr>
      </w:pPr>
      <w:r>
        <w:t>The type of personal data requested</w:t>
      </w:r>
    </w:p>
    <w:p w14:paraId="7A118D01" w14:textId="77777777" w:rsidR="000A6B28" w:rsidRDefault="000A6B28" w:rsidP="000A6B28">
      <w:pPr>
        <w:pStyle w:val="ListParagraph"/>
        <w:numPr>
          <w:ilvl w:val="0"/>
          <w:numId w:val="47"/>
        </w:numPr>
      </w:pPr>
      <w:r>
        <w:t>The deadline for responding</w:t>
      </w:r>
    </w:p>
    <w:p w14:paraId="0E5B4605" w14:textId="77777777" w:rsidR="000A6B28" w:rsidRDefault="000A6B28" w:rsidP="000A6B28">
      <w:pPr>
        <w:pStyle w:val="ListParagraph"/>
        <w:numPr>
          <w:ilvl w:val="0"/>
          <w:numId w:val="47"/>
        </w:numPr>
      </w:pPr>
      <w:r>
        <w:t>Whether a charge will be made for the response</w:t>
      </w:r>
    </w:p>
    <w:p w14:paraId="5E99DB99" w14:textId="77777777" w:rsidR="000A6B28" w:rsidRDefault="000A6B28" w:rsidP="000A6B28">
      <w:pPr>
        <w:pStyle w:val="ListParagraph"/>
        <w:numPr>
          <w:ilvl w:val="0"/>
          <w:numId w:val="47"/>
        </w:numPr>
      </w:pPr>
      <w:r>
        <w:t>The reason why a request has been refused, where applicable</w:t>
      </w:r>
    </w:p>
    <w:p w14:paraId="722459AC" w14:textId="77777777" w:rsidR="00C03384" w:rsidRPr="00114B8E" w:rsidRDefault="00C03384" w:rsidP="000A6B28">
      <w:pPr>
        <w:pStyle w:val="Heading10"/>
        <w:numPr>
          <w:ilvl w:val="0"/>
          <w:numId w:val="0"/>
        </w:numPr>
      </w:pPr>
      <w:r w:rsidRPr="00114B8E">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C0338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532E6116" w:rsidR="00C03384" w:rsidRDefault="00C03384" w:rsidP="00C03384">
      <w:r w:rsidRPr="00114B8E">
        <w:t>The next scheduled review date for this policy is 31</w:t>
      </w:r>
      <w:r w:rsidRPr="00114B8E">
        <w:rPr>
          <w:vertAlign w:val="superscript"/>
        </w:rPr>
        <w:t>st</w:t>
      </w:r>
      <w:r w:rsidR="005952EE">
        <w:t xml:space="preserve"> August</w:t>
      </w:r>
      <w:r w:rsidRPr="00114B8E">
        <w:t xml:space="preserve"> 202</w:t>
      </w:r>
      <w:r w:rsidR="0049414F">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lastRenderedPageBreak/>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Default="00114B8E" w:rsidP="00C03384">
      <w:pPr>
        <w:rPr>
          <w:sz w:val="16"/>
          <w:szCs w:val="16"/>
        </w:rPr>
      </w:pPr>
    </w:p>
    <w:p w14:paraId="31F6AE93" w14:textId="77777777" w:rsidR="00932D82" w:rsidRDefault="00932D82" w:rsidP="00F04D9A">
      <w:pPr>
        <w:jc w:val="left"/>
        <w:rPr>
          <w:rFonts w:asciiTheme="majorHAnsi" w:hAnsiTheme="majorHAnsi" w:cstheme="majorHAnsi"/>
          <w:b/>
          <w:bCs/>
          <w:sz w:val="28"/>
          <w:szCs w:val="28"/>
        </w:rPr>
      </w:pPr>
    </w:p>
    <w:p w14:paraId="4DAE89D1" w14:textId="77777777" w:rsidR="00932D82" w:rsidRDefault="00932D82" w:rsidP="00F04D9A">
      <w:pPr>
        <w:jc w:val="left"/>
        <w:rPr>
          <w:rFonts w:asciiTheme="majorHAnsi" w:hAnsiTheme="majorHAnsi" w:cstheme="majorHAnsi"/>
          <w:b/>
          <w:bCs/>
          <w:sz w:val="28"/>
          <w:szCs w:val="28"/>
        </w:rPr>
      </w:pPr>
    </w:p>
    <w:p w14:paraId="1B67029E" w14:textId="77777777" w:rsidR="00932D82" w:rsidRDefault="00932D82" w:rsidP="00F04D9A">
      <w:pPr>
        <w:jc w:val="left"/>
        <w:rPr>
          <w:rFonts w:asciiTheme="majorHAnsi" w:hAnsiTheme="majorHAnsi" w:cstheme="majorHAnsi"/>
          <w:b/>
          <w:bCs/>
          <w:sz w:val="28"/>
          <w:szCs w:val="28"/>
        </w:rPr>
      </w:pPr>
    </w:p>
    <w:p w14:paraId="6B255EE0" w14:textId="77777777" w:rsidR="00932D82" w:rsidRDefault="00932D82" w:rsidP="00F04D9A">
      <w:pPr>
        <w:jc w:val="left"/>
        <w:rPr>
          <w:rFonts w:asciiTheme="majorHAnsi" w:hAnsiTheme="majorHAnsi" w:cstheme="majorHAnsi"/>
          <w:b/>
          <w:bCs/>
          <w:sz w:val="28"/>
          <w:szCs w:val="28"/>
        </w:rPr>
      </w:pPr>
    </w:p>
    <w:p w14:paraId="3870F2A4" w14:textId="77777777" w:rsidR="00932D82" w:rsidRDefault="00932D82" w:rsidP="00F04D9A">
      <w:pPr>
        <w:jc w:val="left"/>
        <w:rPr>
          <w:rFonts w:asciiTheme="majorHAnsi" w:hAnsiTheme="majorHAnsi" w:cstheme="majorHAnsi"/>
          <w:b/>
          <w:bCs/>
          <w:sz w:val="28"/>
          <w:szCs w:val="28"/>
        </w:rPr>
      </w:pPr>
    </w:p>
    <w:p w14:paraId="4607E361" w14:textId="77777777" w:rsidR="00932D82" w:rsidRDefault="00932D82" w:rsidP="00F04D9A">
      <w:pPr>
        <w:jc w:val="left"/>
        <w:rPr>
          <w:rFonts w:asciiTheme="majorHAnsi" w:hAnsiTheme="majorHAnsi" w:cstheme="majorHAnsi"/>
          <w:b/>
          <w:bCs/>
          <w:sz w:val="28"/>
          <w:szCs w:val="28"/>
        </w:rPr>
      </w:pPr>
    </w:p>
    <w:p w14:paraId="334302FF" w14:textId="77777777" w:rsidR="00932D82" w:rsidRDefault="00932D82" w:rsidP="00F04D9A">
      <w:pPr>
        <w:jc w:val="left"/>
        <w:rPr>
          <w:rFonts w:asciiTheme="majorHAnsi" w:hAnsiTheme="majorHAnsi" w:cstheme="majorHAnsi"/>
          <w:b/>
          <w:bCs/>
          <w:sz w:val="28"/>
          <w:szCs w:val="28"/>
        </w:rPr>
      </w:pPr>
    </w:p>
    <w:p w14:paraId="44008013" w14:textId="77777777" w:rsidR="00932D82" w:rsidRDefault="00932D82" w:rsidP="00F04D9A">
      <w:pPr>
        <w:jc w:val="left"/>
        <w:rPr>
          <w:rFonts w:asciiTheme="majorHAnsi" w:hAnsiTheme="majorHAnsi" w:cstheme="majorHAnsi"/>
          <w:b/>
          <w:bCs/>
          <w:sz w:val="28"/>
          <w:szCs w:val="28"/>
        </w:rPr>
      </w:pPr>
    </w:p>
    <w:p w14:paraId="06F1176A" w14:textId="77777777" w:rsidR="00932D82" w:rsidRDefault="00932D82" w:rsidP="00F04D9A">
      <w:pPr>
        <w:jc w:val="left"/>
        <w:rPr>
          <w:rFonts w:asciiTheme="majorHAnsi" w:hAnsiTheme="majorHAnsi" w:cstheme="majorHAnsi"/>
          <w:b/>
          <w:bCs/>
          <w:sz w:val="28"/>
          <w:szCs w:val="28"/>
        </w:rPr>
      </w:pPr>
    </w:p>
    <w:p w14:paraId="4E60150D" w14:textId="77777777" w:rsidR="00932D82" w:rsidRDefault="00932D82" w:rsidP="00F04D9A">
      <w:pPr>
        <w:jc w:val="left"/>
        <w:rPr>
          <w:rFonts w:asciiTheme="majorHAnsi" w:hAnsiTheme="majorHAnsi" w:cstheme="majorHAnsi"/>
          <w:b/>
          <w:bCs/>
          <w:sz w:val="28"/>
          <w:szCs w:val="28"/>
        </w:rPr>
      </w:pPr>
    </w:p>
    <w:p w14:paraId="48F4F9DE" w14:textId="77777777" w:rsidR="00932D82" w:rsidRDefault="00932D82" w:rsidP="00F04D9A">
      <w:pPr>
        <w:jc w:val="left"/>
        <w:rPr>
          <w:rFonts w:asciiTheme="majorHAnsi" w:hAnsiTheme="majorHAnsi" w:cstheme="majorHAnsi"/>
          <w:b/>
          <w:bCs/>
          <w:sz w:val="28"/>
          <w:szCs w:val="28"/>
        </w:rPr>
      </w:pPr>
    </w:p>
    <w:p w14:paraId="52E99808" w14:textId="57148311" w:rsidR="00F04D9A" w:rsidRPr="00F04D9A" w:rsidRDefault="00F04D9A" w:rsidP="00F04D9A">
      <w:pPr>
        <w:jc w:val="left"/>
        <w:rPr>
          <w:rFonts w:cs="Arial"/>
          <w:b/>
          <w:sz w:val="28"/>
          <w:szCs w:val="32"/>
          <w:lang w:val="en-US"/>
        </w:rPr>
      </w:pPr>
      <w:r w:rsidRPr="00F04D9A">
        <w:rPr>
          <w:rFonts w:asciiTheme="majorHAnsi" w:hAnsiTheme="majorHAnsi" w:cstheme="majorHAnsi"/>
          <w:b/>
          <w:bCs/>
          <w:sz w:val="28"/>
          <w:szCs w:val="28"/>
        </w:rPr>
        <w:lastRenderedPageBreak/>
        <w:t>Appendix A</w:t>
      </w:r>
      <w:r>
        <w:rPr>
          <w:rFonts w:asciiTheme="majorHAnsi" w:hAnsiTheme="majorHAnsi" w:cstheme="majorHAnsi"/>
          <w:b/>
          <w:bCs/>
          <w:sz w:val="28"/>
          <w:szCs w:val="28"/>
        </w:rPr>
        <w:t xml:space="preserve">: </w:t>
      </w:r>
      <w:r>
        <w:rPr>
          <w:rFonts w:cs="Arial"/>
          <w:b/>
          <w:sz w:val="28"/>
          <w:szCs w:val="32"/>
          <w:lang w:val="en-US"/>
        </w:rPr>
        <w:t>Subject Access Request (SAR) Form</w:t>
      </w:r>
    </w:p>
    <w:p w14:paraId="5910001E" w14:textId="77777777" w:rsidR="00F04D9A" w:rsidRDefault="00F04D9A" w:rsidP="00F04D9A">
      <w:pPr>
        <w:jc w:val="center"/>
        <w:rPr>
          <w:rFonts w:cs="Arial"/>
          <w:b/>
          <w:sz w:val="28"/>
          <w:szCs w:val="32"/>
          <w:lang w:val="en-US"/>
        </w:rPr>
      </w:pPr>
      <w:bookmarkStart w:id="1" w:name="_Hlk80253392"/>
      <w:r>
        <w:rPr>
          <w:rFonts w:cs="Arial"/>
          <w:b/>
          <w:noProof/>
          <w:sz w:val="28"/>
          <w:szCs w:val="32"/>
          <w:lang w:val="en-US"/>
        </w:rPr>
        <w:drawing>
          <wp:inline distT="0" distB="0" distL="0" distR="0" wp14:anchorId="085470A4" wp14:editId="2A71EA18">
            <wp:extent cx="5731510" cy="1845310"/>
            <wp:effectExtent l="0" t="0" r="0" b="0"/>
            <wp:docPr id="261309413"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413" name="Picture 1" descr="A logo with blue and re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452AFD5C" w14:textId="77777777" w:rsidR="00F04D9A" w:rsidRPr="00744D66" w:rsidRDefault="00F04D9A" w:rsidP="00F04D9A">
      <w:pPr>
        <w:rPr>
          <w:rFonts w:cs="Arial"/>
          <w:b/>
          <w:sz w:val="28"/>
          <w:szCs w:val="32"/>
          <w:lang w:val="en-US"/>
        </w:rPr>
      </w:pPr>
      <w:r w:rsidRPr="00744D66">
        <w:t xml:space="preserve">A subject access request (SAR) is a request made by, or on behalf of, an individual for the information which they are entitled to ask for under Article 15 of the UK GDPR. This includes personal data and other supplementary information, such as the reason for </w:t>
      </w:r>
      <w:r>
        <w:t>any TCAT school</w:t>
      </w:r>
      <w:r w:rsidRPr="00744D66">
        <w:t xml:space="preserve"> processing the data. </w:t>
      </w:r>
    </w:p>
    <w:p w14:paraId="1D468D76" w14:textId="77777777" w:rsidR="00F04D9A" w:rsidRPr="00744D66" w:rsidRDefault="00F04D9A" w:rsidP="00F04D9A">
      <w:pPr>
        <w:rPr>
          <w:rFonts w:cs="Arial"/>
          <w:bCs/>
          <w:lang w:val="en-US"/>
        </w:rPr>
      </w:pPr>
      <w:r w:rsidRPr="00744D66">
        <w:rPr>
          <w:rFonts w:cs="Arial"/>
          <w:bCs/>
          <w:lang w:val="en-US"/>
        </w:rPr>
        <w:t xml:space="preserve">This form is </w:t>
      </w:r>
      <w:r w:rsidRPr="009A1984">
        <w:rPr>
          <w:rFonts w:cs="Arial"/>
          <w:bCs/>
          <w:lang w:val="en-US"/>
        </w:rPr>
        <w:t>intended to help individuals exercise this right. Hard copies of the form can be requested from the school reception</w:t>
      </w:r>
      <w:r w:rsidRPr="00744D66">
        <w:rPr>
          <w:rFonts w:cs="Arial"/>
          <w:bCs/>
          <w:lang w:val="en-US"/>
        </w:rPr>
        <w:t xml:space="preserve">. </w:t>
      </w:r>
      <w:r w:rsidRPr="00744D66">
        <w:rPr>
          <w:rFonts w:cs="Arial"/>
          <w:b/>
          <w:lang w:val="en-US"/>
        </w:rPr>
        <w:t xml:space="preserve">SARs do not have to be made via this form and can also be </w:t>
      </w:r>
      <w:r>
        <w:rPr>
          <w:rFonts w:cs="Arial"/>
          <w:b/>
          <w:lang w:val="en-US"/>
        </w:rPr>
        <w:t xml:space="preserve">made by other means, e.g., </w:t>
      </w:r>
      <w:r w:rsidRPr="00744D66">
        <w:rPr>
          <w:rFonts w:cs="Arial"/>
          <w:b/>
          <w:lang w:val="en-US"/>
        </w:rPr>
        <w:t>verbally</w:t>
      </w:r>
      <w:r>
        <w:rPr>
          <w:rFonts w:cs="Arial"/>
          <w:b/>
          <w:lang w:val="en-US"/>
        </w:rPr>
        <w:t xml:space="preserve">, by </w:t>
      </w:r>
      <w:r w:rsidRPr="00744D66">
        <w:rPr>
          <w:rFonts w:cs="Arial"/>
          <w:b/>
          <w:lang w:val="en-US"/>
        </w:rPr>
        <w:t>letter or email.</w:t>
      </w:r>
      <w:r w:rsidRPr="00744D66">
        <w:rPr>
          <w:rFonts w:cs="Arial"/>
          <w:bCs/>
          <w:lang w:val="en-US"/>
        </w:rPr>
        <w:t xml:space="preserve"> </w:t>
      </w:r>
      <w:r>
        <w:rPr>
          <w:rFonts w:cs="Arial"/>
          <w:bCs/>
          <w:lang w:val="en-US"/>
        </w:rPr>
        <w:t xml:space="preserve">Further information about the SAR process is available at </w:t>
      </w:r>
      <w:hyperlink r:id="rId10" w:history="1">
        <w:r w:rsidRPr="002E2BD9">
          <w:rPr>
            <w:rStyle w:val="Hyperlink"/>
          </w:rPr>
          <w:t>https://ico.org.uk/for-the-public/getting-copies-of-your-information-subject-access-request/</w:t>
        </w:r>
      </w:hyperlink>
      <w:r>
        <w:t>.</w:t>
      </w:r>
    </w:p>
    <w:p w14:paraId="36ADB5F2" w14:textId="77777777" w:rsidR="00F04D9A" w:rsidRPr="00744D66" w:rsidRDefault="00F04D9A" w:rsidP="00F04D9A">
      <w:pPr>
        <w:rPr>
          <w:rFonts w:cs="Arial"/>
          <w:lang w:val="en-US"/>
        </w:rPr>
      </w:pPr>
      <w:r w:rsidRPr="35AE6922">
        <w:rPr>
          <w:rFonts w:cs="Arial"/>
          <w:lang w:val="en-US"/>
        </w:rPr>
        <w:t xml:space="preserve">Personal data about a child belongs to that child, and not the child's parents. For a parent to make a SAR in respect of their child </w:t>
      </w:r>
      <w:r>
        <w:rPr>
          <w:rFonts w:cs="Arial"/>
          <w:lang w:val="en-US"/>
        </w:rPr>
        <w:t>TCAT</w:t>
      </w:r>
      <w:r w:rsidRPr="35AE6922">
        <w:rPr>
          <w:rFonts w:cs="Arial"/>
          <w:lang w:val="en-US"/>
        </w:rPr>
        <w:t xml:space="preserve"> will consider whether the child is mature enough to understand their rights. T</w:t>
      </w:r>
      <w:r>
        <w:rPr>
          <w:rFonts w:cs="Arial"/>
          <w:lang w:val="en-US"/>
        </w:rPr>
        <w:t>CAT</w:t>
      </w:r>
      <w:r w:rsidRPr="35AE6922">
        <w:rPr>
          <w:rFonts w:cs="Arial"/>
          <w:lang w:val="en-US"/>
        </w:rPr>
        <w:t xml:space="preserve"> will determine this on a case-by-case basis; however, children below the age of 13 are typically not regarded to be mature enough to understand their rights and its implications, and most SARs for children in this age group </w:t>
      </w:r>
      <w:r w:rsidRPr="17E9AAB9">
        <w:rPr>
          <w:rFonts w:cs="Arial"/>
          <w:lang w:val="en-US"/>
        </w:rPr>
        <w:t xml:space="preserve">by parents </w:t>
      </w:r>
      <w:r w:rsidRPr="35AE6922">
        <w:rPr>
          <w:rFonts w:cs="Arial"/>
          <w:lang w:val="en-US"/>
        </w:rPr>
        <w:t xml:space="preserve">will be granted without requiring the child’s consent. </w:t>
      </w:r>
    </w:p>
    <w:p w14:paraId="4129C2BB" w14:textId="4E4BC75A" w:rsidR="00F04D9A" w:rsidRDefault="00F04D9A" w:rsidP="00F04D9A">
      <w:pPr>
        <w:rPr>
          <w:rFonts w:cs="Arial"/>
          <w:bCs/>
          <w:lang w:val="en-US"/>
        </w:rPr>
      </w:pPr>
      <w:r w:rsidRPr="00744D66">
        <w:rPr>
          <w:rFonts w:cs="Arial"/>
          <w:bCs/>
          <w:lang w:val="en-US"/>
        </w:rPr>
        <w:t xml:space="preserve">In order to respond to a SAR, </w:t>
      </w:r>
      <w:r>
        <w:rPr>
          <w:rFonts w:cs="Arial"/>
          <w:bCs/>
          <w:lang w:val="en-US"/>
        </w:rPr>
        <w:t>TCAT</w:t>
      </w:r>
      <w:r w:rsidRPr="00744D66">
        <w:rPr>
          <w:rFonts w:cs="Arial"/>
          <w:bCs/>
          <w:lang w:val="en-US"/>
        </w:rPr>
        <w:t xml:space="preserve"> must be assured of the requester’s identity. </w:t>
      </w:r>
      <w:r>
        <w:rPr>
          <w:rFonts w:cs="Arial"/>
          <w:bCs/>
          <w:lang w:val="en-US"/>
        </w:rPr>
        <w:t>We</w:t>
      </w:r>
      <w:r w:rsidRPr="00744D66">
        <w:rPr>
          <w:rFonts w:cs="Arial"/>
          <w:bCs/>
          <w:lang w:val="en-US"/>
        </w:rPr>
        <w:t xml:space="preserve"> may ask for two forms of identification, e.g., a pa</w:t>
      </w:r>
      <w:r>
        <w:rPr>
          <w:rFonts w:cs="Arial"/>
          <w:bCs/>
          <w:lang w:val="en-US"/>
        </w:rPr>
        <w:t>ssport</w:t>
      </w:r>
      <w:r w:rsidRPr="00744D66">
        <w:rPr>
          <w:rFonts w:cs="Arial"/>
          <w:bCs/>
          <w:lang w:val="en-US"/>
        </w:rPr>
        <w:t xml:space="preserve"> and proof of address. T</w:t>
      </w:r>
      <w:r>
        <w:rPr>
          <w:rFonts w:cs="Arial"/>
          <w:bCs/>
          <w:lang w:val="en-US"/>
        </w:rPr>
        <w:t>CAT</w:t>
      </w:r>
      <w:r w:rsidRPr="00744D66">
        <w:rPr>
          <w:rFonts w:cs="Arial"/>
          <w:bCs/>
          <w:lang w:val="en-US"/>
        </w:rPr>
        <w:t xml:space="preserve"> will respond to a SAR within one calendar month of receipt</w:t>
      </w:r>
      <w:r>
        <w:rPr>
          <w:rFonts w:cs="Arial"/>
          <w:bCs/>
          <w:lang w:val="en-US"/>
        </w:rPr>
        <w:t xml:space="preserve"> or 30 </w:t>
      </w:r>
      <w:r w:rsidR="00932D82">
        <w:rPr>
          <w:rFonts w:cs="Arial"/>
          <w:bCs/>
          <w:lang w:val="en-US"/>
        </w:rPr>
        <w:t>days,</w:t>
      </w:r>
      <w:r>
        <w:rPr>
          <w:rFonts w:cs="Arial"/>
          <w:bCs/>
          <w:lang w:val="en-US"/>
        </w:rPr>
        <w:t xml:space="preserve"> whichever is the sooner unless an extension is</w:t>
      </w:r>
      <w:r w:rsidRPr="00744D66">
        <w:rPr>
          <w:rFonts w:cs="Arial"/>
          <w:bCs/>
          <w:lang w:val="en-US"/>
        </w:rPr>
        <w:t xml:space="preserve"> necessary in line with the UK GDPR. Where a SAR is refused in line with the UK GDPR, an explanation will be provided in writing and information provided on the next steps the requester may take in seeking to access the information.</w:t>
      </w:r>
    </w:p>
    <w:p w14:paraId="53557C0E" w14:textId="77777777" w:rsidR="00F04D9A" w:rsidRPr="00744D66" w:rsidRDefault="00F04D9A" w:rsidP="00F04D9A">
      <w:pPr>
        <w:rPr>
          <w:rFonts w:cs="Arial"/>
          <w:bCs/>
          <w:lang w:val="en-US"/>
        </w:rPr>
      </w:pPr>
    </w:p>
    <w:tbl>
      <w:tblPr>
        <w:tblStyle w:val="TableGrid"/>
        <w:tblW w:w="14029" w:type="dxa"/>
        <w:tblLook w:val="04A0" w:firstRow="1" w:lastRow="0" w:firstColumn="1" w:lastColumn="0" w:noHBand="0" w:noVBand="1"/>
      </w:tblPr>
      <w:tblGrid>
        <w:gridCol w:w="4621"/>
        <w:gridCol w:w="9408"/>
      </w:tblGrid>
      <w:tr w:rsidR="00F04D9A" w14:paraId="38B59EEE" w14:textId="77777777" w:rsidTr="00F04D9A">
        <w:tc>
          <w:tcPr>
            <w:tcW w:w="14029" w:type="dxa"/>
            <w:gridSpan w:val="2"/>
            <w:shd w:val="clear" w:color="auto" w:fill="041E42" w:themeFill="accent3"/>
          </w:tcPr>
          <w:p w14:paraId="11850FA3" w14:textId="77777777" w:rsidR="00F04D9A" w:rsidRPr="0031785E" w:rsidRDefault="00F04D9A" w:rsidP="00603E6E">
            <w:pPr>
              <w:spacing w:after="200" w:line="276" w:lineRule="auto"/>
              <w:jc w:val="center"/>
              <w:rPr>
                <w:rFonts w:cs="Arial"/>
                <w:b/>
                <w:lang w:val="en-US"/>
              </w:rPr>
            </w:pPr>
            <w:r w:rsidRPr="0031785E">
              <w:rPr>
                <w:rFonts w:cs="Arial"/>
                <w:b/>
                <w:lang w:val="en-US"/>
              </w:rPr>
              <w:lastRenderedPageBreak/>
              <w:t xml:space="preserve">Subject Access Request (SAR) Form </w:t>
            </w:r>
            <w:r>
              <w:rPr>
                <w:rFonts w:cs="Arial"/>
                <w:b/>
                <w:lang w:val="en-US"/>
              </w:rPr>
              <w:t>- Three Counties Academy Trust</w:t>
            </w:r>
          </w:p>
        </w:tc>
      </w:tr>
      <w:tr w:rsidR="00F04D9A" w14:paraId="2DC03B73" w14:textId="77777777" w:rsidTr="00F04D9A">
        <w:tc>
          <w:tcPr>
            <w:tcW w:w="14029" w:type="dxa"/>
            <w:gridSpan w:val="2"/>
            <w:shd w:val="clear" w:color="auto" w:fill="B1B1B1" w:themeFill="accent1"/>
          </w:tcPr>
          <w:p w14:paraId="2A9EEB93" w14:textId="77777777" w:rsidR="00F04D9A" w:rsidRPr="0031785E" w:rsidRDefault="00F04D9A" w:rsidP="00603E6E">
            <w:pPr>
              <w:spacing w:after="200" w:line="276" w:lineRule="auto"/>
              <w:jc w:val="center"/>
              <w:rPr>
                <w:rFonts w:cs="Arial"/>
                <w:b/>
                <w:lang w:val="en-US"/>
              </w:rPr>
            </w:pPr>
            <w:r w:rsidRPr="0031785E">
              <w:rPr>
                <w:rFonts w:cs="Arial"/>
                <w:b/>
                <w:lang w:val="en-US"/>
              </w:rPr>
              <w:t>Requester information</w:t>
            </w:r>
          </w:p>
        </w:tc>
      </w:tr>
      <w:tr w:rsidR="00F04D9A" w14:paraId="7524DFD5" w14:textId="77777777" w:rsidTr="00F04D9A">
        <w:tc>
          <w:tcPr>
            <w:tcW w:w="4621" w:type="dxa"/>
            <w:shd w:val="clear" w:color="auto" w:fill="ECECEC" w:themeFill="background2"/>
          </w:tcPr>
          <w:p w14:paraId="42B56479" w14:textId="77777777" w:rsidR="00F04D9A" w:rsidRPr="0031785E" w:rsidRDefault="00F04D9A" w:rsidP="00603E6E">
            <w:pPr>
              <w:spacing w:after="200" w:line="276" w:lineRule="auto"/>
              <w:jc w:val="left"/>
              <w:rPr>
                <w:rFonts w:cs="Arial"/>
                <w:b/>
                <w:lang w:val="en-US"/>
              </w:rPr>
            </w:pPr>
            <w:r w:rsidRPr="0031785E">
              <w:rPr>
                <w:rFonts w:cs="Arial"/>
                <w:b/>
                <w:lang w:val="en-US"/>
              </w:rPr>
              <w:t xml:space="preserve">Name </w:t>
            </w:r>
          </w:p>
        </w:tc>
        <w:tc>
          <w:tcPr>
            <w:tcW w:w="9408" w:type="dxa"/>
          </w:tcPr>
          <w:p w14:paraId="43DC4A8D" w14:textId="77777777" w:rsidR="00F04D9A" w:rsidRPr="0031785E" w:rsidRDefault="00F04D9A" w:rsidP="00603E6E">
            <w:pPr>
              <w:spacing w:after="200" w:line="276" w:lineRule="auto"/>
              <w:jc w:val="left"/>
              <w:rPr>
                <w:rFonts w:cs="Arial"/>
                <w:bCs/>
                <w:lang w:val="en-US"/>
              </w:rPr>
            </w:pPr>
          </w:p>
        </w:tc>
      </w:tr>
      <w:tr w:rsidR="00F04D9A" w14:paraId="5AD48449" w14:textId="77777777" w:rsidTr="00F04D9A">
        <w:tc>
          <w:tcPr>
            <w:tcW w:w="4621" w:type="dxa"/>
            <w:shd w:val="clear" w:color="auto" w:fill="ECECEC" w:themeFill="background2"/>
          </w:tcPr>
          <w:p w14:paraId="22ABDBB4" w14:textId="77777777" w:rsidR="00F04D9A" w:rsidRPr="0031785E" w:rsidRDefault="00F04D9A" w:rsidP="00603E6E">
            <w:pPr>
              <w:spacing w:after="200" w:line="276" w:lineRule="auto"/>
              <w:jc w:val="left"/>
              <w:rPr>
                <w:rFonts w:cs="Arial"/>
                <w:b/>
                <w:lang w:val="en-US"/>
              </w:rPr>
            </w:pPr>
            <w:r w:rsidRPr="0031785E">
              <w:rPr>
                <w:rFonts w:cs="Arial"/>
                <w:b/>
                <w:lang w:val="en-US"/>
              </w:rPr>
              <w:t xml:space="preserve">Address </w:t>
            </w:r>
          </w:p>
        </w:tc>
        <w:tc>
          <w:tcPr>
            <w:tcW w:w="9408" w:type="dxa"/>
          </w:tcPr>
          <w:p w14:paraId="36183C77" w14:textId="77777777" w:rsidR="00F04D9A" w:rsidRPr="0031785E" w:rsidRDefault="00F04D9A" w:rsidP="00603E6E">
            <w:pPr>
              <w:spacing w:after="200" w:line="276" w:lineRule="auto"/>
              <w:jc w:val="left"/>
              <w:rPr>
                <w:rFonts w:cs="Arial"/>
                <w:bCs/>
                <w:lang w:val="en-US"/>
              </w:rPr>
            </w:pPr>
          </w:p>
        </w:tc>
      </w:tr>
      <w:tr w:rsidR="00F04D9A" w14:paraId="79FA3BE4" w14:textId="77777777" w:rsidTr="00F04D9A">
        <w:tc>
          <w:tcPr>
            <w:tcW w:w="4621" w:type="dxa"/>
            <w:shd w:val="clear" w:color="auto" w:fill="ECECEC" w:themeFill="background2"/>
          </w:tcPr>
          <w:p w14:paraId="25E3C34E" w14:textId="77777777" w:rsidR="00F04D9A" w:rsidRPr="0031785E" w:rsidRDefault="00F04D9A" w:rsidP="00603E6E">
            <w:pPr>
              <w:spacing w:after="200" w:line="276" w:lineRule="auto"/>
              <w:jc w:val="left"/>
              <w:rPr>
                <w:rFonts w:cs="Arial"/>
                <w:b/>
                <w:lang w:val="en-US"/>
              </w:rPr>
            </w:pPr>
            <w:r w:rsidRPr="0031785E">
              <w:rPr>
                <w:rFonts w:cs="Arial"/>
                <w:b/>
                <w:lang w:val="en-US"/>
              </w:rPr>
              <w:t>Email address</w:t>
            </w:r>
          </w:p>
        </w:tc>
        <w:tc>
          <w:tcPr>
            <w:tcW w:w="9408" w:type="dxa"/>
          </w:tcPr>
          <w:p w14:paraId="2DC8588F" w14:textId="77777777" w:rsidR="00F04D9A" w:rsidRPr="0031785E" w:rsidRDefault="00F04D9A" w:rsidP="00603E6E">
            <w:pPr>
              <w:spacing w:after="200" w:line="276" w:lineRule="auto"/>
              <w:jc w:val="left"/>
              <w:rPr>
                <w:rFonts w:cs="Arial"/>
                <w:bCs/>
                <w:lang w:val="en-US"/>
              </w:rPr>
            </w:pPr>
          </w:p>
        </w:tc>
      </w:tr>
      <w:tr w:rsidR="00F04D9A" w14:paraId="19E9BFBF" w14:textId="77777777" w:rsidTr="00F04D9A">
        <w:tc>
          <w:tcPr>
            <w:tcW w:w="4621" w:type="dxa"/>
            <w:shd w:val="clear" w:color="auto" w:fill="ECECEC" w:themeFill="background2"/>
          </w:tcPr>
          <w:p w14:paraId="0FD880C8" w14:textId="77777777" w:rsidR="00F04D9A" w:rsidRPr="0031785E" w:rsidRDefault="00F04D9A" w:rsidP="00603E6E">
            <w:pPr>
              <w:spacing w:after="200" w:line="276" w:lineRule="auto"/>
              <w:jc w:val="left"/>
              <w:rPr>
                <w:rFonts w:cs="Arial"/>
                <w:b/>
                <w:lang w:val="en-US"/>
              </w:rPr>
            </w:pPr>
            <w:r w:rsidRPr="0031785E">
              <w:rPr>
                <w:rFonts w:cs="Arial"/>
                <w:b/>
                <w:lang w:val="en-US"/>
              </w:rPr>
              <w:t>Contact number (if required)</w:t>
            </w:r>
          </w:p>
        </w:tc>
        <w:tc>
          <w:tcPr>
            <w:tcW w:w="9408" w:type="dxa"/>
          </w:tcPr>
          <w:p w14:paraId="7FD1424F" w14:textId="77777777" w:rsidR="00F04D9A" w:rsidRPr="0031785E" w:rsidRDefault="00F04D9A" w:rsidP="00603E6E">
            <w:pPr>
              <w:spacing w:after="200" w:line="276" w:lineRule="auto"/>
              <w:jc w:val="left"/>
              <w:rPr>
                <w:rFonts w:cs="Arial"/>
                <w:bCs/>
                <w:lang w:val="en-US"/>
              </w:rPr>
            </w:pPr>
          </w:p>
        </w:tc>
      </w:tr>
      <w:tr w:rsidR="00F04D9A" w14:paraId="6EA0DD75" w14:textId="77777777" w:rsidTr="00F04D9A">
        <w:tc>
          <w:tcPr>
            <w:tcW w:w="4621" w:type="dxa"/>
            <w:shd w:val="clear" w:color="auto" w:fill="ECECEC" w:themeFill="background2"/>
          </w:tcPr>
          <w:p w14:paraId="376DBD5B" w14:textId="77777777" w:rsidR="00F04D9A" w:rsidRPr="0031785E" w:rsidRDefault="00F04D9A" w:rsidP="00603E6E">
            <w:pPr>
              <w:spacing w:after="200" w:line="276" w:lineRule="auto"/>
              <w:jc w:val="left"/>
              <w:rPr>
                <w:rFonts w:cs="Arial"/>
                <w:bCs/>
                <w:lang w:val="en-US"/>
              </w:rPr>
            </w:pPr>
            <w:r w:rsidRPr="0031785E">
              <w:rPr>
                <w:rFonts w:cs="Arial"/>
                <w:b/>
                <w:lang w:val="en-US"/>
              </w:rPr>
              <w:t>Preferred format of response</w:t>
            </w:r>
            <w:r w:rsidRPr="0031785E">
              <w:rPr>
                <w:rFonts w:cs="Arial"/>
                <w:bCs/>
                <w:lang w:val="en-US"/>
              </w:rPr>
              <w:t xml:space="preserve"> – e.g., by email, post or verbally</w:t>
            </w:r>
            <w:r>
              <w:rPr>
                <w:rFonts w:cs="Arial"/>
                <w:bCs/>
                <w:lang w:val="en-US"/>
              </w:rPr>
              <w:t>.</w:t>
            </w:r>
          </w:p>
        </w:tc>
        <w:tc>
          <w:tcPr>
            <w:tcW w:w="9408" w:type="dxa"/>
          </w:tcPr>
          <w:p w14:paraId="388D1890" w14:textId="77777777" w:rsidR="00F04D9A" w:rsidRDefault="00F04D9A" w:rsidP="00603E6E">
            <w:pPr>
              <w:spacing w:after="200" w:line="276" w:lineRule="auto"/>
              <w:jc w:val="left"/>
              <w:rPr>
                <w:rFonts w:cs="Arial"/>
                <w:bCs/>
                <w:lang w:val="en-US"/>
              </w:rPr>
            </w:pPr>
          </w:p>
          <w:p w14:paraId="0C237AF2" w14:textId="77777777" w:rsidR="00E56E9B" w:rsidRDefault="00E56E9B" w:rsidP="00603E6E">
            <w:pPr>
              <w:spacing w:after="200" w:line="276" w:lineRule="auto"/>
              <w:jc w:val="left"/>
              <w:rPr>
                <w:rFonts w:cs="Arial"/>
                <w:bCs/>
                <w:lang w:val="en-US"/>
              </w:rPr>
            </w:pPr>
          </w:p>
          <w:p w14:paraId="08062407" w14:textId="77777777" w:rsidR="00E56E9B" w:rsidRPr="0031785E" w:rsidRDefault="00E56E9B" w:rsidP="00603E6E">
            <w:pPr>
              <w:spacing w:after="200" w:line="276" w:lineRule="auto"/>
              <w:jc w:val="left"/>
              <w:rPr>
                <w:rFonts w:cs="Arial"/>
                <w:bCs/>
                <w:lang w:val="en-US"/>
              </w:rPr>
            </w:pPr>
          </w:p>
        </w:tc>
      </w:tr>
      <w:tr w:rsidR="00F04D9A" w14:paraId="40A3C13F" w14:textId="77777777" w:rsidTr="00F04D9A">
        <w:tc>
          <w:tcPr>
            <w:tcW w:w="4621" w:type="dxa"/>
            <w:shd w:val="clear" w:color="auto" w:fill="ECECEC" w:themeFill="background2"/>
          </w:tcPr>
          <w:p w14:paraId="2C5CC532" w14:textId="77777777" w:rsidR="00F04D9A" w:rsidRPr="0031785E" w:rsidRDefault="00F04D9A" w:rsidP="00603E6E">
            <w:pPr>
              <w:spacing w:after="200" w:line="276" w:lineRule="auto"/>
              <w:jc w:val="left"/>
              <w:rPr>
                <w:rFonts w:cs="Arial"/>
                <w:bCs/>
                <w:lang w:val="en-US"/>
              </w:rPr>
            </w:pPr>
            <w:r w:rsidRPr="0031785E">
              <w:rPr>
                <w:rFonts w:cs="Arial"/>
                <w:b/>
                <w:lang w:val="en-US"/>
              </w:rPr>
              <w:t>Additional needs</w:t>
            </w:r>
            <w:r w:rsidRPr="0031785E">
              <w:rPr>
                <w:rFonts w:cs="Arial"/>
                <w:bCs/>
                <w:lang w:val="en-US"/>
              </w:rPr>
              <w:t xml:space="preserve"> – Specify if you have any relevant additional needs, e.g., visual impairment, that the school will need to </w:t>
            </w:r>
            <w:r>
              <w:rPr>
                <w:rFonts w:cs="Arial"/>
                <w:bCs/>
                <w:lang w:val="en-US"/>
              </w:rPr>
              <w:t>understand</w:t>
            </w:r>
            <w:r w:rsidRPr="0031785E">
              <w:rPr>
                <w:rFonts w:cs="Arial"/>
                <w:bCs/>
                <w:lang w:val="en-US"/>
              </w:rPr>
              <w:t xml:space="preserve"> to be able to respond in an accessible format. Leave this section blank if not.</w:t>
            </w:r>
          </w:p>
        </w:tc>
        <w:tc>
          <w:tcPr>
            <w:tcW w:w="9408" w:type="dxa"/>
          </w:tcPr>
          <w:p w14:paraId="7E05D405" w14:textId="77777777" w:rsidR="00F04D9A" w:rsidRPr="0031785E" w:rsidRDefault="00F04D9A" w:rsidP="00603E6E">
            <w:pPr>
              <w:spacing w:after="200" w:line="276" w:lineRule="auto"/>
              <w:jc w:val="left"/>
              <w:rPr>
                <w:rFonts w:cs="Arial"/>
                <w:bCs/>
                <w:lang w:val="en-US"/>
              </w:rPr>
            </w:pPr>
          </w:p>
        </w:tc>
      </w:tr>
      <w:tr w:rsidR="00F04D9A" w14:paraId="392833FA" w14:textId="77777777" w:rsidTr="00F04D9A">
        <w:tc>
          <w:tcPr>
            <w:tcW w:w="4621" w:type="dxa"/>
            <w:shd w:val="clear" w:color="auto" w:fill="ECECEC" w:themeFill="background2"/>
          </w:tcPr>
          <w:p w14:paraId="65396A6C" w14:textId="77777777" w:rsidR="00F04D9A" w:rsidRPr="0031785E" w:rsidRDefault="00F04D9A" w:rsidP="00603E6E">
            <w:pPr>
              <w:spacing w:after="200" w:line="276" w:lineRule="auto"/>
              <w:jc w:val="left"/>
              <w:rPr>
                <w:rFonts w:cs="Arial"/>
                <w:b/>
                <w:lang w:val="en-US"/>
              </w:rPr>
            </w:pPr>
            <w:r w:rsidRPr="0031785E">
              <w:rPr>
                <w:rFonts w:cs="Arial"/>
                <w:b/>
                <w:lang w:val="en-US"/>
              </w:rPr>
              <w:t>Date</w:t>
            </w:r>
          </w:p>
        </w:tc>
        <w:tc>
          <w:tcPr>
            <w:tcW w:w="9408" w:type="dxa"/>
          </w:tcPr>
          <w:p w14:paraId="66B49796" w14:textId="77777777" w:rsidR="00F04D9A" w:rsidRPr="0031785E" w:rsidRDefault="00F04D9A" w:rsidP="00603E6E">
            <w:pPr>
              <w:spacing w:after="200" w:line="276" w:lineRule="auto"/>
              <w:jc w:val="left"/>
              <w:rPr>
                <w:rFonts w:cs="Arial"/>
                <w:bCs/>
                <w:lang w:val="en-US"/>
              </w:rPr>
            </w:pPr>
          </w:p>
        </w:tc>
      </w:tr>
      <w:tr w:rsidR="00F04D9A" w14:paraId="247AFCD5" w14:textId="77777777" w:rsidTr="00F04D9A">
        <w:tc>
          <w:tcPr>
            <w:tcW w:w="14029" w:type="dxa"/>
            <w:gridSpan w:val="2"/>
            <w:shd w:val="clear" w:color="auto" w:fill="B1B1B1" w:themeFill="accent1"/>
          </w:tcPr>
          <w:p w14:paraId="565ED988" w14:textId="77777777" w:rsidR="00F04D9A" w:rsidRPr="0031785E" w:rsidRDefault="00F04D9A" w:rsidP="00603E6E">
            <w:pPr>
              <w:spacing w:after="200" w:line="276" w:lineRule="auto"/>
              <w:jc w:val="center"/>
              <w:rPr>
                <w:rFonts w:cs="Arial"/>
                <w:b/>
                <w:bCs/>
                <w:lang w:val="en-US"/>
              </w:rPr>
            </w:pPr>
            <w:r w:rsidRPr="35AE6922">
              <w:rPr>
                <w:rFonts w:cs="Arial"/>
                <w:b/>
                <w:bCs/>
                <w:lang w:val="en-US"/>
              </w:rPr>
              <w:lastRenderedPageBreak/>
              <w:t xml:space="preserve">Request on behalf of another individual </w:t>
            </w:r>
          </w:p>
          <w:p w14:paraId="0FCC1CD6" w14:textId="77777777" w:rsidR="00F04D9A" w:rsidRPr="0031785E" w:rsidRDefault="00F04D9A" w:rsidP="00603E6E">
            <w:pPr>
              <w:spacing w:after="200" w:line="276" w:lineRule="auto"/>
              <w:jc w:val="center"/>
              <w:rPr>
                <w:rFonts w:cs="Arial"/>
                <w:lang w:val="en-US"/>
              </w:rPr>
            </w:pPr>
            <w:r w:rsidRPr="35AE6922">
              <w:rPr>
                <w:rFonts w:cs="Arial"/>
                <w:lang w:val="en-US"/>
              </w:rPr>
              <w:t>(Leave this section blank if you are requesting your own personal information)</w:t>
            </w:r>
          </w:p>
        </w:tc>
      </w:tr>
      <w:tr w:rsidR="00F04D9A" w14:paraId="09644120" w14:textId="77777777" w:rsidTr="00F04D9A">
        <w:tc>
          <w:tcPr>
            <w:tcW w:w="4621" w:type="dxa"/>
            <w:shd w:val="clear" w:color="auto" w:fill="ECECEC" w:themeFill="background2"/>
          </w:tcPr>
          <w:p w14:paraId="1D424EF9" w14:textId="77777777" w:rsidR="00F04D9A" w:rsidRPr="00561289" w:rsidRDefault="00F04D9A" w:rsidP="00603E6E">
            <w:pPr>
              <w:spacing w:after="200" w:line="276" w:lineRule="auto"/>
              <w:jc w:val="left"/>
              <w:rPr>
                <w:rFonts w:cs="Arial"/>
                <w:b/>
                <w:lang w:val="en-US"/>
              </w:rPr>
            </w:pPr>
            <w:r w:rsidRPr="00561289">
              <w:rPr>
                <w:rFonts w:cs="Arial"/>
                <w:b/>
                <w:lang w:val="en-US"/>
              </w:rPr>
              <w:t>What is the name of the individual whose information you are requesting to access?</w:t>
            </w:r>
          </w:p>
        </w:tc>
        <w:tc>
          <w:tcPr>
            <w:tcW w:w="9408" w:type="dxa"/>
          </w:tcPr>
          <w:p w14:paraId="13DC66E6" w14:textId="77777777" w:rsidR="00F04D9A" w:rsidRPr="0031785E" w:rsidRDefault="00F04D9A" w:rsidP="00603E6E">
            <w:pPr>
              <w:spacing w:after="200" w:line="276" w:lineRule="auto"/>
              <w:jc w:val="left"/>
              <w:rPr>
                <w:rFonts w:cs="Arial"/>
                <w:bCs/>
                <w:lang w:val="en-US"/>
              </w:rPr>
            </w:pPr>
          </w:p>
        </w:tc>
      </w:tr>
      <w:tr w:rsidR="00F04D9A" w14:paraId="177A6EA8" w14:textId="77777777" w:rsidTr="00F04D9A">
        <w:tc>
          <w:tcPr>
            <w:tcW w:w="4621" w:type="dxa"/>
            <w:shd w:val="clear" w:color="auto" w:fill="ECECEC" w:themeFill="background2"/>
          </w:tcPr>
          <w:p w14:paraId="66232B9C" w14:textId="77777777" w:rsidR="00F04D9A" w:rsidRPr="00561289" w:rsidRDefault="00F04D9A" w:rsidP="00603E6E">
            <w:pPr>
              <w:spacing w:after="200" w:line="276" w:lineRule="auto"/>
              <w:jc w:val="left"/>
              <w:rPr>
                <w:rFonts w:cs="Arial"/>
                <w:b/>
                <w:lang w:val="en-US"/>
              </w:rPr>
            </w:pPr>
            <w:r w:rsidRPr="00561289">
              <w:rPr>
                <w:rFonts w:cs="Arial"/>
                <w:b/>
                <w:lang w:val="en-US"/>
              </w:rPr>
              <w:t>What is your relationship to the individual?</w:t>
            </w:r>
          </w:p>
        </w:tc>
        <w:tc>
          <w:tcPr>
            <w:tcW w:w="9408" w:type="dxa"/>
          </w:tcPr>
          <w:p w14:paraId="6E4CE858" w14:textId="77777777" w:rsidR="00F04D9A" w:rsidRPr="0031785E" w:rsidRDefault="00F04D9A" w:rsidP="00603E6E">
            <w:pPr>
              <w:spacing w:after="200" w:line="276" w:lineRule="auto"/>
              <w:jc w:val="left"/>
              <w:rPr>
                <w:rFonts w:cs="Arial"/>
                <w:bCs/>
                <w:lang w:val="en-US"/>
              </w:rPr>
            </w:pPr>
          </w:p>
        </w:tc>
      </w:tr>
      <w:tr w:rsidR="00F04D9A" w14:paraId="72DC2AB5" w14:textId="77777777" w:rsidTr="00F04D9A">
        <w:tc>
          <w:tcPr>
            <w:tcW w:w="4621" w:type="dxa"/>
            <w:shd w:val="clear" w:color="auto" w:fill="ECECEC" w:themeFill="background2"/>
          </w:tcPr>
          <w:p w14:paraId="4EF3F214" w14:textId="77777777" w:rsidR="00F04D9A" w:rsidRPr="00561289" w:rsidRDefault="00F04D9A" w:rsidP="00603E6E">
            <w:pPr>
              <w:spacing w:after="200" w:line="276" w:lineRule="auto"/>
              <w:jc w:val="left"/>
              <w:rPr>
                <w:rFonts w:cs="Arial"/>
                <w:b/>
                <w:lang w:val="en-US"/>
              </w:rPr>
            </w:pPr>
            <w:r w:rsidRPr="00561289">
              <w:rPr>
                <w:rFonts w:cs="Arial"/>
                <w:b/>
                <w:lang w:val="en-US"/>
              </w:rPr>
              <w:t>What evidence do you have to confirm you are legally authorised to access the information, e.g., letter of authority, proof of parental responsibility?</w:t>
            </w:r>
          </w:p>
        </w:tc>
        <w:tc>
          <w:tcPr>
            <w:tcW w:w="9408" w:type="dxa"/>
          </w:tcPr>
          <w:p w14:paraId="7F9ADB4E" w14:textId="77777777" w:rsidR="00F04D9A" w:rsidRPr="0031785E" w:rsidRDefault="00F04D9A" w:rsidP="00603E6E">
            <w:pPr>
              <w:spacing w:after="200" w:line="276" w:lineRule="auto"/>
              <w:jc w:val="left"/>
              <w:rPr>
                <w:rFonts w:cs="Arial"/>
                <w:bCs/>
                <w:lang w:val="en-US"/>
              </w:rPr>
            </w:pPr>
          </w:p>
        </w:tc>
      </w:tr>
      <w:tr w:rsidR="00F04D9A" w14:paraId="792D3490" w14:textId="77777777" w:rsidTr="00F04D9A">
        <w:tc>
          <w:tcPr>
            <w:tcW w:w="14029" w:type="dxa"/>
            <w:gridSpan w:val="2"/>
            <w:shd w:val="clear" w:color="auto" w:fill="B1B1B1" w:themeFill="accent1"/>
          </w:tcPr>
          <w:p w14:paraId="035F46D6" w14:textId="77777777" w:rsidR="00F04D9A" w:rsidRPr="00561289" w:rsidRDefault="00F04D9A" w:rsidP="00603E6E">
            <w:pPr>
              <w:spacing w:after="200" w:line="276" w:lineRule="auto"/>
              <w:jc w:val="center"/>
              <w:rPr>
                <w:rFonts w:cs="Arial"/>
                <w:b/>
                <w:lang w:val="en-US"/>
              </w:rPr>
            </w:pPr>
            <w:r w:rsidRPr="00561289">
              <w:rPr>
                <w:rFonts w:cs="Arial"/>
                <w:b/>
                <w:lang w:val="en-US"/>
              </w:rPr>
              <w:t>Information being requested</w:t>
            </w:r>
          </w:p>
        </w:tc>
      </w:tr>
      <w:tr w:rsidR="00F04D9A" w14:paraId="188DD19E" w14:textId="77777777" w:rsidTr="00F04D9A">
        <w:tc>
          <w:tcPr>
            <w:tcW w:w="4621" w:type="dxa"/>
            <w:shd w:val="clear" w:color="auto" w:fill="ECECEC" w:themeFill="background2"/>
          </w:tcPr>
          <w:p w14:paraId="56467AB0" w14:textId="5868243C" w:rsidR="00F04D9A" w:rsidRDefault="00F04D9A" w:rsidP="00603E6E">
            <w:pPr>
              <w:spacing w:after="200" w:line="276" w:lineRule="auto"/>
              <w:jc w:val="left"/>
              <w:rPr>
                <w:rFonts w:cs="Arial"/>
                <w:bCs/>
                <w:lang w:val="en-US"/>
              </w:rPr>
            </w:pPr>
            <w:r w:rsidRPr="00561289">
              <w:rPr>
                <w:rFonts w:cs="Arial"/>
                <w:b/>
                <w:lang w:val="en-US"/>
              </w:rPr>
              <w:t>Details of the personal information you wish to access</w:t>
            </w:r>
            <w:r>
              <w:rPr>
                <w:rFonts w:cs="Arial"/>
                <w:b/>
                <w:lang w:val="en-US"/>
              </w:rPr>
              <w:t xml:space="preserve"> </w:t>
            </w:r>
            <w:r>
              <w:rPr>
                <w:rFonts w:cs="Arial"/>
                <w:bCs/>
                <w:lang w:val="en-US"/>
              </w:rPr>
              <w:t xml:space="preserve">– Be as specific as possible to ensure relevant information is provided, </w:t>
            </w:r>
            <w:r w:rsidR="00932D82">
              <w:rPr>
                <w:rFonts w:cs="Arial"/>
                <w:bCs/>
                <w:lang w:val="en-US"/>
              </w:rPr>
              <w:t>e.g.</w:t>
            </w:r>
            <w:r>
              <w:rPr>
                <w:rFonts w:cs="Arial"/>
                <w:bCs/>
                <w:lang w:val="en-US"/>
              </w:rPr>
              <w:t>:</w:t>
            </w:r>
          </w:p>
          <w:p w14:paraId="68DD8DDF" w14:textId="77777777" w:rsidR="00F04D9A" w:rsidRPr="00CD2C13" w:rsidRDefault="00F04D9A" w:rsidP="00F04D9A">
            <w:pPr>
              <w:pStyle w:val="ListParagraph"/>
              <w:numPr>
                <w:ilvl w:val="0"/>
                <w:numId w:val="48"/>
              </w:numPr>
              <w:jc w:val="left"/>
              <w:rPr>
                <w:rFonts w:ascii="Arial" w:hAnsi="Arial" w:cs="Arial"/>
                <w:bCs/>
                <w:lang w:val="en-US"/>
              </w:rPr>
            </w:pPr>
            <w:r w:rsidRPr="00CD2C13">
              <w:rPr>
                <w:rFonts w:ascii="Arial" w:hAnsi="Arial" w:cs="Arial"/>
                <w:bCs/>
                <w:lang w:val="en-US"/>
              </w:rPr>
              <w:t>Your staff personnel file</w:t>
            </w:r>
          </w:p>
          <w:p w14:paraId="16989F59" w14:textId="77777777" w:rsidR="00F04D9A" w:rsidRPr="00CD2C13" w:rsidRDefault="00F04D9A" w:rsidP="00F04D9A">
            <w:pPr>
              <w:pStyle w:val="ListParagraph"/>
              <w:numPr>
                <w:ilvl w:val="0"/>
                <w:numId w:val="48"/>
              </w:numPr>
              <w:jc w:val="left"/>
              <w:rPr>
                <w:rFonts w:ascii="Arial" w:hAnsi="Arial" w:cs="Arial"/>
                <w:bCs/>
                <w:lang w:val="en-US"/>
              </w:rPr>
            </w:pPr>
            <w:r w:rsidRPr="00CD2C13">
              <w:rPr>
                <w:rFonts w:ascii="Arial" w:hAnsi="Arial" w:cs="Arial"/>
                <w:bCs/>
                <w:lang w:val="en-US"/>
              </w:rPr>
              <w:t>Your child’s behaviour record</w:t>
            </w:r>
          </w:p>
          <w:p w14:paraId="7825CC0E" w14:textId="77777777" w:rsidR="00F04D9A" w:rsidRPr="00CD2C13" w:rsidRDefault="00F04D9A" w:rsidP="00F04D9A">
            <w:pPr>
              <w:pStyle w:val="ListParagraph"/>
              <w:numPr>
                <w:ilvl w:val="0"/>
                <w:numId w:val="48"/>
              </w:numPr>
              <w:jc w:val="left"/>
              <w:rPr>
                <w:rFonts w:cs="Arial"/>
                <w:bCs/>
                <w:lang w:val="en-US"/>
              </w:rPr>
            </w:pPr>
            <w:r w:rsidRPr="00CD2C13">
              <w:rPr>
                <w:rFonts w:ascii="Arial" w:hAnsi="Arial" w:cs="Arial"/>
                <w:bCs/>
                <w:lang w:val="en-US"/>
              </w:rPr>
              <w:t>Emails between ‘Teacher A’ and ‘Teacher B’</w:t>
            </w:r>
          </w:p>
          <w:p w14:paraId="5D12342A" w14:textId="77777777" w:rsidR="00F04D9A" w:rsidRPr="00CD2C13" w:rsidRDefault="00F04D9A" w:rsidP="00F04D9A">
            <w:pPr>
              <w:pStyle w:val="ListParagraph"/>
              <w:numPr>
                <w:ilvl w:val="0"/>
                <w:numId w:val="48"/>
              </w:numPr>
              <w:jc w:val="left"/>
              <w:rPr>
                <w:rFonts w:cs="Arial"/>
                <w:bCs/>
                <w:lang w:val="en-US"/>
              </w:rPr>
            </w:pPr>
            <w:r w:rsidRPr="00CD2C13">
              <w:rPr>
                <w:rFonts w:ascii="Arial" w:hAnsi="Arial" w:cs="Arial"/>
                <w:bCs/>
                <w:lang w:val="en-US"/>
              </w:rPr>
              <w:t>CCTV footage at ‘Location A.’</w:t>
            </w:r>
            <w:r>
              <w:rPr>
                <w:rFonts w:cs="Arial"/>
                <w:bCs/>
                <w:lang w:val="en-US"/>
              </w:rPr>
              <w:t xml:space="preserve"> </w:t>
            </w:r>
          </w:p>
        </w:tc>
        <w:tc>
          <w:tcPr>
            <w:tcW w:w="9408" w:type="dxa"/>
          </w:tcPr>
          <w:p w14:paraId="1E680B7F" w14:textId="77777777" w:rsidR="00F04D9A" w:rsidRPr="0031785E" w:rsidRDefault="00F04D9A" w:rsidP="00603E6E">
            <w:pPr>
              <w:spacing w:after="200" w:line="276" w:lineRule="auto"/>
              <w:jc w:val="left"/>
              <w:rPr>
                <w:rFonts w:cs="Arial"/>
                <w:bCs/>
                <w:lang w:val="en-US"/>
              </w:rPr>
            </w:pPr>
            <w:r w:rsidRPr="0031785E">
              <w:rPr>
                <w:rFonts w:cs="Arial"/>
                <w:bCs/>
                <w:lang w:val="en-US"/>
              </w:rPr>
              <w:t xml:space="preserve"> </w:t>
            </w:r>
          </w:p>
        </w:tc>
      </w:tr>
      <w:tr w:rsidR="00F04D9A" w14:paraId="2AA7B6EB" w14:textId="77777777" w:rsidTr="00F04D9A">
        <w:tc>
          <w:tcPr>
            <w:tcW w:w="4621" w:type="dxa"/>
            <w:shd w:val="clear" w:color="auto" w:fill="ECECEC" w:themeFill="background2"/>
          </w:tcPr>
          <w:p w14:paraId="13AF6302" w14:textId="77777777" w:rsidR="00F04D9A" w:rsidRPr="00561289" w:rsidRDefault="00F04D9A" w:rsidP="00603E6E">
            <w:pPr>
              <w:spacing w:after="200" w:line="276" w:lineRule="auto"/>
              <w:jc w:val="left"/>
              <w:rPr>
                <w:rFonts w:cs="Arial"/>
                <w:bCs/>
                <w:lang w:val="en-US"/>
              </w:rPr>
            </w:pPr>
            <w:r w:rsidRPr="00561289">
              <w:rPr>
                <w:rFonts w:cs="Arial"/>
                <w:b/>
                <w:lang w:val="en-US"/>
              </w:rPr>
              <w:lastRenderedPageBreak/>
              <w:t>Time period</w:t>
            </w:r>
            <w:r>
              <w:rPr>
                <w:rFonts w:cs="Arial"/>
                <w:b/>
                <w:lang w:val="en-US"/>
              </w:rPr>
              <w:t xml:space="preserve"> </w:t>
            </w:r>
            <w:r>
              <w:rPr>
                <w:rFonts w:cs="Arial"/>
                <w:bCs/>
                <w:lang w:val="en-US"/>
              </w:rPr>
              <w:t>– Provide a date range for the information you are requesting, and specific times, if applicable.</w:t>
            </w:r>
          </w:p>
        </w:tc>
        <w:tc>
          <w:tcPr>
            <w:tcW w:w="9408" w:type="dxa"/>
          </w:tcPr>
          <w:p w14:paraId="5DC11C4D" w14:textId="77777777" w:rsidR="00F04D9A" w:rsidRDefault="00F04D9A" w:rsidP="00603E6E">
            <w:pPr>
              <w:spacing w:after="200" w:line="276" w:lineRule="auto"/>
              <w:jc w:val="left"/>
              <w:rPr>
                <w:rFonts w:cs="Arial"/>
                <w:bCs/>
                <w:lang w:val="en-US"/>
              </w:rPr>
            </w:pPr>
          </w:p>
          <w:p w14:paraId="26329726" w14:textId="77777777" w:rsidR="00E56E9B" w:rsidRDefault="00E56E9B" w:rsidP="00603E6E">
            <w:pPr>
              <w:spacing w:after="200" w:line="276" w:lineRule="auto"/>
              <w:jc w:val="left"/>
              <w:rPr>
                <w:rFonts w:cs="Arial"/>
                <w:bCs/>
                <w:lang w:val="en-US"/>
              </w:rPr>
            </w:pPr>
          </w:p>
          <w:p w14:paraId="4A75F794" w14:textId="77777777" w:rsidR="00E56E9B" w:rsidRPr="0031785E" w:rsidRDefault="00E56E9B" w:rsidP="00603E6E">
            <w:pPr>
              <w:spacing w:after="200" w:line="276" w:lineRule="auto"/>
              <w:jc w:val="left"/>
              <w:rPr>
                <w:rFonts w:cs="Arial"/>
                <w:bCs/>
                <w:lang w:val="en-US"/>
              </w:rPr>
            </w:pPr>
          </w:p>
        </w:tc>
      </w:tr>
      <w:tr w:rsidR="00F04D9A" w14:paraId="62BD4112" w14:textId="77777777" w:rsidTr="00F04D9A">
        <w:tc>
          <w:tcPr>
            <w:tcW w:w="4621" w:type="dxa"/>
            <w:shd w:val="clear" w:color="auto" w:fill="ECECEC" w:themeFill="background2"/>
          </w:tcPr>
          <w:p w14:paraId="7F211A27" w14:textId="77777777" w:rsidR="00F04D9A" w:rsidRPr="00561289" w:rsidRDefault="00F04D9A" w:rsidP="00603E6E">
            <w:pPr>
              <w:spacing w:after="200" w:line="276" w:lineRule="auto"/>
              <w:jc w:val="left"/>
              <w:rPr>
                <w:rFonts w:cs="Arial"/>
                <w:bCs/>
                <w:lang w:val="en-US"/>
              </w:rPr>
            </w:pPr>
            <w:r w:rsidRPr="00561289">
              <w:rPr>
                <w:rFonts w:cs="Arial"/>
                <w:b/>
                <w:lang w:val="en-US"/>
              </w:rPr>
              <w:t>Reason for requesting this information</w:t>
            </w:r>
            <w:r>
              <w:rPr>
                <w:rFonts w:cs="Arial"/>
                <w:b/>
                <w:lang w:val="en-US"/>
              </w:rPr>
              <w:t xml:space="preserve"> </w:t>
            </w:r>
            <w:r>
              <w:rPr>
                <w:rFonts w:cs="Arial"/>
                <w:bCs/>
                <w:lang w:val="en-US"/>
              </w:rPr>
              <w:t>– You are not required to provide a reason; however, it can help the school to provide the specific information you want as soon as possible.</w:t>
            </w:r>
          </w:p>
        </w:tc>
        <w:tc>
          <w:tcPr>
            <w:tcW w:w="9408" w:type="dxa"/>
          </w:tcPr>
          <w:p w14:paraId="02BDED80" w14:textId="77777777" w:rsidR="00F04D9A" w:rsidRDefault="00F04D9A" w:rsidP="00603E6E">
            <w:pPr>
              <w:spacing w:after="200" w:line="276" w:lineRule="auto"/>
              <w:jc w:val="left"/>
              <w:rPr>
                <w:rFonts w:cs="Arial"/>
                <w:bCs/>
                <w:lang w:val="en-US"/>
              </w:rPr>
            </w:pPr>
          </w:p>
          <w:p w14:paraId="6253A55B" w14:textId="77777777" w:rsidR="00E56E9B" w:rsidRDefault="00E56E9B" w:rsidP="00603E6E">
            <w:pPr>
              <w:spacing w:after="200" w:line="276" w:lineRule="auto"/>
              <w:jc w:val="left"/>
              <w:rPr>
                <w:rFonts w:cs="Arial"/>
                <w:bCs/>
                <w:lang w:val="en-US"/>
              </w:rPr>
            </w:pPr>
          </w:p>
          <w:p w14:paraId="753799BF" w14:textId="77777777" w:rsidR="00E56E9B" w:rsidRDefault="00E56E9B" w:rsidP="00603E6E">
            <w:pPr>
              <w:spacing w:after="200" w:line="276" w:lineRule="auto"/>
              <w:jc w:val="left"/>
              <w:rPr>
                <w:rFonts w:cs="Arial"/>
                <w:bCs/>
                <w:lang w:val="en-US"/>
              </w:rPr>
            </w:pPr>
          </w:p>
          <w:p w14:paraId="67A6F12B" w14:textId="77777777" w:rsidR="00E56E9B" w:rsidRDefault="00E56E9B" w:rsidP="00603E6E">
            <w:pPr>
              <w:spacing w:after="200" w:line="276" w:lineRule="auto"/>
              <w:jc w:val="left"/>
              <w:rPr>
                <w:rFonts w:cs="Arial"/>
                <w:bCs/>
                <w:lang w:val="en-US"/>
              </w:rPr>
            </w:pPr>
          </w:p>
          <w:p w14:paraId="446A5D2E" w14:textId="77777777" w:rsidR="00E56E9B" w:rsidRDefault="00E56E9B" w:rsidP="00603E6E">
            <w:pPr>
              <w:spacing w:after="200" w:line="276" w:lineRule="auto"/>
              <w:jc w:val="left"/>
              <w:rPr>
                <w:rFonts w:cs="Arial"/>
                <w:bCs/>
                <w:lang w:val="en-US"/>
              </w:rPr>
            </w:pPr>
          </w:p>
          <w:p w14:paraId="5ED220B5" w14:textId="77777777" w:rsidR="00E56E9B" w:rsidRDefault="00E56E9B" w:rsidP="00603E6E">
            <w:pPr>
              <w:spacing w:after="200" w:line="276" w:lineRule="auto"/>
              <w:jc w:val="left"/>
              <w:rPr>
                <w:rFonts w:cs="Arial"/>
                <w:bCs/>
                <w:lang w:val="en-US"/>
              </w:rPr>
            </w:pPr>
          </w:p>
          <w:p w14:paraId="33F540A1" w14:textId="77777777" w:rsidR="00E56E9B" w:rsidRPr="0031785E" w:rsidRDefault="00E56E9B" w:rsidP="00603E6E">
            <w:pPr>
              <w:spacing w:after="200" w:line="276" w:lineRule="auto"/>
              <w:jc w:val="left"/>
              <w:rPr>
                <w:rFonts w:cs="Arial"/>
                <w:bCs/>
                <w:lang w:val="en-US"/>
              </w:rPr>
            </w:pPr>
          </w:p>
        </w:tc>
      </w:tr>
      <w:tr w:rsidR="00F04D9A" w14:paraId="4581317D" w14:textId="77777777" w:rsidTr="00F04D9A">
        <w:tc>
          <w:tcPr>
            <w:tcW w:w="4621" w:type="dxa"/>
            <w:shd w:val="clear" w:color="auto" w:fill="ECECEC" w:themeFill="background2"/>
          </w:tcPr>
          <w:p w14:paraId="11762E8D" w14:textId="77777777" w:rsidR="00F04D9A" w:rsidRPr="00561289" w:rsidRDefault="00F04D9A" w:rsidP="00603E6E">
            <w:pPr>
              <w:spacing w:after="200" w:line="276" w:lineRule="auto"/>
              <w:jc w:val="left"/>
              <w:rPr>
                <w:rFonts w:cs="Arial"/>
                <w:bCs/>
                <w:lang w:val="en-US"/>
              </w:rPr>
            </w:pPr>
            <w:r w:rsidRPr="00561289">
              <w:rPr>
                <w:rFonts w:cs="Arial"/>
                <w:b/>
                <w:lang w:val="en-US"/>
              </w:rPr>
              <w:t>Additional details</w:t>
            </w:r>
            <w:r>
              <w:rPr>
                <w:rFonts w:cs="Arial"/>
                <w:b/>
                <w:lang w:val="en-US"/>
              </w:rPr>
              <w:t xml:space="preserve"> </w:t>
            </w:r>
            <w:r>
              <w:rPr>
                <w:rFonts w:cs="Arial"/>
                <w:bCs/>
                <w:lang w:val="en-US"/>
              </w:rPr>
              <w:t>– Provide any additional details you think may be relevant to the request and may help the school to find the information.</w:t>
            </w:r>
          </w:p>
        </w:tc>
        <w:tc>
          <w:tcPr>
            <w:tcW w:w="9408" w:type="dxa"/>
          </w:tcPr>
          <w:p w14:paraId="2CD25200" w14:textId="77777777" w:rsidR="00F04D9A" w:rsidRDefault="00F04D9A" w:rsidP="00603E6E">
            <w:pPr>
              <w:spacing w:after="200" w:line="276" w:lineRule="auto"/>
              <w:jc w:val="left"/>
              <w:rPr>
                <w:rFonts w:cs="Arial"/>
                <w:bCs/>
                <w:lang w:val="en-US"/>
              </w:rPr>
            </w:pPr>
          </w:p>
          <w:p w14:paraId="7BBD4C28" w14:textId="77777777" w:rsidR="00E56E9B" w:rsidRDefault="00E56E9B" w:rsidP="00603E6E">
            <w:pPr>
              <w:spacing w:after="200" w:line="276" w:lineRule="auto"/>
              <w:jc w:val="left"/>
              <w:rPr>
                <w:rFonts w:cs="Arial"/>
                <w:bCs/>
                <w:lang w:val="en-US"/>
              </w:rPr>
            </w:pPr>
          </w:p>
          <w:p w14:paraId="5C49D508" w14:textId="77777777" w:rsidR="00E56E9B" w:rsidRDefault="00E56E9B" w:rsidP="00603E6E">
            <w:pPr>
              <w:spacing w:after="200" w:line="276" w:lineRule="auto"/>
              <w:jc w:val="left"/>
              <w:rPr>
                <w:rFonts w:cs="Arial"/>
                <w:bCs/>
                <w:lang w:val="en-US"/>
              </w:rPr>
            </w:pPr>
          </w:p>
          <w:p w14:paraId="7DE496FC" w14:textId="77777777" w:rsidR="00E56E9B" w:rsidRPr="0031785E" w:rsidRDefault="00E56E9B" w:rsidP="00603E6E">
            <w:pPr>
              <w:spacing w:after="200" w:line="276" w:lineRule="auto"/>
              <w:jc w:val="left"/>
              <w:rPr>
                <w:rFonts w:cs="Arial"/>
                <w:bCs/>
                <w:lang w:val="en-US"/>
              </w:rPr>
            </w:pPr>
          </w:p>
        </w:tc>
      </w:tr>
      <w:bookmarkEnd w:id="1"/>
    </w:tbl>
    <w:p w14:paraId="69293ADA" w14:textId="77777777" w:rsidR="00BC66E9" w:rsidRDefault="00BC66E9" w:rsidP="00C03384">
      <w:pPr>
        <w:rPr>
          <w:sz w:val="16"/>
          <w:szCs w:val="16"/>
        </w:rPr>
      </w:pPr>
    </w:p>
    <w:sectPr w:rsidR="00BC66E9" w:rsidSect="00C03384">
      <w:headerReference w:type="default" r:id="rId11"/>
      <w:headerReference w:type="first" r:id="rId12"/>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4BCE" w14:textId="77777777" w:rsidR="00144826" w:rsidRPr="00114B8E" w:rsidRDefault="00144826" w:rsidP="00AD4155">
      <w:r w:rsidRPr="00114B8E">
        <w:separator/>
      </w:r>
    </w:p>
  </w:endnote>
  <w:endnote w:type="continuationSeparator" w:id="0">
    <w:p w14:paraId="0A779B9C" w14:textId="77777777" w:rsidR="00144826" w:rsidRPr="00114B8E" w:rsidRDefault="00144826" w:rsidP="00AD4155">
      <w:r w:rsidRPr="00114B8E">
        <w:continuationSeparator/>
      </w:r>
    </w:p>
  </w:endnote>
  <w:endnote w:type="continuationNotice" w:id="1">
    <w:p w14:paraId="7F409AA9" w14:textId="77777777" w:rsidR="00144826" w:rsidRPr="00114B8E" w:rsidRDefault="001448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E7DBEA3-6A68-4560-AEA3-3F5B7EAF1CF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EF1B" w14:textId="77777777" w:rsidR="00144826" w:rsidRPr="00114B8E" w:rsidRDefault="00144826" w:rsidP="00AD4155">
      <w:r w:rsidRPr="00114B8E">
        <w:separator/>
      </w:r>
    </w:p>
  </w:footnote>
  <w:footnote w:type="continuationSeparator" w:id="0">
    <w:p w14:paraId="6D14EF89" w14:textId="77777777" w:rsidR="00144826" w:rsidRPr="00114B8E" w:rsidRDefault="00144826" w:rsidP="00AD4155">
      <w:r w:rsidRPr="00114B8E">
        <w:continuationSeparator/>
      </w:r>
    </w:p>
  </w:footnote>
  <w:footnote w:type="continuationNotice" w:id="1">
    <w:p w14:paraId="590DEE11" w14:textId="77777777" w:rsidR="00144826" w:rsidRPr="00114B8E" w:rsidRDefault="001448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1EC2" w14:textId="77777777" w:rsidR="000A6B28" w:rsidRDefault="000A6B28">
    <w:pPr>
      <w:pStyle w:val="Header"/>
    </w:pPr>
    <w:r>
      <w:rPr>
        <w:noProof/>
      </w:rPr>
      <mc:AlternateContent>
        <mc:Choice Requires="wps">
          <w:drawing>
            <wp:anchor distT="45720" distB="45720" distL="114300" distR="114300" simplePos="0" relativeHeight="251660288" behindDoc="0" locked="0" layoutInCell="1" allowOverlap="1" wp14:anchorId="2EF30C3C" wp14:editId="3D291FA1">
              <wp:simplePos x="0" y="0"/>
              <wp:positionH relativeFrom="column">
                <wp:posOffset>6009147</wp:posOffset>
              </wp:positionH>
              <wp:positionV relativeFrom="paragraph">
                <wp:posOffset>-346870</wp:posOffset>
              </wp:positionV>
              <wp:extent cx="651510" cy="1404620"/>
              <wp:effectExtent l="0" t="0" r="0" b="0"/>
              <wp:wrapSquare wrapText="bothSides"/>
              <wp:docPr id="444461653" name="Text Box 44446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EC9F3DC" w14:textId="77777777" w:rsidR="000A6B28" w:rsidRPr="00935945" w:rsidRDefault="000A6B28">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30C3C" id="_x0000_t202" coordsize="21600,21600" o:spt="202" path="m,l,21600r21600,l21600,xe">
              <v:stroke joinstyle="miter"/>
              <v:path gradientshapeok="t" o:connecttype="rect"/>
            </v:shapetype>
            <v:shape id="Text Box 444461653" o:spid="_x0000_s1026" type="#_x0000_t202" style="position:absolute;left:0;text-align:left;margin-left:473.15pt;margin-top:-27.3pt;width:51.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" stroked="f">
              <v:textbox style="mso-fit-shape-to-text:t">
                <w:txbxContent>
                  <w:p w14:paraId="5EC9F3DC" w14:textId="77777777" w:rsidR="000A6B28" w:rsidRPr="00935945" w:rsidRDefault="000A6B28">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2F8"/>
    <w:multiLevelType w:val="hybridMultilevel"/>
    <w:tmpl w:val="3A6C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761AE0"/>
    <w:multiLevelType w:val="hybridMultilevel"/>
    <w:tmpl w:val="5468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5412"/>
    <w:multiLevelType w:val="hybridMultilevel"/>
    <w:tmpl w:val="FBE4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C3F3C"/>
    <w:multiLevelType w:val="hybridMultilevel"/>
    <w:tmpl w:val="31EE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05278"/>
    <w:multiLevelType w:val="hybridMultilevel"/>
    <w:tmpl w:val="33B2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A0D9F"/>
    <w:multiLevelType w:val="hybridMultilevel"/>
    <w:tmpl w:val="679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C37AA"/>
    <w:multiLevelType w:val="hybridMultilevel"/>
    <w:tmpl w:val="73CC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864E6"/>
    <w:multiLevelType w:val="hybridMultilevel"/>
    <w:tmpl w:val="34561440"/>
    <w:lvl w:ilvl="0" w:tplc="34785E12">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3060CF"/>
    <w:multiLevelType w:val="hybridMultilevel"/>
    <w:tmpl w:val="43183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777CD3"/>
    <w:multiLevelType w:val="hybridMultilevel"/>
    <w:tmpl w:val="1BBE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7166F"/>
    <w:multiLevelType w:val="hybridMultilevel"/>
    <w:tmpl w:val="CAE4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F1A17"/>
    <w:multiLevelType w:val="hybridMultilevel"/>
    <w:tmpl w:val="3F5A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4310B"/>
    <w:multiLevelType w:val="hybridMultilevel"/>
    <w:tmpl w:val="475A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6294A"/>
    <w:multiLevelType w:val="hybridMultilevel"/>
    <w:tmpl w:val="75AC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D04A4"/>
    <w:multiLevelType w:val="hybridMultilevel"/>
    <w:tmpl w:val="834A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93EDA"/>
    <w:multiLevelType w:val="hybridMultilevel"/>
    <w:tmpl w:val="FAD6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6022B"/>
    <w:multiLevelType w:val="hybridMultilevel"/>
    <w:tmpl w:val="A8F4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A7D69"/>
    <w:multiLevelType w:val="hybridMultilevel"/>
    <w:tmpl w:val="0732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20F29"/>
    <w:multiLevelType w:val="multilevel"/>
    <w:tmpl w:val="988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97C68"/>
    <w:multiLevelType w:val="hybridMultilevel"/>
    <w:tmpl w:val="CF26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46CD0"/>
    <w:multiLevelType w:val="multilevel"/>
    <w:tmpl w:val="919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8620A"/>
    <w:multiLevelType w:val="hybridMultilevel"/>
    <w:tmpl w:val="A440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85D96"/>
    <w:multiLevelType w:val="hybridMultilevel"/>
    <w:tmpl w:val="19BE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282143"/>
    <w:multiLevelType w:val="hybridMultilevel"/>
    <w:tmpl w:val="A0E6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F54DF"/>
    <w:multiLevelType w:val="hybridMultilevel"/>
    <w:tmpl w:val="356E1608"/>
    <w:lvl w:ilvl="0" w:tplc="877C1F32">
      <w:start w:val="1"/>
      <w:numFmt w:val="decimal"/>
      <w:pStyle w:val="Heading10"/>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5AB599E"/>
    <w:multiLevelType w:val="hybridMultilevel"/>
    <w:tmpl w:val="9628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180C5E"/>
    <w:multiLevelType w:val="hybridMultilevel"/>
    <w:tmpl w:val="514A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A3B58D9"/>
    <w:multiLevelType w:val="hybridMultilevel"/>
    <w:tmpl w:val="7738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77A66"/>
    <w:multiLevelType w:val="hybridMultilevel"/>
    <w:tmpl w:val="F588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D87C77"/>
    <w:multiLevelType w:val="hybridMultilevel"/>
    <w:tmpl w:val="65A8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46792D"/>
    <w:multiLevelType w:val="hybridMultilevel"/>
    <w:tmpl w:val="ED86CC3A"/>
    <w:lvl w:ilvl="0" w:tplc="75F6BB0A">
      <w:start w:val="1"/>
      <w:numFmt w:val="upp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7" w15:restartNumberingAfterBreak="0">
    <w:nsid w:val="62407888"/>
    <w:multiLevelType w:val="hybridMultilevel"/>
    <w:tmpl w:val="6E144E10"/>
    <w:lvl w:ilvl="0" w:tplc="558424B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262187C"/>
    <w:multiLevelType w:val="hybridMultilevel"/>
    <w:tmpl w:val="FF90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B7D82"/>
    <w:multiLevelType w:val="hybridMultilevel"/>
    <w:tmpl w:val="51EA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EC96E73"/>
    <w:multiLevelType w:val="hybridMultilevel"/>
    <w:tmpl w:val="E158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567BB6"/>
    <w:multiLevelType w:val="hybridMultilevel"/>
    <w:tmpl w:val="B1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6233AE"/>
    <w:multiLevelType w:val="hybridMultilevel"/>
    <w:tmpl w:val="A16E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421E5E"/>
    <w:multiLevelType w:val="multilevel"/>
    <w:tmpl w:val="7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053BB1"/>
    <w:multiLevelType w:val="hybridMultilevel"/>
    <w:tmpl w:val="797C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584F90"/>
    <w:multiLevelType w:val="hybridMultilevel"/>
    <w:tmpl w:val="2268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7A464C"/>
    <w:multiLevelType w:val="hybridMultilevel"/>
    <w:tmpl w:val="1F0C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40"/>
  </w:num>
  <w:num w:numId="2" w16cid:durableId="843592689">
    <w:abstractNumId w:val="41"/>
  </w:num>
  <w:num w:numId="3" w16cid:durableId="713430728">
    <w:abstractNumId w:val="26"/>
  </w:num>
  <w:num w:numId="4" w16cid:durableId="882670824">
    <w:abstractNumId w:val="1"/>
  </w:num>
  <w:num w:numId="5" w16cid:durableId="1539582641">
    <w:abstractNumId w:val="32"/>
  </w:num>
  <w:num w:numId="6" w16cid:durableId="1652752479">
    <w:abstractNumId w:val="29"/>
  </w:num>
  <w:num w:numId="7" w16cid:durableId="1876189327">
    <w:abstractNumId w:val="37"/>
  </w:num>
  <w:num w:numId="8" w16cid:durableId="1309625691">
    <w:abstractNumId w:val="8"/>
  </w:num>
  <w:num w:numId="9" w16cid:durableId="913585549">
    <w:abstractNumId w:val="13"/>
  </w:num>
  <w:num w:numId="10" w16cid:durableId="1676761380">
    <w:abstractNumId w:val="4"/>
  </w:num>
  <w:num w:numId="11" w16cid:durableId="1958828088">
    <w:abstractNumId w:val="7"/>
  </w:num>
  <w:num w:numId="12" w16cid:durableId="1814367861">
    <w:abstractNumId w:val="18"/>
  </w:num>
  <w:num w:numId="13" w16cid:durableId="673990865">
    <w:abstractNumId w:val="20"/>
  </w:num>
  <w:num w:numId="14" w16cid:durableId="1077440380">
    <w:abstractNumId w:val="44"/>
  </w:num>
  <w:num w:numId="15" w16cid:durableId="789936270">
    <w:abstractNumId w:val="33"/>
  </w:num>
  <w:num w:numId="16" w16cid:durableId="1854100980">
    <w:abstractNumId w:val="16"/>
  </w:num>
  <w:num w:numId="17" w16cid:durableId="284850994">
    <w:abstractNumId w:val="9"/>
  </w:num>
  <w:num w:numId="18" w16cid:durableId="170264033">
    <w:abstractNumId w:val="48"/>
  </w:num>
  <w:num w:numId="19" w16cid:durableId="169418169">
    <w:abstractNumId w:val="28"/>
  </w:num>
  <w:num w:numId="20" w16cid:durableId="913513654">
    <w:abstractNumId w:val="3"/>
  </w:num>
  <w:num w:numId="21" w16cid:durableId="1756588027">
    <w:abstractNumId w:val="35"/>
  </w:num>
  <w:num w:numId="22" w16cid:durableId="1355381056">
    <w:abstractNumId w:val="23"/>
  </w:num>
  <w:num w:numId="23" w16cid:durableId="1794590923">
    <w:abstractNumId w:val="21"/>
  </w:num>
  <w:num w:numId="24" w16cid:durableId="751707747">
    <w:abstractNumId w:val="43"/>
  </w:num>
  <w:num w:numId="25" w16cid:durableId="1181775928">
    <w:abstractNumId w:val="19"/>
  </w:num>
  <w:num w:numId="26" w16cid:durableId="1166507514">
    <w:abstractNumId w:val="30"/>
  </w:num>
  <w:num w:numId="27" w16cid:durableId="1847674225">
    <w:abstractNumId w:val="15"/>
  </w:num>
  <w:num w:numId="28" w16cid:durableId="1374967496">
    <w:abstractNumId w:val="10"/>
  </w:num>
  <w:num w:numId="29" w16cid:durableId="1647930469">
    <w:abstractNumId w:val="11"/>
  </w:num>
  <w:num w:numId="30" w16cid:durableId="1503542180">
    <w:abstractNumId w:val="24"/>
  </w:num>
  <w:num w:numId="31" w16cid:durableId="2069456385">
    <w:abstractNumId w:val="6"/>
  </w:num>
  <w:num w:numId="32" w16cid:durableId="2017804100">
    <w:abstractNumId w:val="34"/>
  </w:num>
  <w:num w:numId="33" w16cid:durableId="1110971952">
    <w:abstractNumId w:val="38"/>
  </w:num>
  <w:num w:numId="34" w16cid:durableId="1990671363">
    <w:abstractNumId w:val="46"/>
  </w:num>
  <w:num w:numId="35" w16cid:durableId="261229118">
    <w:abstractNumId w:val="45"/>
  </w:num>
  <w:num w:numId="36" w16cid:durableId="862666658">
    <w:abstractNumId w:val="42"/>
  </w:num>
  <w:num w:numId="37" w16cid:durableId="550189911">
    <w:abstractNumId w:val="14"/>
  </w:num>
  <w:num w:numId="38" w16cid:durableId="1266185175">
    <w:abstractNumId w:val="22"/>
  </w:num>
  <w:num w:numId="39" w16cid:durableId="1307465546">
    <w:abstractNumId w:val="2"/>
  </w:num>
  <w:num w:numId="40" w16cid:durableId="911738156">
    <w:abstractNumId w:val="12"/>
  </w:num>
  <w:num w:numId="41" w16cid:durableId="104734279">
    <w:abstractNumId w:val="25"/>
  </w:num>
  <w:num w:numId="42" w16cid:durableId="1829588624">
    <w:abstractNumId w:val="17"/>
  </w:num>
  <w:num w:numId="43" w16cid:durableId="1796293415">
    <w:abstractNumId w:val="0"/>
  </w:num>
  <w:num w:numId="44" w16cid:durableId="175507024">
    <w:abstractNumId w:val="39"/>
  </w:num>
  <w:num w:numId="45" w16cid:durableId="247274549">
    <w:abstractNumId w:val="27"/>
  </w:num>
  <w:num w:numId="46" w16cid:durableId="214314696">
    <w:abstractNumId w:val="47"/>
  </w:num>
  <w:num w:numId="47" w16cid:durableId="654991475">
    <w:abstractNumId w:val="31"/>
  </w:num>
  <w:num w:numId="48" w16cid:durableId="466556625">
    <w:abstractNumId w:val="5"/>
  </w:num>
  <w:num w:numId="49" w16cid:durableId="183756893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377EA"/>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9755A"/>
    <w:rsid w:val="000A092A"/>
    <w:rsid w:val="000A0E7E"/>
    <w:rsid w:val="000A1305"/>
    <w:rsid w:val="000A228B"/>
    <w:rsid w:val="000A4907"/>
    <w:rsid w:val="000A6B28"/>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4826"/>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3D3D"/>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4A95"/>
    <w:rsid w:val="002255EF"/>
    <w:rsid w:val="002266F3"/>
    <w:rsid w:val="00226DA4"/>
    <w:rsid w:val="002308E9"/>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B16"/>
    <w:rsid w:val="002F7E63"/>
    <w:rsid w:val="003001A4"/>
    <w:rsid w:val="0030038C"/>
    <w:rsid w:val="00306711"/>
    <w:rsid w:val="00310EF5"/>
    <w:rsid w:val="003129E4"/>
    <w:rsid w:val="00313692"/>
    <w:rsid w:val="00313AD6"/>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C90"/>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A7"/>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414F"/>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E6FB6"/>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5361"/>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52EE"/>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016"/>
    <w:rsid w:val="005F3E9D"/>
    <w:rsid w:val="005F3F99"/>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03"/>
    <w:rsid w:val="006D5A96"/>
    <w:rsid w:val="006D7F0C"/>
    <w:rsid w:val="006E0B75"/>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98"/>
    <w:rsid w:val="008137B1"/>
    <w:rsid w:val="0081467A"/>
    <w:rsid w:val="00815FD4"/>
    <w:rsid w:val="00820075"/>
    <w:rsid w:val="00822620"/>
    <w:rsid w:val="00822D21"/>
    <w:rsid w:val="00822E01"/>
    <w:rsid w:val="008236E7"/>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09BA"/>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5A1B"/>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82"/>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50E5"/>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4FC6"/>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7F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45B"/>
    <w:rsid w:val="00AC0555"/>
    <w:rsid w:val="00AC09B5"/>
    <w:rsid w:val="00AC0EEE"/>
    <w:rsid w:val="00AC160E"/>
    <w:rsid w:val="00AC22CE"/>
    <w:rsid w:val="00AC348B"/>
    <w:rsid w:val="00AC5046"/>
    <w:rsid w:val="00AC5381"/>
    <w:rsid w:val="00AC76C9"/>
    <w:rsid w:val="00AC7D29"/>
    <w:rsid w:val="00AD21E5"/>
    <w:rsid w:val="00AD283D"/>
    <w:rsid w:val="00AD2B43"/>
    <w:rsid w:val="00AD4155"/>
    <w:rsid w:val="00AD5F92"/>
    <w:rsid w:val="00AD78C3"/>
    <w:rsid w:val="00AD7CEB"/>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4C"/>
    <w:rsid w:val="00B340EB"/>
    <w:rsid w:val="00B34C63"/>
    <w:rsid w:val="00B352B6"/>
    <w:rsid w:val="00B370BA"/>
    <w:rsid w:val="00B41CE4"/>
    <w:rsid w:val="00B42F4D"/>
    <w:rsid w:val="00B43AE2"/>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2C"/>
    <w:rsid w:val="00BB7263"/>
    <w:rsid w:val="00BB7CCC"/>
    <w:rsid w:val="00BC018F"/>
    <w:rsid w:val="00BC061C"/>
    <w:rsid w:val="00BC0C77"/>
    <w:rsid w:val="00BC66E9"/>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9E2"/>
    <w:rsid w:val="00C8723B"/>
    <w:rsid w:val="00C90B91"/>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D83"/>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9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432"/>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500F"/>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4D9A"/>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377EA"/>
    <w:pPr>
      <w:numPr>
        <w:numId w:val="19"/>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377E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ico.org.uk/for-the-public/getting-copies-of-your-information-subject-access-reques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5149</Words>
  <Characters>27859</Characters>
  <Application>Microsoft Office Word</Application>
  <DocSecurity>0</DocSecurity>
  <Lines>592</Lines>
  <Paragraphs>383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3</cp:revision>
  <cp:lastPrinted>2025-03-13T14:03:00Z</cp:lastPrinted>
  <dcterms:created xsi:type="dcterms:W3CDTF">2025-11-14T12:31:00Z</dcterms:created>
  <dcterms:modified xsi:type="dcterms:W3CDTF">2025-11-14T14:50:00Z</dcterms:modified>
</cp:coreProperties>
</file>