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367CC" w14:textId="0C997DFC" w:rsidR="00490DFF" w:rsidRPr="001300C2" w:rsidRDefault="00291C51" w:rsidP="0004528E">
      <w:pPr>
        <w:rPr>
          <w:rFonts w:eastAsiaTheme="minorEastAsia"/>
          <w:b/>
          <w:sz w:val="32"/>
          <w:lang w:eastAsia="ja-JP"/>
        </w:rPr>
      </w:pPr>
      <w:r w:rsidRPr="001300C2">
        <w:rPr>
          <w:rFonts w:eastAsiaTheme="minorEastAsia"/>
          <w:b/>
          <w:noProof/>
          <w:sz w:val="32"/>
          <w:lang w:eastAsia="ja-JP"/>
        </w:rPr>
        <w:drawing>
          <wp:inline distT="0" distB="0" distL="0" distR="0" wp14:anchorId="2DCF02BB" wp14:editId="73577DF9">
            <wp:extent cx="5707380" cy="183753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450" cy="1843997"/>
                    </a:xfrm>
                    <a:prstGeom prst="rect">
                      <a:avLst/>
                    </a:prstGeom>
                  </pic:spPr>
                </pic:pic>
              </a:graphicData>
            </a:graphic>
          </wp:inline>
        </w:drawing>
      </w:r>
      <w:bookmarkStart w:id="0" w:name="_Peafowl_and_the"/>
      <w:bookmarkStart w:id="1" w:name="_Section_1"/>
      <w:bookmarkStart w:id="2" w:name="_Legislative_framework"/>
      <w:bookmarkStart w:id="3" w:name="_Legal_framework"/>
      <w:bookmarkEnd w:id="0"/>
      <w:bookmarkEnd w:id="1"/>
      <w:bookmarkEnd w:id="2"/>
      <w:bookmarkEnd w:id="3"/>
    </w:p>
    <w:p w14:paraId="3CB17B45" w14:textId="77777777" w:rsidR="0004528E" w:rsidRPr="001300C2" w:rsidRDefault="0004528E" w:rsidP="0004528E">
      <w:pPr>
        <w:rPr>
          <w:rFonts w:eastAsiaTheme="majorEastAsia" w:cs="Arial"/>
          <w:b/>
          <w:bCs/>
          <w:color w:val="000000" w:themeColor="text1"/>
          <w:sz w:val="72"/>
          <w:szCs w:val="72"/>
          <w:u w:val="single"/>
          <w:lang w:eastAsia="ja-JP"/>
        </w:rPr>
      </w:pPr>
    </w:p>
    <w:p w14:paraId="55C48F61" w14:textId="270AF10A" w:rsidR="00A23725" w:rsidRPr="001300C2" w:rsidRDefault="0047375D" w:rsidP="005C4CE7">
      <w:pPr>
        <w:jc w:val="center"/>
        <w:rPr>
          <w:rFonts w:eastAsiaTheme="majorEastAsia" w:cs="Arial"/>
          <w:color w:val="000000" w:themeColor="text1"/>
          <w:sz w:val="72"/>
          <w:szCs w:val="80"/>
          <w:lang w:eastAsia="ja-JP"/>
        </w:rPr>
      </w:pPr>
      <w:r>
        <w:rPr>
          <w:rFonts w:eastAsiaTheme="majorEastAsia" w:cs="Arial"/>
          <w:color w:val="000000" w:themeColor="text1"/>
          <w:sz w:val="72"/>
          <w:szCs w:val="80"/>
          <w:lang w:eastAsia="ja-JP"/>
        </w:rPr>
        <w:t>Staff</w:t>
      </w:r>
      <w:r w:rsidR="00D27DAA" w:rsidRPr="001300C2">
        <w:rPr>
          <w:rFonts w:eastAsiaTheme="majorEastAsia" w:cs="Arial"/>
          <w:color w:val="000000" w:themeColor="text1"/>
          <w:sz w:val="72"/>
          <w:szCs w:val="80"/>
          <w:lang w:eastAsia="ja-JP"/>
        </w:rPr>
        <w:t xml:space="preserve"> </w:t>
      </w:r>
      <w:r w:rsidR="000B177C" w:rsidRPr="001300C2">
        <w:rPr>
          <w:rFonts w:eastAsiaTheme="majorEastAsia" w:cs="Arial"/>
          <w:color w:val="000000" w:themeColor="text1"/>
          <w:sz w:val="72"/>
          <w:szCs w:val="80"/>
          <w:lang w:eastAsia="ja-JP"/>
        </w:rPr>
        <w:t>Equality</w:t>
      </w:r>
      <w:r w:rsidR="00D27DAA" w:rsidRPr="001300C2">
        <w:rPr>
          <w:rFonts w:eastAsiaTheme="majorEastAsia" w:cs="Arial"/>
          <w:color w:val="000000" w:themeColor="text1"/>
          <w:sz w:val="72"/>
          <w:szCs w:val="80"/>
          <w:lang w:eastAsia="ja-JP"/>
        </w:rPr>
        <w:t>, Equity, Diversity and</w:t>
      </w:r>
      <w:r w:rsidR="000B177C" w:rsidRPr="001300C2">
        <w:rPr>
          <w:rFonts w:eastAsiaTheme="majorEastAsia" w:cs="Arial"/>
          <w:color w:val="000000" w:themeColor="text1"/>
          <w:sz w:val="72"/>
          <w:szCs w:val="80"/>
          <w:lang w:eastAsia="ja-JP"/>
        </w:rPr>
        <w:t xml:space="preserve"> </w:t>
      </w:r>
      <w:r w:rsidR="00D27DAA" w:rsidRPr="001300C2">
        <w:rPr>
          <w:rFonts w:eastAsiaTheme="majorEastAsia" w:cs="Arial"/>
          <w:color w:val="000000" w:themeColor="text1"/>
          <w:sz w:val="72"/>
          <w:szCs w:val="80"/>
          <w:lang w:eastAsia="ja-JP"/>
        </w:rPr>
        <w:t>Inclusion</w:t>
      </w:r>
      <w:r w:rsidR="000B177C" w:rsidRPr="001300C2">
        <w:rPr>
          <w:rFonts w:eastAsiaTheme="majorEastAsia" w:cs="Arial"/>
          <w:color w:val="000000" w:themeColor="text1"/>
          <w:sz w:val="72"/>
          <w:szCs w:val="80"/>
          <w:lang w:eastAsia="ja-JP"/>
        </w:rPr>
        <w:t xml:space="preserve"> Policy</w:t>
      </w:r>
    </w:p>
    <w:p w14:paraId="393475FC" w14:textId="707815B6" w:rsidR="00795611" w:rsidRPr="001300C2" w:rsidRDefault="00795611" w:rsidP="005C4CE7">
      <w:pPr>
        <w:jc w:val="center"/>
        <w:rPr>
          <w:rFonts w:eastAsiaTheme="majorEastAsia" w:cs="Arial"/>
          <w:color w:val="000000" w:themeColor="text1"/>
          <w:sz w:val="72"/>
          <w:szCs w:val="80"/>
          <w:lang w:eastAsia="ja-JP"/>
        </w:rPr>
      </w:pPr>
      <w:r w:rsidRPr="001300C2">
        <w:rPr>
          <w:rFonts w:eastAsiaTheme="majorEastAsia" w:cs="Arial"/>
          <w:color w:val="000000" w:themeColor="text1"/>
          <w:sz w:val="72"/>
          <w:szCs w:val="80"/>
          <w:lang w:eastAsia="ja-JP"/>
        </w:rPr>
        <w:t>#</w:t>
      </w:r>
      <w:r w:rsidR="007A51F8" w:rsidRPr="001300C2">
        <w:rPr>
          <w:rFonts w:eastAsiaTheme="majorEastAsia" w:cs="Arial"/>
          <w:color w:val="000000" w:themeColor="text1"/>
          <w:sz w:val="72"/>
          <w:szCs w:val="80"/>
          <w:lang w:eastAsia="ja-JP"/>
        </w:rPr>
        <w:t>GN</w:t>
      </w:r>
      <w:r w:rsidR="0047375D">
        <w:rPr>
          <w:rFonts w:eastAsiaTheme="majorEastAsia" w:cs="Arial"/>
          <w:color w:val="000000" w:themeColor="text1"/>
          <w:sz w:val="72"/>
          <w:szCs w:val="80"/>
          <w:lang w:eastAsia="ja-JP"/>
        </w:rPr>
        <w:t>20</w:t>
      </w:r>
    </w:p>
    <w:p w14:paraId="060E2C4D" w14:textId="68C62D4F" w:rsidR="00824FDF" w:rsidRPr="001300C2" w:rsidRDefault="00824FDF" w:rsidP="005C4CE7">
      <w:pPr>
        <w:rPr>
          <w:lang w:eastAsia="ja-JP"/>
        </w:rPr>
      </w:pPr>
    </w:p>
    <w:p w14:paraId="15C51767" w14:textId="77777777" w:rsidR="00824FDF" w:rsidRPr="001300C2" w:rsidRDefault="00824FDF" w:rsidP="005C4CE7">
      <w:pPr>
        <w:jc w:val="center"/>
        <w:rPr>
          <w:rFonts w:eastAsiaTheme="majorEastAsia" w:cs="Arial"/>
          <w:color w:val="00313C" w:themeColor="accent1" w:themeShade="BF"/>
          <w:sz w:val="80"/>
          <w:szCs w:val="80"/>
          <w:lang w:eastAsia="ja-JP"/>
        </w:rPr>
      </w:pPr>
    </w:p>
    <w:p w14:paraId="3A413A89" w14:textId="1947E5F1" w:rsidR="00A23725" w:rsidRPr="001300C2" w:rsidRDefault="00A23725" w:rsidP="005C4CE7">
      <w:pPr>
        <w:rPr>
          <w:rFonts w:eastAsiaTheme="majorEastAsia" w:cs="Arial"/>
          <w:sz w:val="80"/>
          <w:szCs w:val="80"/>
          <w:lang w:eastAsia="ja-JP"/>
        </w:rPr>
      </w:pPr>
    </w:p>
    <w:p w14:paraId="1667087C" w14:textId="09BD388B" w:rsidR="00CB731B" w:rsidRPr="001300C2" w:rsidRDefault="00CB731B" w:rsidP="005C4CE7">
      <w:pPr>
        <w:rPr>
          <w:rFonts w:cs="Arial"/>
          <w:szCs w:val="24"/>
        </w:rPr>
      </w:pPr>
    </w:p>
    <w:p w14:paraId="2F0F9C2E" w14:textId="782FFD11" w:rsidR="00795611" w:rsidRPr="001300C2" w:rsidRDefault="00795611" w:rsidP="00D27DAA">
      <w:pPr>
        <w:spacing w:before="120" w:after="120"/>
        <w:rPr>
          <w:rFonts w:cs="Arial"/>
          <w:b/>
          <w:sz w:val="32"/>
        </w:rPr>
      </w:pPr>
    </w:p>
    <w:p w14:paraId="37FD5953" w14:textId="359F0D7E" w:rsidR="00A426F7" w:rsidRPr="001300C2" w:rsidRDefault="00A426F7" w:rsidP="005C4CE7">
      <w:pPr>
        <w:pStyle w:val="ListParagraph"/>
        <w:spacing w:before="120" w:after="120"/>
        <w:ind w:left="-142"/>
        <w:rPr>
          <w:rFonts w:ascii="Arial" w:hAnsi="Arial" w:cs="Arial"/>
          <w:b/>
          <w:sz w:val="32"/>
        </w:rPr>
      </w:pPr>
    </w:p>
    <w:p w14:paraId="1826927F" w14:textId="58C2366D" w:rsidR="00A426F7" w:rsidRPr="001300C2" w:rsidRDefault="00A426F7" w:rsidP="005C4CE7">
      <w:pPr>
        <w:pStyle w:val="ListParagraph"/>
        <w:spacing w:before="120" w:after="120"/>
        <w:ind w:left="-142"/>
        <w:rPr>
          <w:rFonts w:ascii="Arial" w:hAnsi="Arial" w:cs="Arial"/>
          <w:b/>
          <w:sz w:val="32"/>
        </w:rPr>
      </w:pPr>
      <w:r w:rsidRPr="001300C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0CA3D510" wp14:editId="7A6D11F7">
                <wp:simplePos x="0" y="0"/>
                <wp:positionH relativeFrom="margin">
                  <wp:posOffset>-228600</wp:posOffset>
                </wp:positionH>
                <wp:positionV relativeFrom="paragraph">
                  <wp:posOffset>-280670</wp:posOffset>
                </wp:positionV>
                <wp:extent cx="2133600" cy="7848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84860"/>
                        </a:xfrm>
                        <a:prstGeom prst="rect">
                          <a:avLst/>
                        </a:prstGeom>
                        <a:solidFill>
                          <a:srgbClr val="FFFFFF"/>
                        </a:solidFill>
                        <a:ln w="9525">
                          <a:noFill/>
                          <a:miter lim="800000"/>
                          <a:headEnd/>
                          <a:tailEnd/>
                        </a:ln>
                      </wps:spPr>
                      <wps:txbx>
                        <w:txbxContent>
                          <w:p w14:paraId="7D1E1D57" w14:textId="5CF58D0A" w:rsidR="00CB731B" w:rsidRPr="001300C2" w:rsidRDefault="00CB731B" w:rsidP="00CB731B">
                            <w:pPr>
                              <w:pBdr>
                                <w:top w:val="single" w:sz="4" w:space="1" w:color="auto"/>
                                <w:left w:val="single" w:sz="4" w:space="4" w:color="auto"/>
                                <w:bottom w:val="single" w:sz="4" w:space="1" w:color="auto"/>
                                <w:right w:val="single" w:sz="4" w:space="4" w:color="auto"/>
                              </w:pBdr>
                              <w:rPr>
                                <w:rFonts w:cs="Arial"/>
                                <w:sz w:val="20"/>
                              </w:rPr>
                            </w:pPr>
                            <w:r w:rsidRPr="001300C2">
                              <w:rPr>
                                <w:rFonts w:cs="Arial"/>
                                <w:sz w:val="20"/>
                              </w:rPr>
                              <w:t xml:space="preserve">Last updated: </w:t>
                            </w:r>
                            <w:r w:rsidR="009D5EE6" w:rsidRPr="001300C2">
                              <w:rPr>
                                <w:rFonts w:cs="Arial"/>
                                <w:sz w:val="20"/>
                              </w:rPr>
                              <w:t>26</w:t>
                            </w:r>
                            <w:r w:rsidRPr="001300C2">
                              <w:rPr>
                                <w:rFonts w:cs="Arial"/>
                                <w:sz w:val="20"/>
                              </w:rPr>
                              <w:t xml:space="preserve"> </w:t>
                            </w:r>
                            <w:r w:rsidR="009D5EE6" w:rsidRPr="001300C2">
                              <w:rPr>
                                <w:rFonts w:cs="Arial"/>
                                <w:sz w:val="20"/>
                              </w:rPr>
                              <w:t>February</w:t>
                            </w:r>
                            <w:r w:rsidRPr="001300C2">
                              <w:rPr>
                                <w:rFonts w:cs="Arial"/>
                                <w:sz w:val="20"/>
                              </w:rPr>
                              <w:t xml:space="preserve"> 202</w:t>
                            </w:r>
                            <w:r w:rsidR="009D5EE6" w:rsidRPr="001300C2">
                              <w:rPr>
                                <w:rFonts w:cs="Arial"/>
                                <w:sz w:val="20"/>
                              </w:rPr>
                              <w:t>5</w:t>
                            </w:r>
                          </w:p>
                          <w:p w14:paraId="075885D9" w14:textId="7B54FB9B" w:rsidR="00CB731B" w:rsidRPr="001300C2" w:rsidRDefault="00CB731B" w:rsidP="00CB731B">
                            <w:pPr>
                              <w:pBdr>
                                <w:top w:val="single" w:sz="4" w:space="1" w:color="auto"/>
                                <w:left w:val="single" w:sz="4" w:space="4" w:color="auto"/>
                                <w:bottom w:val="single" w:sz="4" w:space="1" w:color="auto"/>
                                <w:right w:val="single" w:sz="4" w:space="4" w:color="auto"/>
                              </w:pBdr>
                              <w:rPr>
                                <w:rFonts w:cs="Arial"/>
                                <w:sz w:val="20"/>
                              </w:rPr>
                            </w:pPr>
                            <w:r w:rsidRPr="001300C2">
                              <w:rPr>
                                <w:rFonts w:cs="Arial"/>
                                <w:sz w:val="20"/>
                              </w:rPr>
                              <w:t>Review Date: 31 August 202</w:t>
                            </w:r>
                            <w:r w:rsidR="001A2F9E" w:rsidRPr="001300C2">
                              <w:rPr>
                                <w:rFonts w:cs="Arial"/>
                                <w:sz w:val="2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3D510" id="_x0000_t202" coordsize="21600,21600" o:spt="202" path="m,l,21600r21600,l21600,xe">
                <v:stroke joinstyle="miter"/>
                <v:path gradientshapeok="t" o:connecttype="rect"/>
              </v:shapetype>
              <v:shape id="Text Box 2" o:spid="_x0000_s1026" type="#_x0000_t202" style="position:absolute;left:0;text-align:left;margin-left:-18pt;margin-top:-22.1pt;width:168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14DQIAAPY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" stroked="f">
                <v:textbox>
                  <w:txbxContent>
                    <w:p w14:paraId="7D1E1D57" w14:textId="5CF58D0A" w:rsidR="00CB731B" w:rsidRPr="001300C2" w:rsidRDefault="00CB731B" w:rsidP="00CB731B">
                      <w:pPr>
                        <w:pBdr>
                          <w:top w:val="single" w:sz="4" w:space="1" w:color="auto"/>
                          <w:left w:val="single" w:sz="4" w:space="4" w:color="auto"/>
                          <w:bottom w:val="single" w:sz="4" w:space="1" w:color="auto"/>
                          <w:right w:val="single" w:sz="4" w:space="4" w:color="auto"/>
                        </w:pBdr>
                        <w:rPr>
                          <w:rFonts w:cs="Arial"/>
                          <w:sz w:val="20"/>
                        </w:rPr>
                      </w:pPr>
                      <w:r w:rsidRPr="001300C2">
                        <w:rPr>
                          <w:rFonts w:cs="Arial"/>
                          <w:sz w:val="20"/>
                        </w:rPr>
                        <w:t xml:space="preserve">Last updated: </w:t>
                      </w:r>
                      <w:r w:rsidR="009D5EE6" w:rsidRPr="001300C2">
                        <w:rPr>
                          <w:rFonts w:cs="Arial"/>
                          <w:sz w:val="20"/>
                        </w:rPr>
                        <w:t>26</w:t>
                      </w:r>
                      <w:r w:rsidRPr="001300C2">
                        <w:rPr>
                          <w:rFonts w:cs="Arial"/>
                          <w:sz w:val="20"/>
                        </w:rPr>
                        <w:t xml:space="preserve"> </w:t>
                      </w:r>
                      <w:r w:rsidR="009D5EE6" w:rsidRPr="001300C2">
                        <w:rPr>
                          <w:rFonts w:cs="Arial"/>
                          <w:sz w:val="20"/>
                        </w:rPr>
                        <w:t>February</w:t>
                      </w:r>
                      <w:r w:rsidRPr="001300C2">
                        <w:rPr>
                          <w:rFonts w:cs="Arial"/>
                          <w:sz w:val="20"/>
                        </w:rPr>
                        <w:t xml:space="preserve"> 202</w:t>
                      </w:r>
                      <w:r w:rsidR="009D5EE6" w:rsidRPr="001300C2">
                        <w:rPr>
                          <w:rFonts w:cs="Arial"/>
                          <w:sz w:val="20"/>
                        </w:rPr>
                        <w:t>5</w:t>
                      </w:r>
                    </w:p>
                    <w:p w14:paraId="075885D9" w14:textId="7B54FB9B" w:rsidR="00CB731B" w:rsidRPr="001300C2" w:rsidRDefault="00CB731B" w:rsidP="00CB731B">
                      <w:pPr>
                        <w:pBdr>
                          <w:top w:val="single" w:sz="4" w:space="1" w:color="auto"/>
                          <w:left w:val="single" w:sz="4" w:space="4" w:color="auto"/>
                          <w:bottom w:val="single" w:sz="4" w:space="1" w:color="auto"/>
                          <w:right w:val="single" w:sz="4" w:space="4" w:color="auto"/>
                        </w:pBdr>
                        <w:rPr>
                          <w:rFonts w:cs="Arial"/>
                          <w:sz w:val="20"/>
                        </w:rPr>
                      </w:pPr>
                      <w:r w:rsidRPr="001300C2">
                        <w:rPr>
                          <w:rFonts w:cs="Arial"/>
                          <w:sz w:val="20"/>
                        </w:rPr>
                        <w:t>Review Date: 31 August 202</w:t>
                      </w:r>
                      <w:r w:rsidR="001A2F9E" w:rsidRPr="001300C2">
                        <w:rPr>
                          <w:rFonts w:cs="Arial"/>
                          <w:sz w:val="20"/>
                        </w:rPr>
                        <w:t>8</w:t>
                      </w:r>
                    </w:p>
                  </w:txbxContent>
                </v:textbox>
                <w10:wrap type="square" anchorx="margin"/>
              </v:shape>
            </w:pict>
          </mc:Fallback>
        </mc:AlternateContent>
      </w:r>
    </w:p>
    <w:p w14:paraId="0B65B3DB" w14:textId="77777777" w:rsidR="00A426F7" w:rsidRPr="001300C2" w:rsidRDefault="00A426F7" w:rsidP="005C4CE7">
      <w:pPr>
        <w:pStyle w:val="ListParagraph"/>
        <w:spacing w:before="120" w:after="120"/>
        <w:ind w:left="-142"/>
        <w:rPr>
          <w:rFonts w:ascii="Arial" w:hAnsi="Arial" w:cs="Arial"/>
          <w:b/>
          <w:sz w:val="32"/>
        </w:rPr>
      </w:pPr>
    </w:p>
    <w:p w14:paraId="2E4193A5" w14:textId="77777777" w:rsidR="004672D3" w:rsidRPr="001300C2" w:rsidRDefault="004672D3" w:rsidP="004672D3">
      <w:pPr>
        <w:pStyle w:val="TNCBodyText"/>
        <w:rPr>
          <w:b/>
          <w:bCs/>
          <w:color w:val="00313C" w:themeColor="accent1" w:themeShade="BF"/>
          <w:sz w:val="32"/>
          <w:szCs w:val="40"/>
        </w:rPr>
      </w:pPr>
      <w:r w:rsidRPr="001300C2">
        <w:rPr>
          <w:b/>
          <w:bCs/>
          <w:color w:val="00313C" w:themeColor="accent1" w:themeShade="BF"/>
          <w:sz w:val="32"/>
          <w:szCs w:val="40"/>
        </w:rPr>
        <w:lastRenderedPageBreak/>
        <w:t>Contents:</w:t>
      </w:r>
    </w:p>
    <w:p w14:paraId="24C9FBE8" w14:textId="43625FF7" w:rsidR="004672D3" w:rsidRPr="001300C2" w:rsidRDefault="004672D3" w:rsidP="004672D3">
      <w:pPr>
        <w:pStyle w:val="TNCBodyText"/>
      </w:pPr>
      <w:r w:rsidRPr="001300C2">
        <w:t>Statement of intent</w:t>
      </w:r>
    </w:p>
    <w:p w14:paraId="73D1BA63" w14:textId="4A59CAA3" w:rsidR="004672D3" w:rsidRDefault="004672D3" w:rsidP="00D8458F">
      <w:pPr>
        <w:pStyle w:val="TNCBodyText"/>
        <w:numPr>
          <w:ilvl w:val="0"/>
          <w:numId w:val="9"/>
        </w:numPr>
        <w:spacing w:before="0" w:after="0"/>
        <w:ind w:left="714" w:hanging="357"/>
      </w:pPr>
      <w:r w:rsidRPr="001300C2">
        <w:t xml:space="preserve">Legal framework </w:t>
      </w:r>
    </w:p>
    <w:p w14:paraId="2412C464" w14:textId="615464B5" w:rsidR="0047375D" w:rsidRPr="001300C2" w:rsidRDefault="0047375D" w:rsidP="00D8458F">
      <w:pPr>
        <w:pStyle w:val="TNCBodyText"/>
        <w:numPr>
          <w:ilvl w:val="0"/>
          <w:numId w:val="9"/>
        </w:numPr>
        <w:spacing w:before="0" w:after="0"/>
        <w:ind w:left="714" w:hanging="357"/>
      </w:pPr>
      <w:r>
        <w:t>Principles underlying this policy</w:t>
      </w:r>
    </w:p>
    <w:p w14:paraId="4FE85044" w14:textId="5FF938F0" w:rsidR="004672D3" w:rsidRPr="001300C2" w:rsidRDefault="004672D3" w:rsidP="00D8458F">
      <w:pPr>
        <w:pStyle w:val="TNCBodyText"/>
        <w:numPr>
          <w:ilvl w:val="0"/>
          <w:numId w:val="9"/>
        </w:numPr>
        <w:spacing w:before="0" w:after="0"/>
        <w:ind w:left="714" w:hanging="357"/>
      </w:pPr>
      <w:r w:rsidRPr="001300C2">
        <w:t xml:space="preserve">Roles and responsibilities  </w:t>
      </w:r>
    </w:p>
    <w:p w14:paraId="1E5C148D" w14:textId="1DC9452C" w:rsidR="004672D3" w:rsidRPr="001300C2" w:rsidRDefault="0047375D" w:rsidP="00D8458F">
      <w:pPr>
        <w:pStyle w:val="TNCBodyText"/>
        <w:numPr>
          <w:ilvl w:val="0"/>
          <w:numId w:val="9"/>
        </w:numPr>
        <w:spacing w:before="0" w:after="0"/>
        <w:ind w:left="714" w:hanging="357"/>
      </w:pPr>
      <w:r>
        <w:t>Forms of discrimination</w:t>
      </w:r>
    </w:p>
    <w:p w14:paraId="4D8D2283" w14:textId="19E2B4D9" w:rsidR="004672D3" w:rsidRPr="001300C2" w:rsidRDefault="0047375D" w:rsidP="00D8458F">
      <w:pPr>
        <w:pStyle w:val="TNCBodyText"/>
        <w:numPr>
          <w:ilvl w:val="0"/>
          <w:numId w:val="9"/>
        </w:numPr>
        <w:spacing w:before="0" w:after="0"/>
        <w:ind w:left="714" w:hanging="357"/>
      </w:pPr>
      <w:r>
        <w:t>Recruitment and selection</w:t>
      </w:r>
    </w:p>
    <w:p w14:paraId="3A71EBC2" w14:textId="69068784" w:rsidR="004672D3" w:rsidRPr="001300C2" w:rsidRDefault="0047375D" w:rsidP="00D8458F">
      <w:pPr>
        <w:pStyle w:val="TNCBodyText"/>
        <w:numPr>
          <w:ilvl w:val="0"/>
          <w:numId w:val="9"/>
        </w:numPr>
        <w:spacing w:before="0" w:after="0"/>
        <w:ind w:left="714" w:hanging="357"/>
      </w:pPr>
      <w:r>
        <w:t>Staff training and promotion and conditions of service</w:t>
      </w:r>
    </w:p>
    <w:p w14:paraId="3F6E4818" w14:textId="6CBB1914" w:rsidR="004672D3" w:rsidRPr="001300C2" w:rsidRDefault="0047375D" w:rsidP="00D8458F">
      <w:pPr>
        <w:pStyle w:val="TNCBodyText"/>
        <w:numPr>
          <w:ilvl w:val="0"/>
          <w:numId w:val="9"/>
        </w:numPr>
        <w:spacing w:before="0" w:after="0"/>
        <w:ind w:left="714" w:hanging="357"/>
      </w:pPr>
      <w:r>
        <w:t>Termination of employment</w:t>
      </w:r>
    </w:p>
    <w:p w14:paraId="04D099AA" w14:textId="7046AF43" w:rsidR="004672D3" w:rsidRPr="001300C2" w:rsidRDefault="0047375D" w:rsidP="00D8458F">
      <w:pPr>
        <w:pStyle w:val="TNCBodyText"/>
        <w:numPr>
          <w:ilvl w:val="0"/>
          <w:numId w:val="9"/>
        </w:numPr>
        <w:spacing w:before="0" w:after="0"/>
        <w:ind w:left="714" w:hanging="357"/>
      </w:pPr>
      <w:r>
        <w:t>Disability discrimination</w:t>
      </w:r>
    </w:p>
    <w:p w14:paraId="51A3B32C" w14:textId="65A7485E" w:rsidR="004672D3" w:rsidRPr="001300C2" w:rsidRDefault="0047375D" w:rsidP="00D8458F">
      <w:pPr>
        <w:pStyle w:val="TNCBodyText"/>
        <w:numPr>
          <w:ilvl w:val="0"/>
          <w:numId w:val="9"/>
        </w:numPr>
        <w:spacing w:before="0" w:after="0"/>
        <w:ind w:left="714" w:hanging="357"/>
      </w:pPr>
      <w:r>
        <w:t>Part-time, zero hours and fixed-term employees and agency workers</w:t>
      </w:r>
    </w:p>
    <w:p w14:paraId="101D8377" w14:textId="2F883C86" w:rsidR="004672D3" w:rsidRPr="001300C2" w:rsidRDefault="0047375D" w:rsidP="00D8458F">
      <w:pPr>
        <w:pStyle w:val="TNCBodyText"/>
        <w:numPr>
          <w:ilvl w:val="0"/>
          <w:numId w:val="9"/>
        </w:numPr>
        <w:spacing w:before="0" w:after="0"/>
        <w:ind w:left="714" w:hanging="357"/>
      </w:pPr>
      <w:r>
        <w:t>Breaches of this policy</w:t>
      </w:r>
    </w:p>
    <w:p w14:paraId="411CDE95" w14:textId="047E229F" w:rsidR="004672D3" w:rsidRDefault="004672D3" w:rsidP="00D8458F">
      <w:pPr>
        <w:pStyle w:val="TNCBodyText"/>
        <w:numPr>
          <w:ilvl w:val="0"/>
          <w:numId w:val="9"/>
        </w:numPr>
        <w:spacing w:before="0" w:after="0"/>
        <w:ind w:left="714" w:hanging="357"/>
      </w:pPr>
      <w:r w:rsidRPr="001300C2">
        <w:t>Monitoring and review</w:t>
      </w:r>
    </w:p>
    <w:p w14:paraId="03BF9137" w14:textId="77777777" w:rsidR="0047375D" w:rsidRDefault="0047375D" w:rsidP="0047375D">
      <w:pPr>
        <w:pStyle w:val="TNCBodyText"/>
        <w:spacing w:before="0" w:after="0"/>
      </w:pPr>
    </w:p>
    <w:p w14:paraId="58A5653E" w14:textId="354D1933" w:rsidR="00A426F7" w:rsidRPr="001300C2" w:rsidRDefault="00A426F7" w:rsidP="009D5EE6">
      <w:pPr>
        <w:rPr>
          <w:rFonts w:cs="Arial"/>
        </w:rPr>
      </w:pPr>
    </w:p>
    <w:p w14:paraId="1B62E2A3" w14:textId="77777777" w:rsidR="00A23725" w:rsidRPr="001300C2" w:rsidRDefault="00A23725" w:rsidP="005C4CE7">
      <w:pPr>
        <w:spacing w:before="200"/>
        <w:rPr>
          <w:rFonts w:cs="Arial"/>
          <w:sz w:val="32"/>
          <w:szCs w:val="32"/>
        </w:rPr>
      </w:pPr>
      <w:r w:rsidRPr="001300C2">
        <w:rPr>
          <w:rFonts w:cs="Arial"/>
          <w:sz w:val="32"/>
          <w:szCs w:val="32"/>
        </w:rPr>
        <w:br w:type="page"/>
      </w:r>
      <w:bookmarkStart w:id="4" w:name="_Statement_of_Intent"/>
      <w:bookmarkEnd w:id="4"/>
    </w:p>
    <w:p w14:paraId="7F6C53BF" w14:textId="77777777" w:rsidR="000B177C" w:rsidRPr="001300C2" w:rsidRDefault="000B177C" w:rsidP="005C4CE7">
      <w:pPr>
        <w:pStyle w:val="Heading2"/>
        <w:numPr>
          <w:ilvl w:val="0"/>
          <w:numId w:val="0"/>
        </w:numPr>
        <w:spacing w:after="200"/>
        <w:ind w:left="578" w:hanging="578"/>
        <w:jc w:val="both"/>
        <w:rPr>
          <w:rFonts w:asciiTheme="minorHAnsi" w:hAnsiTheme="minorHAnsi" w:cstheme="minorHAnsi"/>
          <w:b/>
          <w:sz w:val="28"/>
          <w:szCs w:val="22"/>
        </w:rPr>
      </w:pPr>
      <w:bookmarkStart w:id="5" w:name="_Statement_of_intent_1"/>
      <w:bookmarkStart w:id="6" w:name="statment"/>
      <w:bookmarkStart w:id="7" w:name="statement"/>
      <w:bookmarkEnd w:id="5"/>
      <w:r w:rsidRPr="001300C2">
        <w:rPr>
          <w:rFonts w:asciiTheme="minorHAnsi" w:hAnsiTheme="minorHAnsi" w:cstheme="minorHAnsi"/>
          <w:b/>
          <w:sz w:val="28"/>
          <w:szCs w:val="22"/>
        </w:rPr>
        <w:lastRenderedPageBreak/>
        <w:t xml:space="preserve">Statement of intent </w:t>
      </w:r>
    </w:p>
    <w:p w14:paraId="12D9D2B2" w14:textId="77777777" w:rsidR="0047375D" w:rsidRPr="00C22644" w:rsidRDefault="00906E3E" w:rsidP="0047375D">
      <w:pPr>
        <w:jc w:val="both"/>
        <w:rPr>
          <w:b/>
          <w:bCs/>
        </w:rPr>
      </w:pPr>
      <w:bookmarkStart w:id="8" w:name="_Hlk522263516"/>
      <w:bookmarkEnd w:id="6"/>
      <w:bookmarkEnd w:id="7"/>
      <w:r w:rsidRPr="001300C2">
        <w:t>Three Counties Academy Trust</w:t>
      </w:r>
      <w:r w:rsidR="00CC5B49" w:rsidRPr="001300C2">
        <w:t xml:space="preserve"> (TCAT)</w:t>
      </w:r>
      <w:r w:rsidR="00E92611" w:rsidRPr="001300C2">
        <w:t xml:space="preserve"> </w:t>
      </w:r>
      <w:bookmarkEnd w:id="8"/>
      <w:r w:rsidR="0047375D" w:rsidRPr="00C22644">
        <w:t>is committed to promoting equality of opportunity for all staff and job applicants. We aim to create a working environment in which all individuals are able to make best use of their skills, free from discrimination or harassment, and in which all decisions are based on merit. We are committed to supporting our staff and applicants to be their authentic selves in the workplace without judgement and ensuring that diverse communities are celebrated.</w:t>
      </w:r>
    </w:p>
    <w:p w14:paraId="4974B468" w14:textId="2705B2EB" w:rsidR="0047375D" w:rsidRPr="00C22644" w:rsidRDefault="0047375D" w:rsidP="0047375D">
      <w:pPr>
        <w:jc w:val="both"/>
      </w:pPr>
      <w:r w:rsidRPr="00C22644">
        <w:t xml:space="preserve">We do not discriminate against staff on the basis of age, disability, gender identity and/or reassignment, marital or civil partner status, pregnancy or maternity, race, colour, nationality, ethnic or national origin, religion or belief, sex, or sexual orientation (the protected characteristics), amended in line with the Equality Act 2010. </w:t>
      </w:r>
    </w:p>
    <w:p w14:paraId="1D39C709" w14:textId="5D019072" w:rsidR="0047375D" w:rsidRPr="00C22644" w:rsidRDefault="0047375D" w:rsidP="0047375D">
      <w:pPr>
        <w:jc w:val="both"/>
        <w:rPr>
          <w:b/>
          <w:bCs/>
        </w:rPr>
      </w:pPr>
      <w:r w:rsidRPr="00C22644">
        <w:t>We are also mindful of intersecting identities within our environment and will work with our communities to better understand the experience of multiple minority identities for individuals.</w:t>
      </w:r>
    </w:p>
    <w:p w14:paraId="4C956229" w14:textId="48A0DF4F" w:rsidR="0047375D" w:rsidRPr="00C22644" w:rsidRDefault="0047375D" w:rsidP="0047375D">
      <w:pPr>
        <w:jc w:val="both"/>
      </w:pPr>
      <w:r w:rsidRPr="00C22644">
        <w:t xml:space="preserve">All staff have a duty to act in accordance with this policy and treat colleagues with dignity at all times, and not to discriminate against or harass other members of staff, regardless of their status. The principles of non-discrimination and equality of opportunity also apply to the way in which staff treat pupils, parents, </w:t>
      </w:r>
      <w:r w:rsidR="006261E1">
        <w:t xml:space="preserve">trustees, </w:t>
      </w:r>
      <w:r w:rsidRPr="00C22644">
        <w:t>governors, third party organisations and former staff members.</w:t>
      </w:r>
    </w:p>
    <w:p w14:paraId="19E39A16" w14:textId="77777777" w:rsidR="0047375D" w:rsidRPr="00C22644" w:rsidRDefault="0047375D" w:rsidP="0047375D">
      <w:pPr>
        <w:jc w:val="both"/>
      </w:pPr>
      <w:r w:rsidRPr="00C22644">
        <w:t>This policy does not form part of any employee's contract of employment and may be amended at any time.</w:t>
      </w:r>
    </w:p>
    <w:p w14:paraId="4B9AF3A4" w14:textId="17B8F495" w:rsidR="0047375D" w:rsidRPr="00C22644" w:rsidRDefault="0047375D" w:rsidP="0047375D">
      <w:pPr>
        <w:jc w:val="both"/>
      </w:pPr>
      <w:r w:rsidRPr="00C22644">
        <w:t xml:space="preserve">This policy covers all individuals working at all levels and grades, including members of the </w:t>
      </w:r>
      <w:r>
        <w:t xml:space="preserve">Executive and Central teams, </w:t>
      </w:r>
      <w:r w:rsidRPr="00C22644">
        <w:t>SLT, teachers, TAs, learning mentors, support staff, trainees, home workers, part-time and fixed-term employees, volunteers, interns, casual workers, and agency staff (collectively referred to as ‘staff’ in this policy).</w:t>
      </w:r>
    </w:p>
    <w:p w14:paraId="6745CB56" w14:textId="1281B685" w:rsidR="004672D3" w:rsidRPr="001300C2" w:rsidRDefault="004672D3" w:rsidP="0047375D">
      <w:pPr>
        <w:pStyle w:val="TNCBodyText"/>
      </w:pPr>
      <w:r w:rsidRPr="001300C2">
        <w:t>Specifically, we aim to:</w:t>
      </w:r>
    </w:p>
    <w:p w14:paraId="087EEF3D" w14:textId="77777777" w:rsidR="004672D3" w:rsidRPr="001300C2" w:rsidRDefault="004672D3" w:rsidP="00D8458F">
      <w:pPr>
        <w:pStyle w:val="ListParagraph"/>
        <w:numPr>
          <w:ilvl w:val="0"/>
          <w:numId w:val="7"/>
        </w:numPr>
        <w:jc w:val="both"/>
      </w:pPr>
      <w:r w:rsidRPr="001300C2">
        <w:t>Promote Inclusive Education and Reduce Attainment Gaps</w:t>
      </w:r>
    </w:p>
    <w:p w14:paraId="08ACAFF6" w14:textId="3E5F3890" w:rsidR="004672D3" w:rsidRPr="001300C2" w:rsidRDefault="004672D3" w:rsidP="00D8458F">
      <w:pPr>
        <w:pStyle w:val="ListParagraph"/>
        <w:numPr>
          <w:ilvl w:val="0"/>
          <w:numId w:val="8"/>
        </w:numPr>
        <w:jc w:val="both"/>
      </w:pPr>
      <w:r w:rsidRPr="001300C2">
        <w:t>Ensure that all pupils, regardless of gender, ethnicity, socio-economic background, disability, or special educational needs (SEN), achieve their full potential</w:t>
      </w:r>
    </w:p>
    <w:p w14:paraId="63E72334" w14:textId="77777777" w:rsidR="004672D3" w:rsidRPr="001300C2" w:rsidRDefault="004672D3" w:rsidP="00D8458F">
      <w:pPr>
        <w:pStyle w:val="ListParagraph"/>
        <w:numPr>
          <w:ilvl w:val="0"/>
          <w:numId w:val="8"/>
        </w:numPr>
        <w:jc w:val="both"/>
      </w:pPr>
      <w:r w:rsidRPr="001300C2">
        <w:t>Identify and address attainment gaps by implementing targeted interventions, particularly for disadvantaged pupils (e.g., Pupil Premium students)</w:t>
      </w:r>
    </w:p>
    <w:p w14:paraId="353E783E" w14:textId="77777777" w:rsidR="004672D3" w:rsidRPr="001300C2" w:rsidRDefault="004672D3" w:rsidP="00D8458F">
      <w:pPr>
        <w:pStyle w:val="ListParagraph"/>
        <w:numPr>
          <w:ilvl w:val="0"/>
          <w:numId w:val="8"/>
        </w:numPr>
        <w:jc w:val="both"/>
      </w:pPr>
      <w:r w:rsidRPr="001300C2">
        <w:t>Monitor progress and adapt teaching strategies to ensure equitable access to learning resources across all schools within TCAT</w:t>
      </w:r>
    </w:p>
    <w:p w14:paraId="3897A55C" w14:textId="77777777" w:rsidR="004672D3" w:rsidRPr="001300C2" w:rsidRDefault="004672D3" w:rsidP="004672D3">
      <w:pPr>
        <w:ind w:left="360"/>
        <w:jc w:val="both"/>
      </w:pPr>
      <w:r w:rsidRPr="001300C2">
        <w:t>2. Foster a Culture of Respect, Diversity, and Inclusion</w:t>
      </w:r>
    </w:p>
    <w:p w14:paraId="2CAF9529" w14:textId="77777777" w:rsidR="004672D3" w:rsidRPr="001300C2" w:rsidRDefault="004672D3" w:rsidP="00D8458F">
      <w:pPr>
        <w:pStyle w:val="ListParagraph"/>
        <w:numPr>
          <w:ilvl w:val="0"/>
          <w:numId w:val="8"/>
        </w:numPr>
        <w:jc w:val="both"/>
      </w:pPr>
      <w:r w:rsidRPr="001300C2">
        <w:t>Embed diversity and inclusion across the curriculum, ensuring that teaching materials and school activities reflect a wide range of cultural backgrounds, experiences, and perspectives</w:t>
      </w:r>
    </w:p>
    <w:p w14:paraId="66FA1E75" w14:textId="77777777" w:rsidR="004672D3" w:rsidRPr="001300C2" w:rsidRDefault="004672D3" w:rsidP="00D8458F">
      <w:pPr>
        <w:pStyle w:val="ListParagraph"/>
        <w:numPr>
          <w:ilvl w:val="0"/>
          <w:numId w:val="8"/>
        </w:numPr>
        <w:jc w:val="both"/>
      </w:pPr>
      <w:r w:rsidRPr="001300C2">
        <w:t>Deliver anti-discrimination training for staff and pupils to tackle racism, sexism, homophobia, ableism, and other forms of prejudice</w:t>
      </w:r>
    </w:p>
    <w:p w14:paraId="246F632B" w14:textId="77777777" w:rsidR="004672D3" w:rsidRPr="001300C2" w:rsidRDefault="004672D3" w:rsidP="00D8458F">
      <w:pPr>
        <w:pStyle w:val="ListParagraph"/>
        <w:numPr>
          <w:ilvl w:val="0"/>
          <w:numId w:val="8"/>
        </w:numPr>
        <w:jc w:val="both"/>
      </w:pPr>
      <w:r w:rsidRPr="001300C2">
        <w:lastRenderedPageBreak/>
        <w:t>Implement an effective anti-bullying strategy that specifically addresses issues related to protected characteristics</w:t>
      </w:r>
    </w:p>
    <w:p w14:paraId="603C3B57" w14:textId="77777777" w:rsidR="004672D3" w:rsidRPr="001300C2" w:rsidRDefault="004672D3" w:rsidP="004672D3">
      <w:pPr>
        <w:ind w:left="360"/>
        <w:jc w:val="both"/>
      </w:pPr>
      <w:r w:rsidRPr="001300C2">
        <w:t>3. Improve Representation in Leadership and Staffing</w:t>
      </w:r>
    </w:p>
    <w:p w14:paraId="01BD66D4" w14:textId="77777777" w:rsidR="004672D3" w:rsidRPr="001300C2" w:rsidRDefault="004672D3" w:rsidP="00D8458F">
      <w:pPr>
        <w:pStyle w:val="ListParagraph"/>
        <w:numPr>
          <w:ilvl w:val="0"/>
          <w:numId w:val="8"/>
        </w:numPr>
        <w:jc w:val="both"/>
      </w:pPr>
      <w:r w:rsidRPr="001300C2">
        <w:t>Ensure recruitment and promotion processes promote diversity and reflect the communities that TCAT serves</w:t>
      </w:r>
    </w:p>
    <w:p w14:paraId="5A1E8DE8" w14:textId="77777777" w:rsidR="004672D3" w:rsidRPr="001300C2" w:rsidRDefault="004672D3" w:rsidP="00D8458F">
      <w:pPr>
        <w:pStyle w:val="ListParagraph"/>
        <w:numPr>
          <w:ilvl w:val="0"/>
          <w:numId w:val="8"/>
        </w:numPr>
        <w:jc w:val="both"/>
      </w:pPr>
      <w:r w:rsidRPr="001300C2">
        <w:t>Provide career development and leadership opportunities for underrepresented groups within the teaching staff, leadership teams, and governance structures</w:t>
      </w:r>
    </w:p>
    <w:p w14:paraId="298AA8C9" w14:textId="6E7410EE" w:rsidR="004672D3" w:rsidRPr="001300C2" w:rsidRDefault="004672D3" w:rsidP="004672D3">
      <w:pPr>
        <w:pStyle w:val="ListParagraph"/>
        <w:numPr>
          <w:ilvl w:val="0"/>
          <w:numId w:val="8"/>
        </w:numPr>
        <w:jc w:val="both"/>
      </w:pPr>
      <w:r w:rsidRPr="001300C2">
        <w:t>Establish mentoring and professional development programmes to support staff from diverse backgrounds to progress into leadership roles</w:t>
      </w:r>
    </w:p>
    <w:p w14:paraId="7DA7C86E" w14:textId="6609D49C" w:rsidR="004672D3" w:rsidRPr="001300C2" w:rsidRDefault="004672D3" w:rsidP="004672D3">
      <w:pPr>
        <w:ind w:left="360"/>
        <w:jc w:val="both"/>
      </w:pPr>
      <w:r w:rsidRPr="001300C2">
        <w:t>4. Enhance Support for Pupils with SEN and Disabilities</w:t>
      </w:r>
    </w:p>
    <w:p w14:paraId="28C11388" w14:textId="222E5EE2" w:rsidR="004672D3" w:rsidRPr="001300C2" w:rsidRDefault="004672D3" w:rsidP="00D8458F">
      <w:pPr>
        <w:pStyle w:val="ListParagraph"/>
        <w:numPr>
          <w:ilvl w:val="0"/>
          <w:numId w:val="8"/>
        </w:numPr>
        <w:jc w:val="both"/>
      </w:pPr>
      <w:r w:rsidRPr="001300C2">
        <w:t>Ensure equitable access to the curriculum and extra-curricular activities for pupils with SEN or disabilities</w:t>
      </w:r>
    </w:p>
    <w:p w14:paraId="12170DB8" w14:textId="77777777" w:rsidR="004672D3" w:rsidRPr="001300C2" w:rsidRDefault="004672D3" w:rsidP="00D8458F">
      <w:pPr>
        <w:pStyle w:val="ListParagraph"/>
        <w:numPr>
          <w:ilvl w:val="0"/>
          <w:numId w:val="8"/>
        </w:numPr>
        <w:jc w:val="both"/>
      </w:pPr>
      <w:r w:rsidRPr="001300C2">
        <w:t>Provide training for staff to effectively support pupils with additional needs and promote inclusive teaching strategies</w:t>
      </w:r>
    </w:p>
    <w:p w14:paraId="1975FFFF" w14:textId="77777777" w:rsidR="004672D3" w:rsidRPr="001300C2" w:rsidRDefault="004672D3" w:rsidP="00D8458F">
      <w:pPr>
        <w:pStyle w:val="ListParagraph"/>
        <w:numPr>
          <w:ilvl w:val="0"/>
          <w:numId w:val="8"/>
        </w:numPr>
        <w:jc w:val="both"/>
      </w:pPr>
      <w:r w:rsidRPr="001300C2">
        <w:t>Improve accessibility across all school sites, ensuring that physical and digital learning environments cater to all pupils' needs</w:t>
      </w:r>
    </w:p>
    <w:p w14:paraId="5EEA9D4C" w14:textId="77777777" w:rsidR="004672D3" w:rsidRPr="001300C2" w:rsidRDefault="004672D3" w:rsidP="004672D3">
      <w:pPr>
        <w:ind w:left="360"/>
        <w:jc w:val="both"/>
      </w:pPr>
      <w:r w:rsidRPr="001300C2">
        <w:t>5. Strengthen Community Engagement and Partnerships</w:t>
      </w:r>
    </w:p>
    <w:p w14:paraId="69A14745" w14:textId="77777777" w:rsidR="004672D3" w:rsidRPr="001300C2" w:rsidRDefault="004672D3" w:rsidP="00D8458F">
      <w:pPr>
        <w:pStyle w:val="ListParagraph"/>
        <w:numPr>
          <w:ilvl w:val="0"/>
          <w:numId w:val="8"/>
        </w:numPr>
        <w:jc w:val="both"/>
      </w:pPr>
      <w:r w:rsidRPr="001300C2">
        <w:t>Develop stronger links with parents, carers, and community groups, particularly those from underrepresented or marginalised backgrounds</w:t>
      </w:r>
    </w:p>
    <w:p w14:paraId="6B381A06" w14:textId="77777777" w:rsidR="004672D3" w:rsidRPr="001300C2" w:rsidRDefault="004672D3" w:rsidP="00D8458F">
      <w:pPr>
        <w:pStyle w:val="ListParagraph"/>
        <w:numPr>
          <w:ilvl w:val="0"/>
          <w:numId w:val="8"/>
        </w:numPr>
        <w:jc w:val="both"/>
      </w:pPr>
      <w:r w:rsidRPr="001300C2">
        <w:t>Provide opportunities for parents and carers to engage in their child’s education, with particular attention to hard-to-reach families</w:t>
      </w:r>
    </w:p>
    <w:p w14:paraId="624B50F6" w14:textId="77777777" w:rsidR="004672D3" w:rsidRPr="001300C2" w:rsidRDefault="004672D3" w:rsidP="00D8458F">
      <w:pPr>
        <w:pStyle w:val="ListParagraph"/>
        <w:numPr>
          <w:ilvl w:val="0"/>
          <w:numId w:val="8"/>
        </w:numPr>
        <w:jc w:val="both"/>
      </w:pPr>
      <w:r w:rsidRPr="001300C2">
        <w:t>Work with external organisations to promote diversity, equity, and inclusion in school activities, governance, and decision-making</w:t>
      </w:r>
    </w:p>
    <w:p w14:paraId="7E6DE613" w14:textId="77777777" w:rsidR="004672D3" w:rsidRPr="001300C2" w:rsidRDefault="004672D3" w:rsidP="004672D3">
      <w:pPr>
        <w:ind w:left="360"/>
        <w:jc w:val="both"/>
      </w:pPr>
      <w:r w:rsidRPr="001300C2">
        <w:t>6. Promote Gender Equality and Challenge Stereotypes</w:t>
      </w:r>
    </w:p>
    <w:p w14:paraId="592058A4" w14:textId="77777777" w:rsidR="004672D3" w:rsidRPr="001300C2" w:rsidRDefault="004672D3" w:rsidP="00D8458F">
      <w:pPr>
        <w:pStyle w:val="ListParagraph"/>
        <w:numPr>
          <w:ilvl w:val="0"/>
          <w:numId w:val="8"/>
        </w:numPr>
        <w:jc w:val="both"/>
      </w:pPr>
      <w:r w:rsidRPr="001300C2">
        <w:t>Ensure equal access to all subjects, activities, and leadership opportunities for both boys and girls</w:t>
      </w:r>
    </w:p>
    <w:p w14:paraId="48F58197" w14:textId="77777777" w:rsidR="004672D3" w:rsidRPr="001300C2" w:rsidRDefault="004672D3" w:rsidP="00D8458F">
      <w:pPr>
        <w:pStyle w:val="ListParagraph"/>
        <w:numPr>
          <w:ilvl w:val="0"/>
          <w:numId w:val="8"/>
        </w:numPr>
        <w:jc w:val="both"/>
      </w:pPr>
      <w:r w:rsidRPr="001300C2">
        <w:t>Challenge gender stereotypes in subject choices, particularly in STEM (Science, Technology, Engineering, and Maths) and creative arts</w:t>
      </w:r>
    </w:p>
    <w:p w14:paraId="0D795AEB" w14:textId="77777777" w:rsidR="004672D3" w:rsidRPr="001300C2" w:rsidRDefault="004672D3" w:rsidP="00D8458F">
      <w:pPr>
        <w:pStyle w:val="ListParagraph"/>
        <w:numPr>
          <w:ilvl w:val="0"/>
          <w:numId w:val="8"/>
        </w:numPr>
        <w:jc w:val="both"/>
      </w:pPr>
      <w:r w:rsidRPr="001300C2">
        <w:t>Implement policies and practices to ensure that all pupils feel safe, valued, and respected, regardless of their gender identity or expression</w:t>
      </w:r>
    </w:p>
    <w:p w14:paraId="03A1B3C7" w14:textId="77777777" w:rsidR="004672D3" w:rsidRPr="001300C2" w:rsidRDefault="004672D3" w:rsidP="004672D3">
      <w:pPr>
        <w:ind w:left="360"/>
        <w:jc w:val="both"/>
      </w:pPr>
      <w:r w:rsidRPr="001300C2">
        <w:t>7. Regularly Monitor, Review, and Report on Progress</w:t>
      </w:r>
    </w:p>
    <w:p w14:paraId="6D7A9AED" w14:textId="77777777" w:rsidR="004672D3" w:rsidRPr="001300C2" w:rsidRDefault="004672D3" w:rsidP="00D8458F">
      <w:pPr>
        <w:pStyle w:val="ListParagraph"/>
        <w:numPr>
          <w:ilvl w:val="0"/>
          <w:numId w:val="8"/>
        </w:numPr>
        <w:jc w:val="both"/>
      </w:pPr>
      <w:r w:rsidRPr="001300C2">
        <w:t>Collect and analyse equality data across all schools in the MAT to track progress against objectives</w:t>
      </w:r>
    </w:p>
    <w:p w14:paraId="13967ACC" w14:textId="77777777" w:rsidR="004672D3" w:rsidRPr="001300C2" w:rsidRDefault="004672D3" w:rsidP="00D8458F">
      <w:pPr>
        <w:pStyle w:val="ListParagraph"/>
        <w:numPr>
          <w:ilvl w:val="0"/>
          <w:numId w:val="8"/>
        </w:numPr>
        <w:jc w:val="both"/>
      </w:pPr>
      <w:r w:rsidRPr="001300C2">
        <w:t>Ensure pupil voice and stakeholder feedback shape ongoing equality strategies</w:t>
      </w:r>
    </w:p>
    <w:p w14:paraId="582B0F00" w14:textId="6602EE9E" w:rsidR="004672D3" w:rsidRPr="001300C2" w:rsidRDefault="004672D3" w:rsidP="00D8458F">
      <w:pPr>
        <w:pStyle w:val="ListParagraph"/>
        <w:numPr>
          <w:ilvl w:val="0"/>
          <w:numId w:val="8"/>
        </w:numPr>
        <w:jc w:val="both"/>
      </w:pPr>
      <w:r w:rsidRPr="001300C2">
        <w:t>Publish an annual report on equality progress, identifying key achievements and areas for improvement</w:t>
      </w:r>
    </w:p>
    <w:p w14:paraId="4BF9CE7E" w14:textId="77777777" w:rsidR="00A23725" w:rsidRPr="001300C2" w:rsidRDefault="00A23725" w:rsidP="005C4CE7">
      <w:pPr>
        <w:jc w:val="both"/>
        <w:sectPr w:rsidR="00A23725" w:rsidRPr="001300C2" w:rsidSect="00490DFF">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CBE638D" w14:textId="0352530F" w:rsidR="000B177C" w:rsidRPr="001300C2" w:rsidRDefault="000B177C" w:rsidP="005C4CE7">
      <w:pPr>
        <w:pStyle w:val="Heading10"/>
        <w:spacing w:before="0"/>
      </w:pPr>
      <w:bookmarkStart w:id="9" w:name="_Legal_framework_1"/>
      <w:bookmarkStart w:id="10" w:name="_Roles_and_responsibilities"/>
      <w:bookmarkStart w:id="11" w:name="_Monitoring_and_review"/>
      <w:bookmarkStart w:id="12" w:name="_[Updated]_Legal_framework"/>
      <w:bookmarkEnd w:id="9"/>
      <w:bookmarkEnd w:id="10"/>
      <w:bookmarkEnd w:id="11"/>
      <w:bookmarkEnd w:id="12"/>
      <w:r w:rsidRPr="001300C2">
        <w:lastRenderedPageBreak/>
        <w:t>Legal framework</w:t>
      </w:r>
    </w:p>
    <w:p w14:paraId="3C1985B4" w14:textId="77777777" w:rsidR="004672D3" w:rsidRPr="001300C2" w:rsidRDefault="004672D3" w:rsidP="004672D3">
      <w:pPr>
        <w:pStyle w:val="TNCBodyText"/>
      </w:pPr>
      <w:r w:rsidRPr="001300C2">
        <w:t xml:space="preserve">This policy has due regard to all relevant legislation including, but not limited to, the following: </w:t>
      </w:r>
    </w:p>
    <w:p w14:paraId="3A2B1B77" w14:textId="77777777" w:rsidR="004672D3" w:rsidRPr="001300C2" w:rsidRDefault="004672D3" w:rsidP="00D8458F">
      <w:pPr>
        <w:pStyle w:val="TNCBodyText"/>
        <w:numPr>
          <w:ilvl w:val="0"/>
          <w:numId w:val="12"/>
        </w:numPr>
      </w:pPr>
      <w:r w:rsidRPr="001300C2">
        <w:t>Human Rights Act 1998</w:t>
      </w:r>
    </w:p>
    <w:p w14:paraId="22C96C3D" w14:textId="77777777" w:rsidR="004672D3" w:rsidRPr="001300C2" w:rsidRDefault="004672D3" w:rsidP="00D8458F">
      <w:pPr>
        <w:pStyle w:val="TNCBodyText"/>
        <w:numPr>
          <w:ilvl w:val="0"/>
          <w:numId w:val="12"/>
        </w:numPr>
      </w:pPr>
      <w:r w:rsidRPr="001300C2">
        <w:t>The Equality Act 2010</w:t>
      </w:r>
    </w:p>
    <w:p w14:paraId="244A28FE" w14:textId="77777777" w:rsidR="004672D3" w:rsidRPr="001300C2" w:rsidRDefault="004672D3" w:rsidP="00D8458F">
      <w:pPr>
        <w:pStyle w:val="TNCBodyText"/>
        <w:numPr>
          <w:ilvl w:val="0"/>
          <w:numId w:val="12"/>
        </w:numPr>
      </w:pPr>
      <w:r w:rsidRPr="001300C2">
        <w:t>UK General Data Protection Regulation (UK GDPR)</w:t>
      </w:r>
    </w:p>
    <w:p w14:paraId="4C136107" w14:textId="77777777" w:rsidR="004672D3" w:rsidRDefault="004672D3" w:rsidP="00D8458F">
      <w:pPr>
        <w:pStyle w:val="TNCBodyText"/>
        <w:numPr>
          <w:ilvl w:val="0"/>
          <w:numId w:val="12"/>
        </w:numPr>
      </w:pPr>
      <w:r w:rsidRPr="001300C2">
        <w:t>Data Protection Act 2018</w:t>
      </w:r>
    </w:p>
    <w:p w14:paraId="0CCA2B7A" w14:textId="4D53E184" w:rsidR="0047375D" w:rsidRPr="001300C2" w:rsidRDefault="0047375D" w:rsidP="00D8458F">
      <w:pPr>
        <w:pStyle w:val="TNCBodyText"/>
        <w:numPr>
          <w:ilvl w:val="0"/>
          <w:numId w:val="12"/>
        </w:numPr>
      </w:pPr>
      <w:r>
        <w:t>Protection from Harassment Act 1997</w:t>
      </w:r>
    </w:p>
    <w:p w14:paraId="5F8FE435" w14:textId="56D56228" w:rsidR="004672D3" w:rsidRPr="001300C2" w:rsidRDefault="004672D3" w:rsidP="004672D3">
      <w:pPr>
        <w:pStyle w:val="TNCBodyText"/>
        <w:rPr>
          <w:b/>
          <w:u w:val="single"/>
        </w:rPr>
      </w:pPr>
      <w:r w:rsidRPr="001300C2">
        <w:t xml:space="preserve">This policy operates in conjunction with the following </w:t>
      </w:r>
      <w:r w:rsidR="0047375D">
        <w:t xml:space="preserve">TCAT and </w:t>
      </w:r>
      <w:r w:rsidRPr="001300C2">
        <w:t>school policies:</w:t>
      </w:r>
    </w:p>
    <w:p w14:paraId="0A8F3300" w14:textId="2891B1ED" w:rsidR="005C15D1" w:rsidRDefault="005C15D1" w:rsidP="00D8458F">
      <w:pPr>
        <w:pStyle w:val="TNCBodyText"/>
        <w:numPr>
          <w:ilvl w:val="0"/>
          <w:numId w:val="14"/>
        </w:numPr>
        <w:rPr>
          <w:bCs/>
        </w:rPr>
      </w:pPr>
      <w:r>
        <w:rPr>
          <w:bCs/>
        </w:rPr>
        <w:t>Grievance Policy and Procedures (HR4)</w:t>
      </w:r>
    </w:p>
    <w:p w14:paraId="2270AD0F" w14:textId="30685547" w:rsidR="005C15D1" w:rsidRDefault="005C15D1" w:rsidP="00D8458F">
      <w:pPr>
        <w:pStyle w:val="TNCBodyText"/>
        <w:numPr>
          <w:ilvl w:val="0"/>
          <w:numId w:val="14"/>
        </w:numPr>
        <w:rPr>
          <w:bCs/>
        </w:rPr>
      </w:pPr>
      <w:r>
        <w:rPr>
          <w:bCs/>
        </w:rPr>
        <w:t>Disciplinary Policy and Procedures (HR3)</w:t>
      </w:r>
    </w:p>
    <w:p w14:paraId="2E32A6F6" w14:textId="1B795D72" w:rsidR="004672D3" w:rsidRPr="001300C2" w:rsidRDefault="005C15D1" w:rsidP="00D8458F">
      <w:pPr>
        <w:pStyle w:val="TNCBodyText"/>
        <w:numPr>
          <w:ilvl w:val="0"/>
          <w:numId w:val="14"/>
        </w:numPr>
        <w:rPr>
          <w:bCs/>
        </w:rPr>
      </w:pPr>
      <w:r>
        <w:rPr>
          <w:bCs/>
        </w:rPr>
        <w:t>Flexible Working</w:t>
      </w:r>
      <w:r w:rsidR="004672D3" w:rsidRPr="001300C2">
        <w:rPr>
          <w:bCs/>
        </w:rPr>
        <w:t xml:space="preserve"> Policy </w:t>
      </w:r>
      <w:r w:rsidR="0072548D" w:rsidRPr="001300C2">
        <w:rPr>
          <w:bCs/>
        </w:rPr>
        <w:t>(</w:t>
      </w:r>
      <w:r>
        <w:rPr>
          <w:bCs/>
        </w:rPr>
        <w:t>HR14</w:t>
      </w:r>
      <w:r w:rsidR="0072548D" w:rsidRPr="001300C2">
        <w:rPr>
          <w:bCs/>
        </w:rPr>
        <w:t>)</w:t>
      </w:r>
    </w:p>
    <w:p w14:paraId="683BFFCF" w14:textId="532D031A" w:rsidR="004672D3" w:rsidRPr="001300C2" w:rsidRDefault="005C15D1" w:rsidP="00D8458F">
      <w:pPr>
        <w:pStyle w:val="TNCBodyText"/>
        <w:numPr>
          <w:ilvl w:val="0"/>
          <w:numId w:val="14"/>
        </w:numPr>
        <w:rPr>
          <w:bCs/>
        </w:rPr>
      </w:pPr>
      <w:r>
        <w:rPr>
          <w:bCs/>
        </w:rPr>
        <w:t>Appraisal</w:t>
      </w:r>
      <w:r w:rsidR="004672D3" w:rsidRPr="001300C2">
        <w:rPr>
          <w:bCs/>
        </w:rPr>
        <w:t xml:space="preserve"> Policy</w:t>
      </w:r>
      <w:r>
        <w:rPr>
          <w:bCs/>
        </w:rPr>
        <w:t xml:space="preserve"> and Procedures</w:t>
      </w:r>
      <w:r w:rsidR="0072548D" w:rsidRPr="001300C2">
        <w:rPr>
          <w:bCs/>
        </w:rPr>
        <w:t xml:space="preserve"> (</w:t>
      </w:r>
      <w:r>
        <w:rPr>
          <w:bCs/>
        </w:rPr>
        <w:t>HR9</w:t>
      </w:r>
      <w:r w:rsidR="0072548D" w:rsidRPr="001300C2">
        <w:rPr>
          <w:bCs/>
        </w:rPr>
        <w:t>)</w:t>
      </w:r>
    </w:p>
    <w:p w14:paraId="60D19D3C" w14:textId="522A24F4" w:rsidR="004672D3" w:rsidRDefault="005C15D1" w:rsidP="00D8458F">
      <w:pPr>
        <w:pStyle w:val="TNCBodyText"/>
        <w:numPr>
          <w:ilvl w:val="0"/>
          <w:numId w:val="14"/>
        </w:numPr>
        <w:rPr>
          <w:bCs/>
        </w:rPr>
      </w:pPr>
      <w:r>
        <w:rPr>
          <w:bCs/>
        </w:rPr>
        <w:t xml:space="preserve">Support Staff Managing Performance Policy and Procedure </w:t>
      </w:r>
      <w:r w:rsidR="0072548D" w:rsidRPr="001300C2">
        <w:rPr>
          <w:bCs/>
        </w:rPr>
        <w:t>(</w:t>
      </w:r>
      <w:r>
        <w:rPr>
          <w:bCs/>
        </w:rPr>
        <w:t>HR2</w:t>
      </w:r>
      <w:r w:rsidR="0072548D" w:rsidRPr="001300C2">
        <w:rPr>
          <w:bCs/>
        </w:rPr>
        <w:t>)</w:t>
      </w:r>
    </w:p>
    <w:p w14:paraId="3E4B03D6" w14:textId="77777777" w:rsidR="006949AE" w:rsidRPr="004942B9" w:rsidRDefault="006949AE" w:rsidP="006949AE">
      <w:pPr>
        <w:pStyle w:val="TNCBodyText"/>
        <w:rPr>
          <w:b/>
          <w:bCs/>
        </w:rPr>
      </w:pPr>
      <w:r w:rsidRPr="004942B9">
        <w:rPr>
          <w:b/>
          <w:bCs/>
        </w:rPr>
        <w:t>Public Sector Equality Duty (PSED)</w:t>
      </w:r>
    </w:p>
    <w:p w14:paraId="5EDEF864" w14:textId="77777777" w:rsidR="006949AE" w:rsidRPr="004942B9" w:rsidRDefault="006949AE" w:rsidP="006949AE">
      <w:pPr>
        <w:pStyle w:val="TNCBodyText"/>
      </w:pPr>
      <w:r w:rsidRPr="004942B9">
        <w:t>PSED requires public bodies to have due regard to the need to:</w:t>
      </w:r>
    </w:p>
    <w:p w14:paraId="2AEBF164" w14:textId="2133E862" w:rsidR="006949AE" w:rsidRPr="004942B9" w:rsidRDefault="006949AE" w:rsidP="006949AE">
      <w:pPr>
        <w:pStyle w:val="TNCBodyText"/>
        <w:numPr>
          <w:ilvl w:val="0"/>
          <w:numId w:val="26"/>
        </w:numPr>
      </w:pPr>
      <w:r w:rsidRPr="004942B9">
        <w:t>Eliminate unlawful discrimination, harassment and victimisation and other conduct prohibited by the Equality Act</w:t>
      </w:r>
    </w:p>
    <w:p w14:paraId="389853BC" w14:textId="5F66C5AD" w:rsidR="006949AE" w:rsidRPr="004942B9" w:rsidRDefault="006949AE" w:rsidP="006949AE">
      <w:pPr>
        <w:pStyle w:val="TNCBodyText"/>
        <w:numPr>
          <w:ilvl w:val="0"/>
          <w:numId w:val="26"/>
        </w:numPr>
      </w:pPr>
      <w:r w:rsidRPr="004942B9">
        <w:t>Advance equality of opportunity between people who share a protected characteristic and people who do not share it</w:t>
      </w:r>
    </w:p>
    <w:p w14:paraId="4571EAD7" w14:textId="46A90DCE" w:rsidR="006949AE" w:rsidRPr="006949AE" w:rsidRDefault="006949AE" w:rsidP="006949AE">
      <w:pPr>
        <w:pStyle w:val="TNCBodyText"/>
        <w:numPr>
          <w:ilvl w:val="0"/>
          <w:numId w:val="26"/>
        </w:numPr>
      </w:pPr>
      <w:r w:rsidRPr="004942B9">
        <w:t>Foster good relations between people who share a protected characteristic and people who do not</w:t>
      </w:r>
    </w:p>
    <w:p w14:paraId="2E807624" w14:textId="09C30025" w:rsidR="005C15D1" w:rsidRDefault="005C15D1" w:rsidP="005C4CE7">
      <w:pPr>
        <w:pStyle w:val="Heading10"/>
        <w:spacing w:before="0"/>
      </w:pPr>
      <w:bookmarkStart w:id="13" w:name="_Principles_and_aims"/>
      <w:bookmarkStart w:id="14" w:name="_[Updated]_Roles_and"/>
      <w:bookmarkEnd w:id="13"/>
      <w:bookmarkEnd w:id="14"/>
      <w:r>
        <w:t>Principles underlying this policy</w:t>
      </w:r>
    </w:p>
    <w:p w14:paraId="257328B4" w14:textId="2D7E0436" w:rsidR="006949AE" w:rsidRDefault="006949AE" w:rsidP="006949AE">
      <w:pPr>
        <w:pStyle w:val="TNCBodyText"/>
      </w:pPr>
      <w:r>
        <w:t>In accordance with this policy, TCAT commits to:</w:t>
      </w:r>
    </w:p>
    <w:p w14:paraId="4DED583B" w14:textId="5674495B" w:rsidR="006949AE" w:rsidRPr="002C5480" w:rsidRDefault="006949AE" w:rsidP="006949AE">
      <w:pPr>
        <w:pStyle w:val="TNCBodyText"/>
        <w:numPr>
          <w:ilvl w:val="0"/>
          <w:numId w:val="27"/>
        </w:numPr>
      </w:pPr>
      <w:r w:rsidRPr="002C5480">
        <w:t>Creating a working environment free of bullying, harassment, victimisation and unlawful discrimination, where individual differences and the contributions of all staff are recognised and valued</w:t>
      </w:r>
    </w:p>
    <w:p w14:paraId="255EBD48" w14:textId="184579BE" w:rsidR="006949AE" w:rsidRPr="002C5480" w:rsidRDefault="006949AE" w:rsidP="006949AE">
      <w:pPr>
        <w:pStyle w:val="TNCBodyText"/>
        <w:numPr>
          <w:ilvl w:val="0"/>
          <w:numId w:val="27"/>
        </w:numPr>
      </w:pPr>
      <w:r w:rsidRPr="002C5480">
        <w:t>Promoting dignity and respect for all</w:t>
      </w:r>
    </w:p>
    <w:p w14:paraId="3E903192" w14:textId="35B1BAD8" w:rsidR="006949AE" w:rsidRPr="002C5480" w:rsidRDefault="006949AE" w:rsidP="006949AE">
      <w:pPr>
        <w:pStyle w:val="TNCBodyText"/>
        <w:numPr>
          <w:ilvl w:val="0"/>
          <w:numId w:val="27"/>
        </w:numPr>
      </w:pPr>
      <w:r w:rsidRPr="002C5480">
        <w:t>Training managers and all other employees about their rights and responsibilities under this policy</w:t>
      </w:r>
    </w:p>
    <w:p w14:paraId="3CCA93A4" w14:textId="4DB79777" w:rsidR="006949AE" w:rsidRDefault="006949AE" w:rsidP="006949AE">
      <w:pPr>
        <w:pStyle w:val="TNCBodyText"/>
      </w:pPr>
      <w:r>
        <w:lastRenderedPageBreak/>
        <w:t>This policy applies to all aspects of TCAT</w:t>
      </w:r>
      <w:r>
        <w:rPr>
          <w:rFonts w:hint="cs"/>
        </w:rPr>
        <w:t>’</w:t>
      </w:r>
      <w:r>
        <w:t>s relationship with our staff and to relations between staff members at all levels. This includes job advertisements, recruitment and selection, training and development, opportunities for promotion, conditions of service, pay and benefits, conduct at work, disciplinary and grievance procedures, and termination of employment.</w:t>
      </w:r>
    </w:p>
    <w:p w14:paraId="428EE01B" w14:textId="0342C6C4" w:rsidR="006949AE" w:rsidRDefault="006949AE" w:rsidP="006949AE">
      <w:pPr>
        <w:pStyle w:val="TNCBodyText"/>
      </w:pPr>
      <w:r>
        <w:t>Instances of bullying, harassment, victimisation and unlawful discrimination will be dealt with as misconduct, in line with TCAT</w:t>
      </w:r>
      <w:r>
        <w:rPr>
          <w:rFonts w:hint="cs"/>
        </w:rPr>
        <w:t>’</w:t>
      </w:r>
      <w:r>
        <w:t>s Grievance Policy and Procedures and/or Disciplinary Policy and Procedures, and appropriate action will be taken. Particularly serious complaints could amount to gross misconduct and lead to dismissal without notice.</w:t>
      </w:r>
    </w:p>
    <w:p w14:paraId="0A3E7234" w14:textId="33D010B7" w:rsidR="005C15D1" w:rsidRPr="005C15D1" w:rsidRDefault="006949AE" w:rsidP="006949AE">
      <w:pPr>
        <w:pStyle w:val="TNCBodyText"/>
      </w:pPr>
      <w:r>
        <w:t xml:space="preserve">Sexual harassment may amount to both an employment rights matter and a criminal matter, such as in sexual assault allegations. Harassment under the Protection from Harassment Act 1997 </w:t>
      </w:r>
      <w:r>
        <w:rPr>
          <w:rFonts w:hint="cs"/>
        </w:rPr>
        <w:t>–</w:t>
      </w:r>
      <w:r>
        <w:t xml:space="preserve"> which is not limited to circumstances where harassment relates to a protected characteristic </w:t>
      </w:r>
      <w:r>
        <w:rPr>
          <w:rFonts w:hint="cs"/>
        </w:rPr>
        <w:t>–</w:t>
      </w:r>
      <w:r>
        <w:t xml:space="preserve"> is a criminal offence.</w:t>
      </w:r>
    </w:p>
    <w:p w14:paraId="6A0D40C2" w14:textId="40B658FB" w:rsidR="000B177C" w:rsidRPr="001300C2" w:rsidRDefault="000B177C" w:rsidP="005C4CE7">
      <w:pPr>
        <w:pStyle w:val="Heading10"/>
        <w:spacing w:before="0"/>
      </w:pPr>
      <w:r w:rsidRPr="001300C2">
        <w:t>Roles and responsibilities</w:t>
      </w:r>
    </w:p>
    <w:p w14:paraId="197A44B5" w14:textId="560F7F6E" w:rsidR="000B177C" w:rsidRPr="001300C2" w:rsidRDefault="000B177C" w:rsidP="005C4CE7">
      <w:pPr>
        <w:jc w:val="both"/>
      </w:pPr>
      <w:r w:rsidRPr="001300C2">
        <w:t xml:space="preserve">The </w:t>
      </w:r>
      <w:r w:rsidR="009D5EE6" w:rsidRPr="001300C2">
        <w:t>Trust</w:t>
      </w:r>
      <w:r w:rsidR="00911DDE" w:rsidRPr="001300C2">
        <w:t xml:space="preserve"> Board</w:t>
      </w:r>
      <w:r w:rsidRPr="001300C2">
        <w:t xml:space="preserve"> will:</w:t>
      </w:r>
    </w:p>
    <w:p w14:paraId="54256919" w14:textId="72EAA3FE" w:rsidR="006949AE" w:rsidRPr="00817685" w:rsidRDefault="006949AE" w:rsidP="006949AE">
      <w:pPr>
        <w:pStyle w:val="TNCBodyText"/>
        <w:numPr>
          <w:ilvl w:val="0"/>
          <w:numId w:val="29"/>
        </w:numPr>
      </w:pPr>
      <w:bookmarkStart w:id="15" w:name="_Equality_objectives"/>
      <w:bookmarkStart w:id="16" w:name="Subsection4"/>
      <w:bookmarkEnd w:id="15"/>
      <w:r w:rsidRPr="00817685">
        <w:t>Ensuring the effective operation of this policy</w:t>
      </w:r>
    </w:p>
    <w:p w14:paraId="3A3DCD48" w14:textId="2229EA3E" w:rsidR="006949AE" w:rsidRPr="00817685" w:rsidRDefault="006949AE" w:rsidP="006949AE">
      <w:pPr>
        <w:pStyle w:val="TNCBodyText"/>
        <w:numPr>
          <w:ilvl w:val="0"/>
          <w:numId w:val="29"/>
        </w:numPr>
      </w:pPr>
      <w:r w:rsidRPr="00817685">
        <w:t>Ensuring compliance with discrimination law</w:t>
      </w:r>
    </w:p>
    <w:p w14:paraId="6FF91DE4" w14:textId="3D0C11E8" w:rsidR="006949AE" w:rsidRPr="00817685" w:rsidRDefault="006949AE" w:rsidP="006949AE">
      <w:pPr>
        <w:pStyle w:val="TNCBodyText"/>
        <w:numPr>
          <w:ilvl w:val="0"/>
          <w:numId w:val="29"/>
        </w:numPr>
      </w:pPr>
      <w:r w:rsidRPr="00817685">
        <w:t>Monitoring the composition of the workforce regarding information such as age, sex, ethnic background, sexual orientation, religion or belief, and disability</w:t>
      </w:r>
    </w:p>
    <w:p w14:paraId="42FCB2C2" w14:textId="1317D2C4" w:rsidR="006949AE" w:rsidRPr="00817685" w:rsidRDefault="006949AE" w:rsidP="006949AE">
      <w:pPr>
        <w:pStyle w:val="TNCBodyText"/>
        <w:numPr>
          <w:ilvl w:val="0"/>
          <w:numId w:val="29"/>
        </w:numPr>
      </w:pPr>
      <w:r w:rsidRPr="00817685">
        <w:t>Monitoring how the composition of the workforce encourages equality, equity, diversity and inclusion, and meets the aims and commitments set out in this policy</w:t>
      </w:r>
    </w:p>
    <w:p w14:paraId="73628AEC" w14:textId="13FD68BF" w:rsidR="006949AE" w:rsidRPr="00817685" w:rsidRDefault="006949AE" w:rsidP="006949AE">
      <w:pPr>
        <w:pStyle w:val="TNCBodyText"/>
        <w:numPr>
          <w:ilvl w:val="0"/>
          <w:numId w:val="29"/>
        </w:numPr>
      </w:pPr>
      <w:r w:rsidRPr="00817685">
        <w:t>Assessing how this policy, and any supporting action plans, are working in practice, reviewing them annually, and considering and taking action to address any issues</w:t>
      </w:r>
    </w:p>
    <w:p w14:paraId="267886C2" w14:textId="0D22C64F" w:rsidR="006949AE" w:rsidRPr="00817685" w:rsidRDefault="006949AE" w:rsidP="006949AE">
      <w:pPr>
        <w:pStyle w:val="TNCBodyText"/>
      </w:pPr>
      <w:r w:rsidRPr="00817685">
        <w:t xml:space="preserve">The </w:t>
      </w:r>
      <w:r>
        <w:t>Executive Headteacher/CEO and where delegated, Headteachers/Heads of School</w:t>
      </w:r>
      <w:r w:rsidRPr="00817685">
        <w:t xml:space="preserve"> will be responsible for:</w:t>
      </w:r>
    </w:p>
    <w:p w14:paraId="78D6803D" w14:textId="7E6F6DB0" w:rsidR="006949AE" w:rsidRPr="00817685" w:rsidRDefault="006949AE" w:rsidP="006949AE">
      <w:pPr>
        <w:pStyle w:val="TNCBodyText"/>
        <w:numPr>
          <w:ilvl w:val="0"/>
          <w:numId w:val="31"/>
        </w:numPr>
      </w:pPr>
      <w:r w:rsidRPr="00817685">
        <w:t>Setting an appropriate standard of behaviour and leading by example</w:t>
      </w:r>
    </w:p>
    <w:p w14:paraId="5802941A" w14:textId="175FDC3D" w:rsidR="006949AE" w:rsidRPr="00817685" w:rsidRDefault="006949AE" w:rsidP="006949AE">
      <w:pPr>
        <w:pStyle w:val="TNCBodyText"/>
        <w:numPr>
          <w:ilvl w:val="0"/>
          <w:numId w:val="31"/>
        </w:numPr>
      </w:pPr>
      <w:r w:rsidRPr="00817685">
        <w:t xml:space="preserve">Ensuring that those they manage adhere to this policy and promote </w:t>
      </w:r>
      <w:r>
        <w:t xml:space="preserve">both TCAT and </w:t>
      </w:r>
      <w:r w:rsidRPr="00817685">
        <w:t>the</w:t>
      </w:r>
      <w:r>
        <w:t>ir own</w:t>
      </w:r>
      <w:r w:rsidRPr="00817685">
        <w:t xml:space="preserve"> school’s aims and objectives with regard to equal opportunities</w:t>
      </w:r>
    </w:p>
    <w:p w14:paraId="75F891AB" w14:textId="2C2F2346" w:rsidR="006949AE" w:rsidRPr="00817685" w:rsidRDefault="006949AE" w:rsidP="006949AE">
      <w:pPr>
        <w:pStyle w:val="TNCBodyText"/>
        <w:numPr>
          <w:ilvl w:val="0"/>
          <w:numId w:val="31"/>
        </w:numPr>
      </w:pPr>
      <w:r w:rsidRPr="00817685">
        <w:t xml:space="preserve">Taking appropriate steps to accommodate the requirements of different religions, cultures, and domestic responsibilities, in line with </w:t>
      </w:r>
      <w:r>
        <w:t>TCAT</w:t>
      </w:r>
      <w:r w:rsidRPr="00817685">
        <w:t>’s Flexible Working Policy</w:t>
      </w:r>
    </w:p>
    <w:p w14:paraId="5BF9405C" w14:textId="276902E2" w:rsidR="006949AE" w:rsidRPr="00817685" w:rsidRDefault="006949AE" w:rsidP="006949AE">
      <w:pPr>
        <w:pStyle w:val="TNCBodyText"/>
        <w:numPr>
          <w:ilvl w:val="0"/>
          <w:numId w:val="31"/>
        </w:numPr>
      </w:pPr>
      <w:r w:rsidRPr="00817685">
        <w:t>Making opportunities for training, development and progress available to all staff</w:t>
      </w:r>
    </w:p>
    <w:p w14:paraId="0426F15A" w14:textId="0A1E8DAF" w:rsidR="006949AE" w:rsidRPr="00817685" w:rsidRDefault="006949AE" w:rsidP="006949AE">
      <w:pPr>
        <w:pStyle w:val="TNCBodyText"/>
        <w:numPr>
          <w:ilvl w:val="0"/>
          <w:numId w:val="31"/>
        </w:numPr>
      </w:pPr>
      <w:r w:rsidRPr="00817685">
        <w:t>Ensuring staff are helped and encouraged to develop their full potential, so their talents and resources can be fully utilised to maximise the efficiency of the organisation</w:t>
      </w:r>
    </w:p>
    <w:p w14:paraId="6505BAB2" w14:textId="512E22E7" w:rsidR="006949AE" w:rsidRPr="00817685" w:rsidRDefault="006949AE" w:rsidP="006949AE">
      <w:pPr>
        <w:pStyle w:val="TNCBodyText"/>
        <w:numPr>
          <w:ilvl w:val="0"/>
          <w:numId w:val="31"/>
        </w:numPr>
      </w:pPr>
      <w:r w:rsidRPr="00817685">
        <w:t>Making staff progression decisions based on merit (apart from in any necessary and limited exemptions and exceptions allowed under the Equality Act 2010)</w:t>
      </w:r>
    </w:p>
    <w:p w14:paraId="27D836ED" w14:textId="71FDD7D3" w:rsidR="006949AE" w:rsidRPr="00817685" w:rsidRDefault="006949AE" w:rsidP="006949AE">
      <w:pPr>
        <w:pStyle w:val="TNCBodyText"/>
        <w:numPr>
          <w:ilvl w:val="0"/>
          <w:numId w:val="31"/>
        </w:numPr>
      </w:pPr>
      <w:r w:rsidRPr="00817685">
        <w:t>Reviewing employment practices and procedures where necessary to ensure fairness</w:t>
      </w:r>
    </w:p>
    <w:p w14:paraId="2CBFEA08" w14:textId="324DA6AD" w:rsidR="006949AE" w:rsidRPr="00817685" w:rsidRDefault="006949AE" w:rsidP="006949AE">
      <w:pPr>
        <w:pStyle w:val="TNCBodyText"/>
        <w:numPr>
          <w:ilvl w:val="0"/>
          <w:numId w:val="31"/>
        </w:numPr>
      </w:pPr>
      <w:r w:rsidRPr="00817685">
        <w:lastRenderedPageBreak/>
        <w:t>Updating employment practices and procedures, and this policy, to take account of changes in the law</w:t>
      </w:r>
    </w:p>
    <w:p w14:paraId="5981F6C4" w14:textId="27273AD5" w:rsidR="006949AE" w:rsidRPr="00817685" w:rsidRDefault="006949AE" w:rsidP="006949AE">
      <w:pPr>
        <w:pStyle w:val="TNCBodyText"/>
      </w:pPr>
      <w:r w:rsidRPr="00817685">
        <w:t xml:space="preserve">The </w:t>
      </w:r>
      <w:r>
        <w:t>Chief Finance Officer in collaboration with the Executive Headteacher/CEO</w:t>
      </w:r>
      <w:r w:rsidRPr="00817685">
        <w:t xml:space="preserve"> will be responsible for:</w:t>
      </w:r>
    </w:p>
    <w:p w14:paraId="69E4B071" w14:textId="19249AA6" w:rsidR="006949AE" w:rsidRPr="00817685" w:rsidRDefault="006949AE" w:rsidP="006949AE">
      <w:pPr>
        <w:pStyle w:val="TNCBodyText"/>
        <w:numPr>
          <w:ilvl w:val="0"/>
          <w:numId w:val="30"/>
        </w:numPr>
      </w:pPr>
      <w:r w:rsidRPr="00817685">
        <w:t>The day-to-day operational responsibility of this policy</w:t>
      </w:r>
    </w:p>
    <w:p w14:paraId="0551C6D5" w14:textId="2C4D9298" w:rsidR="006949AE" w:rsidRPr="00817685" w:rsidRDefault="006949AE" w:rsidP="006949AE">
      <w:pPr>
        <w:pStyle w:val="TNCBodyText"/>
        <w:numPr>
          <w:ilvl w:val="0"/>
          <w:numId w:val="30"/>
        </w:numPr>
      </w:pPr>
      <w:r w:rsidRPr="00817685">
        <w:t>Reviewing this policy regularly</w:t>
      </w:r>
    </w:p>
    <w:p w14:paraId="2D457C72" w14:textId="2708D772" w:rsidR="006949AE" w:rsidRPr="00817685" w:rsidRDefault="006949AE" w:rsidP="006949AE">
      <w:pPr>
        <w:pStyle w:val="TNCBodyText"/>
        <w:numPr>
          <w:ilvl w:val="0"/>
          <w:numId w:val="30"/>
        </w:numPr>
      </w:pPr>
      <w:r w:rsidRPr="00817685">
        <w:t>Organising equal opportunities training, including for those involved in management and recruitment</w:t>
      </w:r>
    </w:p>
    <w:p w14:paraId="5DC3FB8D" w14:textId="193DF0A1" w:rsidR="006949AE" w:rsidRPr="00817685" w:rsidRDefault="006949AE" w:rsidP="006949AE">
      <w:pPr>
        <w:pStyle w:val="TNCBodyText"/>
        <w:numPr>
          <w:ilvl w:val="0"/>
          <w:numId w:val="30"/>
        </w:numPr>
      </w:pPr>
      <w:r w:rsidRPr="00817685">
        <w:t>Answering questions about the content or application of this policy</w:t>
      </w:r>
    </w:p>
    <w:p w14:paraId="42963DC5" w14:textId="41559D6B" w:rsidR="006949AE" w:rsidRPr="00817685" w:rsidRDefault="006949AE" w:rsidP="006949AE">
      <w:pPr>
        <w:pStyle w:val="TNCBodyText"/>
      </w:pPr>
      <w:r>
        <w:t>Senior Leaders</w:t>
      </w:r>
      <w:r w:rsidRPr="00817685">
        <w:t xml:space="preserve"> will be responsible for:</w:t>
      </w:r>
    </w:p>
    <w:p w14:paraId="18CC7779" w14:textId="649AFC89" w:rsidR="006949AE" w:rsidRPr="00817685" w:rsidRDefault="006949AE" w:rsidP="006949AE">
      <w:pPr>
        <w:pStyle w:val="TNCBodyText"/>
        <w:numPr>
          <w:ilvl w:val="0"/>
          <w:numId w:val="28"/>
        </w:numPr>
      </w:pPr>
      <w:r w:rsidRPr="00817685">
        <w:t>Participating in appropriate training on equal opportunities awareness and equal opportunities recruitment and selection good practice</w:t>
      </w:r>
    </w:p>
    <w:p w14:paraId="77102CAD" w14:textId="77777777" w:rsidR="006949AE" w:rsidRPr="00817685" w:rsidRDefault="006949AE" w:rsidP="006949AE">
      <w:pPr>
        <w:pStyle w:val="TNCBodyText"/>
      </w:pPr>
      <w:r w:rsidRPr="00817685">
        <w:t>All staff will be responsible for:</w:t>
      </w:r>
    </w:p>
    <w:p w14:paraId="428EF33E" w14:textId="76F9C030" w:rsidR="006949AE" w:rsidRPr="00817685" w:rsidRDefault="006949AE" w:rsidP="006949AE">
      <w:pPr>
        <w:pStyle w:val="TNCBodyText"/>
        <w:numPr>
          <w:ilvl w:val="0"/>
          <w:numId w:val="32"/>
        </w:numPr>
      </w:pPr>
      <w:r w:rsidRPr="00817685">
        <w:t>Conducting themselves to help the</w:t>
      </w:r>
      <w:r>
        <w:t>ir</w:t>
      </w:r>
      <w:r w:rsidRPr="00817685">
        <w:t xml:space="preserve"> school provide equal opportunities in employment, and prevent bullying, harassment, victimisation and unlawful discrimination</w:t>
      </w:r>
    </w:p>
    <w:p w14:paraId="011657E3" w14:textId="664EE281" w:rsidR="006949AE" w:rsidRPr="00817685" w:rsidRDefault="006949AE" w:rsidP="006949AE">
      <w:pPr>
        <w:pStyle w:val="TNCBodyText"/>
        <w:numPr>
          <w:ilvl w:val="0"/>
          <w:numId w:val="32"/>
        </w:numPr>
      </w:pPr>
      <w:r w:rsidRPr="00817685">
        <w:t>Understanding that they, as well as their employer, can be held liable for acts of bullying, harassment, victimisation and unlawful discrimination, in the course of their employment, against their colleagues, customers, suppliers, visitors and the public</w:t>
      </w:r>
    </w:p>
    <w:p w14:paraId="51364215" w14:textId="7DBDF4C5" w:rsidR="006949AE" w:rsidRPr="00817685" w:rsidRDefault="006949AE" w:rsidP="006949AE">
      <w:pPr>
        <w:pStyle w:val="TNCBodyText"/>
        <w:numPr>
          <w:ilvl w:val="0"/>
          <w:numId w:val="28"/>
        </w:numPr>
      </w:pPr>
      <w:r w:rsidRPr="00817685">
        <w:t>Taking seriously complaints of bullying, harassment, victimisation and unlawful discrimination by their colleagues, customers, suppliers, visitors, the public and any others in the course of the</w:t>
      </w:r>
      <w:r>
        <w:t>ir</w:t>
      </w:r>
      <w:r w:rsidRPr="00817685">
        <w:t xml:space="preserve"> work activities</w:t>
      </w:r>
    </w:p>
    <w:p w14:paraId="0C66200A" w14:textId="3536ACF4" w:rsidR="000B177C" w:rsidRPr="001300C2" w:rsidRDefault="00ED288F" w:rsidP="005C4CE7">
      <w:pPr>
        <w:pStyle w:val="Heading10"/>
        <w:spacing w:before="0"/>
      </w:pPr>
      <w:r>
        <w:t>Forms of discrimination</w:t>
      </w:r>
    </w:p>
    <w:p w14:paraId="3A291FFB" w14:textId="77777777" w:rsidR="00ED288F" w:rsidRPr="00817685" w:rsidRDefault="00ED288F" w:rsidP="00ED288F">
      <w:pPr>
        <w:pStyle w:val="TNCBodyText"/>
      </w:pPr>
      <w:bookmarkStart w:id="17" w:name="_Collecting_and_using"/>
      <w:bookmarkStart w:id="18" w:name="_[Updated]_Collecting_and"/>
      <w:bookmarkEnd w:id="17"/>
      <w:bookmarkEnd w:id="18"/>
      <w:r w:rsidRPr="00817685">
        <w:t xml:space="preserve">Discrimination by or against an employee is generally prohibited unless there is a specific legal exemption. Discrimination may be direct or indirect and it may occur intentionally or unintentionally. </w:t>
      </w:r>
    </w:p>
    <w:p w14:paraId="56BCC3FD" w14:textId="20AD95F9" w:rsidR="00ED288F" w:rsidRPr="00817685" w:rsidRDefault="00ED288F" w:rsidP="00ED288F">
      <w:pPr>
        <w:pStyle w:val="TNCBodyText"/>
      </w:pPr>
      <w:r w:rsidRPr="00817685">
        <w:rPr>
          <w:b/>
          <w:bCs/>
        </w:rPr>
        <w:t>Direct discrimination</w:t>
      </w:r>
      <w:r w:rsidRPr="00817685">
        <w:t xml:space="preserve"> occurs where someone is treated less favourably because of one or more of the protected characteristics. For example, rejecting an applicant on the grounds of their race because they would not “fit in” would be direct discrimination. </w:t>
      </w:r>
    </w:p>
    <w:p w14:paraId="22B798A7" w14:textId="77777777" w:rsidR="00ED288F" w:rsidRPr="00817685" w:rsidRDefault="00ED288F" w:rsidP="00ED288F">
      <w:pPr>
        <w:pStyle w:val="TNCBodyText"/>
      </w:pPr>
      <w:r w:rsidRPr="00817685">
        <w:rPr>
          <w:b/>
          <w:bCs/>
        </w:rPr>
        <w:t>Indirect discrimination</w:t>
      </w:r>
      <w:r w:rsidRPr="00817685">
        <w:t xml:space="preserve"> occurs where someone is disadvantaged by an unjustified provision, criterion or practice that also puts other people with the same protected characteristic at a particular disadvantage. For example, a requirement to work full time puts women at a particular disadvantage because they generally have greater childcare commitments than men. Such a requirement will need to be objectively justified. </w:t>
      </w:r>
    </w:p>
    <w:p w14:paraId="78680D0A" w14:textId="77777777" w:rsidR="00ED288F" w:rsidRPr="00817685" w:rsidRDefault="00ED288F" w:rsidP="00ED288F">
      <w:pPr>
        <w:pStyle w:val="TNCBodyText"/>
      </w:pPr>
      <w:r w:rsidRPr="00817685">
        <w:rPr>
          <w:b/>
          <w:bCs/>
        </w:rPr>
        <w:t>Harassment</w:t>
      </w:r>
      <w:r w:rsidRPr="00817685">
        <w:t xml:space="preserve"> related to any of the protected characteristics is prohibited. Harassment is unwanted conduct that has the purpose or effect of violating someone's dignity, or creating an intimidating, hostile, degrading, humiliating or offensive environment for them. </w:t>
      </w:r>
    </w:p>
    <w:p w14:paraId="4AC938AF" w14:textId="2CE3695A" w:rsidR="00ED288F" w:rsidRPr="00817685" w:rsidRDefault="00ED288F" w:rsidP="00ED288F">
      <w:pPr>
        <w:pStyle w:val="TNCBodyText"/>
      </w:pPr>
      <w:r w:rsidRPr="00817685">
        <w:rPr>
          <w:b/>
          <w:bCs/>
        </w:rPr>
        <w:lastRenderedPageBreak/>
        <w:t>Victimisation</w:t>
      </w:r>
      <w:r w:rsidRPr="00817685">
        <w:t xml:space="preserve"> is also prohibited. This is less favourable treatment of someone who has complained or given information about discrimination or </w:t>
      </w:r>
      <w:r w:rsidR="00C14DBD" w:rsidRPr="00817685">
        <w:t>harassment or</w:t>
      </w:r>
      <w:r w:rsidRPr="00817685">
        <w:t xml:space="preserve"> supported someone else's complaint.</w:t>
      </w:r>
    </w:p>
    <w:p w14:paraId="3A19124E" w14:textId="02BB2CB8" w:rsidR="000B177C" w:rsidRPr="001300C2" w:rsidRDefault="00ED288F" w:rsidP="005C4CE7">
      <w:pPr>
        <w:pStyle w:val="Heading10"/>
        <w:spacing w:before="0"/>
      </w:pPr>
      <w:r>
        <w:t>Recruitment and selection</w:t>
      </w:r>
    </w:p>
    <w:p w14:paraId="5CCAEFE5" w14:textId="51F5F834" w:rsidR="00ED288F" w:rsidRPr="00817685" w:rsidRDefault="00ED288F" w:rsidP="00ED288F">
      <w:pPr>
        <w:pStyle w:val="TNCBodyText"/>
      </w:pPr>
      <w:bookmarkStart w:id="19" w:name="_Publishing_information"/>
      <w:bookmarkStart w:id="20" w:name="_[Updated]_Publishing_information"/>
      <w:bookmarkEnd w:id="19"/>
      <w:bookmarkEnd w:id="20"/>
      <w:r w:rsidRPr="00817685">
        <w:t>T</w:t>
      </w:r>
      <w:r>
        <w:t>CAT</w:t>
      </w:r>
      <w:r w:rsidRPr="00817685">
        <w:t xml:space="preserve"> will aim to ensure that no job applicant suffers discrimination because of any of the protected characteristics. T</w:t>
      </w:r>
      <w:r>
        <w:t>CAT</w:t>
      </w:r>
      <w:r w:rsidRPr="00817685">
        <w:t>’s recruitment procedures will be reviewed regularly to ensure that individuals are treated on the basis of their relevant merits and abilities. Job selection criteria will be regularly reviewed to ensure that it is relevant to the job and not disproportionate. The shortlisting of applicants will be done by more than one person wherever possible.</w:t>
      </w:r>
    </w:p>
    <w:p w14:paraId="7061FD94" w14:textId="78D3606B" w:rsidR="00ED288F" w:rsidRPr="00817685" w:rsidRDefault="00ED288F" w:rsidP="00ED288F">
      <w:pPr>
        <w:pStyle w:val="TNCBodyText"/>
      </w:pPr>
      <w:r w:rsidRPr="00817685">
        <w:t>Job advertisements will avoid stereotyping or using wording that may discourage groups with a particular protected characteristic from applying. T</w:t>
      </w:r>
      <w:r>
        <w:t>CAT</w:t>
      </w:r>
      <w:r w:rsidRPr="00817685">
        <w:t xml:space="preserve"> will take steps to ensure that vacancies are advertised to a diverse labour market. </w:t>
      </w:r>
    </w:p>
    <w:p w14:paraId="7A4A0B5A" w14:textId="18A21019" w:rsidR="00ED288F" w:rsidRPr="00817685" w:rsidRDefault="00ED288F" w:rsidP="00ED288F">
      <w:pPr>
        <w:pStyle w:val="TNCBodyText"/>
      </w:pPr>
      <w:r w:rsidRPr="00817685">
        <w:t xml:space="preserve">Applicants will not be asked about health or disability before a job offer is made. There are limited exceptions which will only be used with the </w:t>
      </w:r>
      <w:r>
        <w:t>CFO</w:t>
      </w:r>
      <w:r w:rsidRPr="00817685">
        <w:t>’s approval, such as:</w:t>
      </w:r>
    </w:p>
    <w:p w14:paraId="05A26DD1" w14:textId="1C50499B" w:rsidR="00ED288F" w:rsidRPr="00817685" w:rsidRDefault="00ED288F" w:rsidP="00ED288F">
      <w:pPr>
        <w:pStyle w:val="TNCBodyText"/>
        <w:numPr>
          <w:ilvl w:val="0"/>
          <w:numId w:val="33"/>
        </w:numPr>
      </w:pPr>
      <w:r w:rsidRPr="00817685">
        <w:t>Questions necessary to establish if an applicant can perform an intrinsic part of the job (subject to any reasonable adjustments)</w:t>
      </w:r>
    </w:p>
    <w:p w14:paraId="435B909D" w14:textId="438843E0" w:rsidR="00ED288F" w:rsidRPr="00817685" w:rsidRDefault="00ED288F" w:rsidP="00ED288F">
      <w:pPr>
        <w:pStyle w:val="TNCBodyText"/>
        <w:numPr>
          <w:ilvl w:val="0"/>
          <w:numId w:val="33"/>
        </w:numPr>
      </w:pPr>
      <w:r w:rsidRPr="00817685">
        <w:t>Questions to establish if an applicant is fit to attend an assessment or any reasonable adjustments that may be needed at interview or assessment</w:t>
      </w:r>
    </w:p>
    <w:p w14:paraId="2AC7BEE3" w14:textId="5DA0B374" w:rsidR="00ED288F" w:rsidRPr="00817685" w:rsidRDefault="00ED288F" w:rsidP="00ED288F">
      <w:pPr>
        <w:pStyle w:val="TNCBodyText"/>
        <w:numPr>
          <w:ilvl w:val="0"/>
          <w:numId w:val="33"/>
        </w:numPr>
      </w:pPr>
      <w:r w:rsidRPr="00817685">
        <w:t>Positive action to recruit disabled persons</w:t>
      </w:r>
    </w:p>
    <w:p w14:paraId="4BF2DADD" w14:textId="79114320" w:rsidR="00ED288F" w:rsidRPr="00817685" w:rsidRDefault="00ED288F" w:rsidP="00ED288F">
      <w:pPr>
        <w:pStyle w:val="TNCBodyText"/>
        <w:numPr>
          <w:ilvl w:val="0"/>
          <w:numId w:val="33"/>
        </w:numPr>
      </w:pPr>
      <w:r w:rsidRPr="00817685">
        <w:t>Equal opportunities monitoring (which will not form part of the decision-making process)</w:t>
      </w:r>
    </w:p>
    <w:p w14:paraId="3EC3264E" w14:textId="4BA01C8A" w:rsidR="00ED288F" w:rsidRPr="00817685" w:rsidRDefault="00ED288F" w:rsidP="00ED288F">
      <w:pPr>
        <w:pStyle w:val="TNCBodyText"/>
      </w:pPr>
      <w:r w:rsidRPr="00817685">
        <w:t>T</w:t>
      </w:r>
      <w:r>
        <w:t>CAT</w:t>
      </w:r>
      <w:r w:rsidRPr="00817685">
        <w:t xml:space="preserve"> is required by law to ensure that all staff are entitled to work in the UK. Assumptions about immigration status will not be made based on appearance or apparent nationality. All prospective employees, regardless of nationality, will be expected to produce original documents, e.g. a passport, before employment starts, to satisfy current immigration legislation. The list of acceptable documents is available from the UK Border Agency.</w:t>
      </w:r>
    </w:p>
    <w:p w14:paraId="5AC92F2A" w14:textId="7B6E504E" w:rsidR="00C14DBD" w:rsidRPr="00817685" w:rsidRDefault="00ED288F" w:rsidP="00ED288F">
      <w:pPr>
        <w:pStyle w:val="TNCBodyText"/>
      </w:pPr>
      <w:r w:rsidRPr="00817685">
        <w:t xml:space="preserve">To ensure that this policy is operating effectively, and to identify groups that may be underrepresented or disadvantaged in our organisation, </w:t>
      </w:r>
      <w:r>
        <w:t>TCAT</w:t>
      </w:r>
      <w:r w:rsidRPr="00817685">
        <w:t xml:space="preserve"> will monitor applicants’ ethnicity, gender, disability, sexual orientation, religion and age as part of the recruitment procedure. Provision of this information will be voluntary and will not adversely affect an applicant’s chances of </w:t>
      </w:r>
      <w:r w:rsidR="00C14DBD" w:rsidRPr="00817685">
        <w:t>recruitment,</w:t>
      </w:r>
      <w:r w:rsidRPr="00817685">
        <w:t xml:space="preserve"> or any other decision related to their employment. The information will be removed from applications before the shortlisting </w:t>
      </w:r>
      <w:r w:rsidR="00C14DBD" w:rsidRPr="00817685">
        <w:t>process and</w:t>
      </w:r>
      <w:r w:rsidRPr="00817685">
        <w:t xml:space="preserve"> will be kept in an anonymised format solely for the purposes stated in this policy. Analysing this data helps the school take appropriate steps to avoid discrimination and improve equality and diversity.</w:t>
      </w:r>
    </w:p>
    <w:p w14:paraId="22BD5D24" w14:textId="364AB6A3" w:rsidR="000B177C" w:rsidRPr="001300C2" w:rsidRDefault="00ED288F" w:rsidP="005C4CE7">
      <w:pPr>
        <w:pStyle w:val="Heading10"/>
        <w:spacing w:before="0"/>
      </w:pPr>
      <w:r>
        <w:t>Staff training and promotion and conditions of service</w:t>
      </w:r>
    </w:p>
    <w:p w14:paraId="63F87CF2" w14:textId="2F494FDE" w:rsidR="00ED288F" w:rsidRPr="00817685" w:rsidRDefault="00ED288F" w:rsidP="00ED288F">
      <w:pPr>
        <w:pStyle w:val="TNCBodyText"/>
      </w:pPr>
      <w:bookmarkStart w:id="21" w:name="_Promoting_equality"/>
      <w:bookmarkEnd w:id="21"/>
      <w:r w:rsidRPr="00817685">
        <w:t xml:space="preserve">Staff training needs and associated development opportunities will be identified through regular staff appraisals, in line with </w:t>
      </w:r>
      <w:r>
        <w:t>TCAT</w:t>
      </w:r>
      <w:r w:rsidRPr="00817685">
        <w:t>’s Appraisal Policy</w:t>
      </w:r>
      <w:r w:rsidR="006261E1">
        <w:t xml:space="preserve"> and Procedures</w:t>
      </w:r>
      <w:r w:rsidRPr="00817685">
        <w:t xml:space="preserve"> and Support Staff </w:t>
      </w:r>
      <w:r w:rsidR="000F5EBC">
        <w:t xml:space="preserve">Managing </w:t>
      </w:r>
      <w:r w:rsidRPr="00817685">
        <w:t>Performance Policy</w:t>
      </w:r>
      <w:r>
        <w:t xml:space="preserve"> and Procedure</w:t>
      </w:r>
      <w:r w:rsidRPr="00817685">
        <w:t xml:space="preserve">. All staff will be given appropriate access to </w:t>
      </w:r>
      <w:r w:rsidRPr="00817685">
        <w:lastRenderedPageBreak/>
        <w:t>training to enable them to progress within the organisation and all promotion decisions will be made based on merit. T</w:t>
      </w:r>
      <w:r>
        <w:t>CAT</w:t>
      </w:r>
      <w:r w:rsidRPr="00817685">
        <w:t xml:space="preserve"> will adopt good practice in terms of data collection and use this data to monitor and measure the attraction, recruitment, retention and progression of staff.</w:t>
      </w:r>
    </w:p>
    <w:p w14:paraId="4EDE3930" w14:textId="77777777" w:rsidR="00ED288F" w:rsidRPr="00817685" w:rsidRDefault="00ED288F" w:rsidP="00ED288F">
      <w:pPr>
        <w:pStyle w:val="TNCBodyText"/>
      </w:pPr>
      <w:r w:rsidRPr="00817685">
        <w:t>Workforce composition and promotions will be regularly monitored to ensure equality of opportunity at all levels of the organisation. Where appropriate, steps will be taken to identify and remove unjustified barriers and to meet the needs of disadvantaged or underrepresented groups.</w:t>
      </w:r>
    </w:p>
    <w:p w14:paraId="3E44C825" w14:textId="3287E224" w:rsidR="00ED288F" w:rsidRPr="00817685" w:rsidRDefault="00ED288F" w:rsidP="00ED288F">
      <w:pPr>
        <w:pStyle w:val="TNCBodyText"/>
      </w:pPr>
      <w:r w:rsidRPr="00817685">
        <w:t>T</w:t>
      </w:r>
      <w:r>
        <w:t>CAT</w:t>
      </w:r>
      <w:r w:rsidRPr="00817685">
        <w:t>’s conditions of service, benefits and facilities are reviewed regularly to ensure that they equal opportunities for all.</w:t>
      </w:r>
    </w:p>
    <w:p w14:paraId="46E7EA51" w14:textId="7ED564A4" w:rsidR="000B177C" w:rsidRPr="001300C2" w:rsidRDefault="00ED288F" w:rsidP="005C4CE7">
      <w:pPr>
        <w:pStyle w:val="Heading10"/>
        <w:spacing w:before="0"/>
      </w:pPr>
      <w:r>
        <w:t>Termination of employment</w:t>
      </w:r>
    </w:p>
    <w:p w14:paraId="2067C3A1" w14:textId="2EE1F9CA" w:rsidR="00ED288F" w:rsidRPr="00817685" w:rsidRDefault="00ED288F" w:rsidP="00ED288F">
      <w:pPr>
        <w:pStyle w:val="TNCBodyText"/>
      </w:pPr>
      <w:bookmarkStart w:id="22" w:name="_Addressing_prejudice_related"/>
      <w:bookmarkStart w:id="23" w:name="_[Updated]_Addressing_prejudice-rela"/>
      <w:bookmarkStart w:id="24" w:name="Subsection5"/>
      <w:bookmarkEnd w:id="16"/>
      <w:bookmarkEnd w:id="22"/>
      <w:bookmarkEnd w:id="23"/>
      <w:r w:rsidRPr="00817685">
        <w:t>T</w:t>
      </w:r>
      <w:r>
        <w:t>CAT</w:t>
      </w:r>
      <w:r w:rsidRPr="00817685">
        <w:t xml:space="preserve"> will ensure that redundancy criteria and procedures are fair and objective and are not directly or indirectly discriminatory. </w:t>
      </w:r>
    </w:p>
    <w:p w14:paraId="47C8C50A" w14:textId="7EF3224E" w:rsidR="00ED288F" w:rsidRPr="00817685" w:rsidRDefault="00ED288F" w:rsidP="00ED288F">
      <w:pPr>
        <w:pStyle w:val="TNCBodyText"/>
      </w:pPr>
      <w:r w:rsidRPr="00817685">
        <w:t>T</w:t>
      </w:r>
      <w:r>
        <w:t>CAT</w:t>
      </w:r>
      <w:r w:rsidRPr="00817685">
        <w:t xml:space="preserve"> will also ensure that disciplinary procedures and penalties are applied without discrimination, whether they result in disciplinary warnings, dismissal or other disciplinary action, in line with </w:t>
      </w:r>
      <w:r>
        <w:t>TCAT</w:t>
      </w:r>
      <w:r w:rsidRPr="00817685">
        <w:t>’s Disciplinary Policy and Procedure</w:t>
      </w:r>
      <w:r>
        <w:t>s</w:t>
      </w:r>
      <w:r w:rsidRPr="00817685">
        <w:t xml:space="preserve">. </w:t>
      </w:r>
    </w:p>
    <w:p w14:paraId="6FA9C206" w14:textId="5CB09247" w:rsidR="000B177C" w:rsidRPr="001300C2" w:rsidRDefault="00ED288F" w:rsidP="005C4CE7">
      <w:pPr>
        <w:pStyle w:val="Heading10"/>
        <w:spacing w:before="0"/>
      </w:pPr>
      <w:r>
        <w:t>Disability discrimination</w:t>
      </w:r>
    </w:p>
    <w:p w14:paraId="1F8A656B" w14:textId="70736875" w:rsidR="00ED288F" w:rsidRPr="00817685" w:rsidRDefault="00ED288F" w:rsidP="00ED288F">
      <w:pPr>
        <w:pStyle w:val="TNCBodyText"/>
      </w:pPr>
      <w:bookmarkStart w:id="25" w:name="_Appeal_process"/>
      <w:bookmarkStart w:id="26" w:name="_[New]_Complaints_procedures"/>
      <w:bookmarkStart w:id="27" w:name="_Hlk63682570"/>
      <w:bookmarkEnd w:id="25"/>
      <w:bookmarkEnd w:id="26"/>
      <w:r w:rsidRPr="00817685">
        <w:t>T</w:t>
      </w:r>
      <w:r>
        <w:t>CAT</w:t>
      </w:r>
      <w:r w:rsidRPr="00817685">
        <w:t xml:space="preserve"> will encourage staff who are disabled or become disabled to inform the</w:t>
      </w:r>
      <w:r>
        <w:t>ir</w:t>
      </w:r>
      <w:r w:rsidRPr="00817685">
        <w:t xml:space="preserve"> </w:t>
      </w:r>
      <w:r>
        <w:t>H</w:t>
      </w:r>
      <w:r w:rsidRPr="00817685">
        <w:t>eadteacher</w:t>
      </w:r>
      <w:r>
        <w:t>/Head of School</w:t>
      </w:r>
      <w:r w:rsidRPr="00817685">
        <w:t xml:space="preserve"> or their line manager about their condition so that </w:t>
      </w:r>
      <w:r>
        <w:t xml:space="preserve">TCAT and </w:t>
      </w:r>
      <w:r w:rsidRPr="00817685">
        <w:t xml:space="preserve">the school can support them as appropriate. </w:t>
      </w:r>
    </w:p>
    <w:p w14:paraId="1B618135" w14:textId="70C21960" w:rsidR="00ED288F" w:rsidRPr="00817685" w:rsidRDefault="00ED288F" w:rsidP="00ED288F">
      <w:pPr>
        <w:pStyle w:val="TNCBodyText"/>
      </w:pPr>
      <w:r w:rsidRPr="00817685">
        <w:t xml:space="preserve">Staff experiencing difficulties at work because of their disability (physical or otherwise) may wish to contact their line manager or the </w:t>
      </w:r>
      <w:r w:rsidR="00DC35DD">
        <w:t>CFO</w:t>
      </w:r>
      <w:r w:rsidRPr="00817685">
        <w:t xml:space="preserve"> to discuss any reasonable adjustments that would help overcome or minimise the difficulty. Their line manager or the </w:t>
      </w:r>
      <w:r w:rsidR="00DC35DD">
        <w:t>CFO</w:t>
      </w:r>
      <w:r w:rsidRPr="00817685">
        <w:t xml:space="preserve"> may wish to consult with the staff member and a medical adviser about possible adjustments. </w:t>
      </w:r>
    </w:p>
    <w:p w14:paraId="06A67EBD" w14:textId="6DC4059D" w:rsidR="00ED288F" w:rsidRPr="00817685" w:rsidRDefault="00ED288F" w:rsidP="00ED288F">
      <w:pPr>
        <w:pStyle w:val="TNCBodyText"/>
      </w:pPr>
      <w:r w:rsidRPr="00817685">
        <w:t xml:space="preserve">The </w:t>
      </w:r>
      <w:r w:rsidR="00DC35DD">
        <w:t>Trust</w:t>
      </w:r>
      <w:r w:rsidRPr="00817685">
        <w:t xml:space="preserve"> </w:t>
      </w:r>
      <w:r w:rsidR="00DC35DD">
        <w:t>B</w:t>
      </w:r>
      <w:r w:rsidRPr="00817685">
        <w:t xml:space="preserve">oard will monitor the physical environment of the </w:t>
      </w:r>
      <w:r w:rsidR="00DC35DD">
        <w:t>TCAT estate</w:t>
      </w:r>
      <w:r w:rsidRPr="00817685">
        <w:t xml:space="preserve"> to consider whether certain features place physically disabled staff, job applicants, service users, or other stakeholders at a substantial disadvantage compared to others. Where reasonable, </w:t>
      </w:r>
      <w:r w:rsidR="00DC35DD">
        <w:t>TCAT</w:t>
      </w:r>
      <w:r w:rsidRPr="00817685">
        <w:t xml:space="preserve"> will take steps to improve access for disabled staff and service users.</w:t>
      </w:r>
    </w:p>
    <w:p w14:paraId="1F55EA2E" w14:textId="4C1E0C6B" w:rsidR="000B177C" w:rsidRPr="001300C2" w:rsidRDefault="00DC35DD" w:rsidP="005C4CE7">
      <w:pPr>
        <w:pStyle w:val="Heading10"/>
        <w:spacing w:before="0"/>
      </w:pPr>
      <w:r>
        <w:t>Part-time, zero hours, and fixed-term employees and agency workers</w:t>
      </w:r>
    </w:p>
    <w:p w14:paraId="76FD9352" w14:textId="441C37D6" w:rsidR="00DC35DD" w:rsidRPr="00817685" w:rsidRDefault="00DC35DD" w:rsidP="00DC35DD">
      <w:pPr>
        <w:pStyle w:val="TNCBodyText"/>
      </w:pPr>
      <w:bookmarkStart w:id="28" w:name="_Data_protection"/>
      <w:bookmarkStart w:id="29" w:name="_Curriculum"/>
      <w:bookmarkStart w:id="30" w:name="_Monitoring_and_review_1"/>
      <w:bookmarkEnd w:id="27"/>
      <w:bookmarkEnd w:id="28"/>
      <w:bookmarkEnd w:id="29"/>
      <w:bookmarkEnd w:id="30"/>
      <w:r w:rsidRPr="00817685">
        <w:t>T</w:t>
      </w:r>
      <w:r>
        <w:t>CAT</w:t>
      </w:r>
      <w:r w:rsidRPr="00817685">
        <w:t xml:space="preserve"> will monitor the conditions of service of part-time employees and their progression to ensure that they are being offered appropriate access to benefits and training and promotion opportunities. T</w:t>
      </w:r>
      <w:r>
        <w:t>CAT</w:t>
      </w:r>
      <w:r w:rsidRPr="00817685">
        <w:t xml:space="preserve"> will ensure requests to alter working hours are dealt with appropriately under the Flexible Working Policy.</w:t>
      </w:r>
    </w:p>
    <w:p w14:paraId="7909A1DA" w14:textId="567B5BF8" w:rsidR="00DC35DD" w:rsidRPr="00817685" w:rsidRDefault="00DC35DD" w:rsidP="00DC35DD">
      <w:pPr>
        <w:pStyle w:val="TNCBodyText"/>
      </w:pPr>
      <w:r w:rsidRPr="00817685">
        <w:t>T</w:t>
      </w:r>
      <w:r>
        <w:t>CAT</w:t>
      </w:r>
      <w:r w:rsidRPr="00817685">
        <w:t xml:space="preserve"> will monitor its use of zero hours and fixed-term employees and agency workers, and their conditions of service, to ensure that they are being offered appropriate access to benefits, training, promotion and permanent employment opportunities. T</w:t>
      </w:r>
      <w:r>
        <w:t>CAT</w:t>
      </w:r>
      <w:r w:rsidRPr="00817685">
        <w:t xml:space="preserve"> will, where relevant, monitor their progress to ensure that they are accessing permanent vacancies.</w:t>
      </w:r>
    </w:p>
    <w:p w14:paraId="3D776377" w14:textId="5D096EF6" w:rsidR="00820E95" w:rsidRPr="001300C2" w:rsidRDefault="00DC35DD" w:rsidP="00820E95">
      <w:pPr>
        <w:pStyle w:val="Heading10"/>
        <w:spacing w:before="0"/>
      </w:pPr>
      <w:r>
        <w:lastRenderedPageBreak/>
        <w:t>Breaches of this policy</w:t>
      </w:r>
    </w:p>
    <w:p w14:paraId="695C213F" w14:textId="4EA016A6" w:rsidR="00DC35DD" w:rsidRPr="00817685" w:rsidRDefault="00DC35DD" w:rsidP="00DC35DD">
      <w:pPr>
        <w:pStyle w:val="TNCBodyText"/>
      </w:pPr>
      <w:r w:rsidRPr="00817685">
        <w:t xml:space="preserve">If a member of staff believes that they may have been discriminated against, they will be encouraged to raise the matter through the </w:t>
      </w:r>
      <w:r w:rsidR="00C14DBD">
        <w:t>TCAT</w:t>
      </w:r>
      <w:r w:rsidRPr="00817685">
        <w:t>’s Grievance Policy</w:t>
      </w:r>
      <w:r w:rsidR="00C14DBD">
        <w:t xml:space="preserve"> and Procedures</w:t>
      </w:r>
      <w:r w:rsidRPr="00817685">
        <w:t xml:space="preserve">. If they believe that they may have been subject to harassment, they will be encouraged to raise the matter with their line manager and/or the </w:t>
      </w:r>
      <w:r w:rsidR="00C14DBD">
        <w:t>CFO.</w:t>
      </w:r>
    </w:p>
    <w:p w14:paraId="0E7467CC" w14:textId="6E91B79E" w:rsidR="00DC35DD" w:rsidRPr="00817685" w:rsidRDefault="00DC35DD" w:rsidP="00DC35DD">
      <w:pPr>
        <w:pStyle w:val="TNCBodyText"/>
      </w:pPr>
      <w:r w:rsidRPr="00817685">
        <w:t>Allegations regarding potential breaches of this policy will be treated in confidence and investigated in accordance with the relevant procedure. Staff who make such allegations in good faith will not be victimised or treated less favourably as a result. False allegations which are found to have been made in bad faith will, however, be dealt with under our Disciplinary Policy and Procedure</w:t>
      </w:r>
      <w:r w:rsidR="00C14DBD">
        <w:t>s</w:t>
      </w:r>
      <w:r w:rsidRPr="00817685">
        <w:t>.</w:t>
      </w:r>
    </w:p>
    <w:p w14:paraId="22BEC4E5" w14:textId="6D9311EE" w:rsidR="00DC35DD" w:rsidRPr="00817685" w:rsidRDefault="00DC35DD" w:rsidP="00DC35DD">
      <w:pPr>
        <w:pStyle w:val="TNCBodyText"/>
      </w:pPr>
      <w:r w:rsidRPr="00817685">
        <w:t>Any member of staff who is found to have committed an act of discrimination or harassment will be subject to disciplinary action. Such behaviour may constitute gross misconduct and, as such, may result in summary dismissal. T</w:t>
      </w:r>
      <w:r w:rsidR="00C14DBD">
        <w:t>CAT</w:t>
      </w:r>
      <w:r w:rsidRPr="00817685">
        <w:t xml:space="preserve"> takes a strict approach to serious breaches of this policy.</w:t>
      </w:r>
    </w:p>
    <w:p w14:paraId="48DD1CDF" w14:textId="6747C470" w:rsidR="00820E95" w:rsidRPr="001300C2" w:rsidRDefault="00C14DBD" w:rsidP="00820E95">
      <w:pPr>
        <w:pStyle w:val="Heading10"/>
        <w:spacing w:before="0"/>
      </w:pPr>
      <w:r>
        <w:t>Monitoring and review</w:t>
      </w:r>
    </w:p>
    <w:p w14:paraId="46D44C01" w14:textId="77777777" w:rsidR="001300C2" w:rsidRPr="001300C2" w:rsidRDefault="001300C2" w:rsidP="001300C2">
      <w:pPr>
        <w:jc w:val="both"/>
      </w:pPr>
      <w:r w:rsidRPr="001300C2">
        <w:t xml:space="preserve">This policy will be reviewed in line with the published schedule at the front of this document and at any point material changes require it by the Executive Headteacher/CEO and Chief Finance Officer in conjunction with the Executive Leader for Safeguarding and Inclusion, Headteachers/Heads of School, and the Trust Board. Any changes made to the policy will be amended by the Executive Headteacher/CEO and will be communicated to all members of staff. </w:t>
      </w:r>
    </w:p>
    <w:p w14:paraId="59749E00" w14:textId="77777777" w:rsidR="001300C2" w:rsidRPr="001300C2" w:rsidRDefault="001300C2" w:rsidP="001300C2">
      <w:pPr>
        <w:jc w:val="both"/>
      </w:pPr>
      <w:r w:rsidRPr="001300C2">
        <w:t>The next scheduled review date for this policy is 31</w:t>
      </w:r>
      <w:r w:rsidRPr="001300C2">
        <w:rPr>
          <w:vertAlign w:val="superscript"/>
        </w:rPr>
        <w:t>st</w:t>
      </w:r>
      <w:r w:rsidRPr="001300C2">
        <w:t xml:space="preserve"> August 2028. </w:t>
      </w:r>
    </w:p>
    <w:p w14:paraId="41FC3C05" w14:textId="69DE4575" w:rsidR="007A51F8" w:rsidRPr="001300C2" w:rsidRDefault="007A51F8" w:rsidP="001A2F9E">
      <w:pPr>
        <w:jc w:val="both"/>
      </w:pPr>
      <w:bookmarkStart w:id="31" w:name="_Hlk141784567"/>
      <w:bookmarkStart w:id="32" w:name="_Hlk121328872"/>
      <w:bookmarkEnd w:id="24"/>
      <w:r w:rsidRPr="001300C2">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7A51F8" w:rsidRPr="001300C2" w14:paraId="41A4B2DD" w14:textId="77777777" w:rsidTr="0060759F">
        <w:trPr>
          <w:trHeight w:val="389"/>
        </w:trPr>
        <w:tc>
          <w:tcPr>
            <w:tcW w:w="9026" w:type="dxa"/>
            <w:gridSpan w:val="4"/>
            <w:vAlign w:val="center"/>
          </w:tcPr>
          <w:bookmarkEnd w:id="31"/>
          <w:p w14:paraId="0497765E" w14:textId="77777777" w:rsidR="007A51F8" w:rsidRPr="001300C2" w:rsidRDefault="007A51F8" w:rsidP="0060759F">
            <w:pPr>
              <w:spacing w:after="200" w:line="276" w:lineRule="auto"/>
            </w:pPr>
            <w:r w:rsidRPr="001300C2">
              <w:t>Signed by:</w:t>
            </w:r>
          </w:p>
        </w:tc>
      </w:tr>
      <w:tr w:rsidR="007A51F8" w:rsidRPr="001300C2" w14:paraId="088FD819" w14:textId="77777777" w:rsidTr="0060759F">
        <w:trPr>
          <w:trHeight w:val="624"/>
        </w:trPr>
        <w:tc>
          <w:tcPr>
            <w:tcW w:w="2813" w:type="dxa"/>
            <w:tcBorders>
              <w:bottom w:val="single" w:sz="2" w:space="0" w:color="auto"/>
            </w:tcBorders>
          </w:tcPr>
          <w:p w14:paraId="666EA365" w14:textId="77777777" w:rsidR="007A51F8" w:rsidRPr="001300C2" w:rsidRDefault="007A51F8" w:rsidP="0060759F">
            <w:pPr>
              <w:spacing w:line="276" w:lineRule="auto"/>
            </w:pPr>
          </w:p>
        </w:tc>
        <w:tc>
          <w:tcPr>
            <w:tcW w:w="2149" w:type="dxa"/>
            <w:vAlign w:val="bottom"/>
          </w:tcPr>
          <w:p w14:paraId="3D7F5519" w14:textId="77777777" w:rsidR="007A51F8" w:rsidRPr="001300C2" w:rsidRDefault="007A51F8" w:rsidP="0060759F">
            <w:pPr>
              <w:spacing w:line="276" w:lineRule="auto"/>
            </w:pPr>
            <w:r w:rsidRPr="001300C2">
              <w:t>Executive Headteacher/CEO</w:t>
            </w:r>
          </w:p>
        </w:tc>
        <w:tc>
          <w:tcPr>
            <w:tcW w:w="846" w:type="dxa"/>
            <w:vAlign w:val="bottom"/>
          </w:tcPr>
          <w:p w14:paraId="58F08024" w14:textId="77777777" w:rsidR="007A51F8" w:rsidRPr="001300C2" w:rsidRDefault="007A51F8" w:rsidP="0060759F">
            <w:pPr>
              <w:spacing w:line="276" w:lineRule="auto"/>
              <w:jc w:val="right"/>
            </w:pPr>
            <w:r w:rsidRPr="001300C2">
              <w:t>Date:</w:t>
            </w:r>
          </w:p>
        </w:tc>
        <w:tc>
          <w:tcPr>
            <w:tcW w:w="3218" w:type="dxa"/>
            <w:tcBorders>
              <w:bottom w:val="single" w:sz="2" w:space="0" w:color="auto"/>
            </w:tcBorders>
          </w:tcPr>
          <w:p w14:paraId="1D70B9AD" w14:textId="77777777" w:rsidR="007A51F8" w:rsidRPr="001300C2" w:rsidRDefault="007A51F8" w:rsidP="0060759F">
            <w:pPr>
              <w:spacing w:line="276" w:lineRule="auto"/>
            </w:pPr>
          </w:p>
        </w:tc>
      </w:tr>
      <w:tr w:rsidR="007A51F8" w:rsidRPr="001300C2" w14:paraId="7361F240" w14:textId="77777777" w:rsidTr="0060759F">
        <w:trPr>
          <w:trHeight w:val="624"/>
        </w:trPr>
        <w:tc>
          <w:tcPr>
            <w:tcW w:w="2813" w:type="dxa"/>
            <w:tcBorders>
              <w:top w:val="single" w:sz="2" w:space="0" w:color="auto"/>
              <w:bottom w:val="single" w:sz="4" w:space="0" w:color="auto"/>
            </w:tcBorders>
          </w:tcPr>
          <w:p w14:paraId="1161FE0B" w14:textId="77777777" w:rsidR="007A51F8" w:rsidRPr="001300C2" w:rsidRDefault="007A51F8" w:rsidP="0060759F">
            <w:pPr>
              <w:spacing w:line="276" w:lineRule="auto"/>
            </w:pPr>
          </w:p>
        </w:tc>
        <w:tc>
          <w:tcPr>
            <w:tcW w:w="2149" w:type="dxa"/>
            <w:vAlign w:val="bottom"/>
          </w:tcPr>
          <w:p w14:paraId="775B9FFE" w14:textId="27C75D2F" w:rsidR="007A51F8" w:rsidRPr="001300C2" w:rsidRDefault="007A51F8" w:rsidP="0060759F">
            <w:pPr>
              <w:spacing w:line="276" w:lineRule="auto"/>
              <w:rPr>
                <w:highlight w:val="lightGray"/>
              </w:rPr>
            </w:pPr>
            <w:r w:rsidRPr="001300C2">
              <w:t xml:space="preserve">Chair of </w:t>
            </w:r>
            <w:r w:rsidR="001A2F9E" w:rsidRPr="001300C2">
              <w:t>the Trust</w:t>
            </w:r>
            <w:r w:rsidRPr="001300C2">
              <w:t xml:space="preserve"> Board</w:t>
            </w:r>
          </w:p>
        </w:tc>
        <w:tc>
          <w:tcPr>
            <w:tcW w:w="846" w:type="dxa"/>
            <w:vAlign w:val="bottom"/>
          </w:tcPr>
          <w:p w14:paraId="1115D5BA" w14:textId="77777777" w:rsidR="007A51F8" w:rsidRPr="001300C2" w:rsidRDefault="007A51F8" w:rsidP="0060759F">
            <w:pPr>
              <w:spacing w:line="276" w:lineRule="auto"/>
              <w:jc w:val="right"/>
            </w:pPr>
            <w:r w:rsidRPr="001300C2">
              <w:t>Date:</w:t>
            </w:r>
          </w:p>
        </w:tc>
        <w:tc>
          <w:tcPr>
            <w:tcW w:w="3218" w:type="dxa"/>
            <w:tcBorders>
              <w:top w:val="single" w:sz="2" w:space="0" w:color="auto"/>
              <w:bottom w:val="single" w:sz="4" w:space="0" w:color="auto"/>
            </w:tcBorders>
          </w:tcPr>
          <w:p w14:paraId="0DB4FD31" w14:textId="77777777" w:rsidR="007A51F8" w:rsidRPr="001300C2" w:rsidRDefault="007A51F8" w:rsidP="0060759F">
            <w:pPr>
              <w:spacing w:line="276" w:lineRule="auto"/>
            </w:pPr>
          </w:p>
        </w:tc>
      </w:tr>
      <w:bookmarkEnd w:id="32"/>
    </w:tbl>
    <w:p w14:paraId="628B92ED" w14:textId="0EFB53D1" w:rsidR="00020DFD" w:rsidRPr="001300C2" w:rsidRDefault="00020DFD" w:rsidP="005C4CE7"/>
    <w:p w14:paraId="1E17446E" w14:textId="77777777" w:rsidR="00A426F7" w:rsidRPr="00A12919" w:rsidRDefault="00A426F7" w:rsidP="005C4CE7"/>
    <w:sectPr w:rsidR="00A426F7" w:rsidRPr="00A12919" w:rsidSect="00490DFF">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E5CAA" w14:textId="77777777" w:rsidR="00A10522" w:rsidRPr="001300C2" w:rsidRDefault="00A10522" w:rsidP="00AD4155">
      <w:r w:rsidRPr="001300C2">
        <w:separator/>
      </w:r>
    </w:p>
  </w:endnote>
  <w:endnote w:type="continuationSeparator" w:id="0">
    <w:p w14:paraId="27375925" w14:textId="77777777" w:rsidR="00A10522" w:rsidRPr="001300C2" w:rsidRDefault="00A10522" w:rsidP="00AD4155">
      <w:r w:rsidRPr="001300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C00012B-5616-4E7B-A1DC-1350B901742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F3234" w14:textId="77777777" w:rsidR="00A10522" w:rsidRPr="001300C2" w:rsidRDefault="00A10522" w:rsidP="00AD4155">
      <w:r w:rsidRPr="001300C2">
        <w:separator/>
      </w:r>
    </w:p>
  </w:footnote>
  <w:footnote w:type="continuationSeparator" w:id="0">
    <w:p w14:paraId="6B4D5561" w14:textId="77777777" w:rsidR="00A10522" w:rsidRPr="001300C2" w:rsidRDefault="00A10522" w:rsidP="00AD4155">
      <w:r w:rsidRPr="001300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Pr="001300C2" w:rsidRDefault="00D4425F">
    <w:pPr>
      <w:pStyle w:val="Header"/>
    </w:pPr>
    <w:r w:rsidRPr="001300C2">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1300C2" w:rsidRDefault="00D4425F">
                          <w:pPr>
                            <w:rPr>
                              <w:color w:val="FFFFFF" w:themeColor="background1"/>
                              <w:sz w:val="8"/>
                            </w:rPr>
                          </w:pPr>
                          <w:r w:rsidRPr="001300C2">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1300C2" w:rsidRDefault="00D4425F">
                    <w:pPr>
                      <w:rPr>
                        <w:color w:val="FFFFFF" w:themeColor="background1"/>
                        <w:sz w:val="8"/>
                      </w:rPr>
                    </w:pPr>
                    <w:r w:rsidRPr="001300C2">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300C2"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1300C2"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5438"/>
    <w:multiLevelType w:val="hybridMultilevel"/>
    <w:tmpl w:val="9932B44A"/>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C544C"/>
    <w:multiLevelType w:val="hybridMultilevel"/>
    <w:tmpl w:val="50A4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0B5C2F"/>
    <w:multiLevelType w:val="hybridMultilevel"/>
    <w:tmpl w:val="940AD9EA"/>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54F88"/>
    <w:multiLevelType w:val="hybridMultilevel"/>
    <w:tmpl w:val="C8F8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627F8"/>
    <w:multiLevelType w:val="hybridMultilevel"/>
    <w:tmpl w:val="0926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B269D"/>
    <w:multiLevelType w:val="hybridMultilevel"/>
    <w:tmpl w:val="322622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E20647"/>
    <w:multiLevelType w:val="hybridMultilevel"/>
    <w:tmpl w:val="275C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C6C51"/>
    <w:multiLevelType w:val="hybridMultilevel"/>
    <w:tmpl w:val="3D069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54DA3"/>
    <w:multiLevelType w:val="hybridMultilevel"/>
    <w:tmpl w:val="632C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53E9F"/>
    <w:multiLevelType w:val="hybridMultilevel"/>
    <w:tmpl w:val="38EC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C5110"/>
    <w:multiLevelType w:val="hybridMultilevel"/>
    <w:tmpl w:val="DB9C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F3F01"/>
    <w:multiLevelType w:val="hybridMultilevel"/>
    <w:tmpl w:val="AB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C4FCA"/>
    <w:multiLevelType w:val="hybridMultilevel"/>
    <w:tmpl w:val="876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F259D"/>
    <w:multiLevelType w:val="hybridMultilevel"/>
    <w:tmpl w:val="58F2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91CAC"/>
    <w:multiLevelType w:val="hybridMultilevel"/>
    <w:tmpl w:val="5F08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BD256A0"/>
    <w:multiLevelType w:val="hybridMultilevel"/>
    <w:tmpl w:val="F990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B1F68"/>
    <w:multiLevelType w:val="hybridMultilevel"/>
    <w:tmpl w:val="268E6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267050"/>
    <w:multiLevelType w:val="hybridMultilevel"/>
    <w:tmpl w:val="78D062C6"/>
    <w:lvl w:ilvl="0" w:tplc="15DC05F2">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2407888"/>
    <w:multiLevelType w:val="hybridMultilevel"/>
    <w:tmpl w:val="1DF45E24"/>
    <w:lvl w:ilvl="0" w:tplc="083C42A4">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4265AE2"/>
    <w:multiLevelType w:val="hybridMultilevel"/>
    <w:tmpl w:val="BFFE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84181"/>
    <w:multiLevelType w:val="hybridMultilevel"/>
    <w:tmpl w:val="8850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C3161"/>
    <w:multiLevelType w:val="hybridMultilevel"/>
    <w:tmpl w:val="15663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0367A"/>
    <w:multiLevelType w:val="hybridMultilevel"/>
    <w:tmpl w:val="4622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4EC5A75"/>
    <w:multiLevelType w:val="hybridMultilevel"/>
    <w:tmpl w:val="28C8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80CF2"/>
    <w:multiLevelType w:val="hybridMultilevel"/>
    <w:tmpl w:val="30AA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3255DF"/>
    <w:multiLevelType w:val="hybridMultilevel"/>
    <w:tmpl w:val="0B40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C61424"/>
    <w:multiLevelType w:val="hybridMultilevel"/>
    <w:tmpl w:val="6510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082E17"/>
    <w:multiLevelType w:val="hybridMultilevel"/>
    <w:tmpl w:val="E3B0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393409">
    <w:abstractNumId w:val="27"/>
  </w:num>
  <w:num w:numId="2" w16cid:durableId="1819490912">
    <w:abstractNumId w:val="16"/>
  </w:num>
  <w:num w:numId="3" w16cid:durableId="653950313">
    <w:abstractNumId w:val="2"/>
  </w:num>
  <w:num w:numId="4" w16cid:durableId="1189027171">
    <w:abstractNumId w:val="18"/>
  </w:num>
  <w:num w:numId="5" w16cid:durableId="1769348757">
    <w:abstractNumId w:val="17"/>
  </w:num>
  <w:num w:numId="6" w16cid:durableId="1678925072">
    <w:abstractNumId w:val="22"/>
  </w:num>
  <w:num w:numId="7" w16cid:durableId="17313035">
    <w:abstractNumId w:val="6"/>
  </w:num>
  <w:num w:numId="8" w16cid:durableId="1281573484">
    <w:abstractNumId w:val="21"/>
  </w:num>
  <w:num w:numId="9" w16cid:durableId="1858807865">
    <w:abstractNumId w:val="20"/>
  </w:num>
  <w:num w:numId="10" w16cid:durableId="612060651">
    <w:abstractNumId w:val="15"/>
  </w:num>
  <w:num w:numId="11" w16cid:durableId="1273510036">
    <w:abstractNumId w:val="14"/>
  </w:num>
  <w:num w:numId="12" w16cid:durableId="1690140408">
    <w:abstractNumId w:val="10"/>
  </w:num>
  <w:num w:numId="13" w16cid:durableId="743528714">
    <w:abstractNumId w:val="12"/>
  </w:num>
  <w:num w:numId="14" w16cid:durableId="1718116771">
    <w:abstractNumId w:val="5"/>
  </w:num>
  <w:num w:numId="15" w16cid:durableId="1509056569">
    <w:abstractNumId w:val="25"/>
  </w:num>
  <w:num w:numId="16" w16cid:durableId="173804405">
    <w:abstractNumId w:val="3"/>
  </w:num>
  <w:num w:numId="17" w16cid:durableId="2063284485">
    <w:abstractNumId w:val="24"/>
  </w:num>
  <w:num w:numId="18" w16cid:durableId="695011187">
    <w:abstractNumId w:val="30"/>
  </w:num>
  <w:num w:numId="19" w16cid:durableId="1808862457">
    <w:abstractNumId w:val="19"/>
  </w:num>
  <w:num w:numId="20" w16cid:durableId="1098985062">
    <w:abstractNumId w:val="7"/>
  </w:num>
  <w:num w:numId="21" w16cid:durableId="155461422">
    <w:abstractNumId w:val="9"/>
  </w:num>
  <w:num w:numId="22" w16cid:durableId="1424952656">
    <w:abstractNumId w:val="29"/>
  </w:num>
  <w:num w:numId="23" w16cid:durableId="1871992188">
    <w:abstractNumId w:val="13"/>
  </w:num>
  <w:num w:numId="24" w16cid:durableId="84154129">
    <w:abstractNumId w:val="4"/>
  </w:num>
  <w:num w:numId="25" w16cid:durableId="626815708">
    <w:abstractNumId w:val="0"/>
  </w:num>
  <w:num w:numId="26" w16cid:durableId="916979921">
    <w:abstractNumId w:val="11"/>
  </w:num>
  <w:num w:numId="27" w16cid:durableId="1733036932">
    <w:abstractNumId w:val="26"/>
  </w:num>
  <w:num w:numId="28" w16cid:durableId="1557933813">
    <w:abstractNumId w:val="31"/>
  </w:num>
  <w:num w:numId="29" w16cid:durableId="563876041">
    <w:abstractNumId w:val="32"/>
  </w:num>
  <w:num w:numId="30" w16cid:durableId="619261388">
    <w:abstractNumId w:val="28"/>
  </w:num>
  <w:num w:numId="31" w16cid:durableId="920404538">
    <w:abstractNumId w:val="8"/>
  </w:num>
  <w:num w:numId="32" w16cid:durableId="2127499290">
    <w:abstractNumId w:val="1"/>
  </w:num>
  <w:num w:numId="33" w16cid:durableId="956987231">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528E"/>
    <w:rsid w:val="00046FC1"/>
    <w:rsid w:val="00047288"/>
    <w:rsid w:val="000510BB"/>
    <w:rsid w:val="00051336"/>
    <w:rsid w:val="00055C65"/>
    <w:rsid w:val="00056533"/>
    <w:rsid w:val="000567E2"/>
    <w:rsid w:val="000606F6"/>
    <w:rsid w:val="000620B0"/>
    <w:rsid w:val="000624B2"/>
    <w:rsid w:val="00065C6B"/>
    <w:rsid w:val="000717B5"/>
    <w:rsid w:val="00074C8C"/>
    <w:rsid w:val="00080091"/>
    <w:rsid w:val="00080783"/>
    <w:rsid w:val="00082668"/>
    <w:rsid w:val="00087B46"/>
    <w:rsid w:val="00087F57"/>
    <w:rsid w:val="00091BB2"/>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77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5EBC"/>
    <w:rsid w:val="000F6641"/>
    <w:rsid w:val="000F7364"/>
    <w:rsid w:val="0010030D"/>
    <w:rsid w:val="00100E48"/>
    <w:rsid w:val="00102117"/>
    <w:rsid w:val="001027B0"/>
    <w:rsid w:val="00102C35"/>
    <w:rsid w:val="00102F13"/>
    <w:rsid w:val="001041F9"/>
    <w:rsid w:val="00104487"/>
    <w:rsid w:val="00105131"/>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0C2"/>
    <w:rsid w:val="00130DAE"/>
    <w:rsid w:val="00131C61"/>
    <w:rsid w:val="00132747"/>
    <w:rsid w:val="001328E8"/>
    <w:rsid w:val="00134C0F"/>
    <w:rsid w:val="001352CE"/>
    <w:rsid w:val="00136EC0"/>
    <w:rsid w:val="0014229B"/>
    <w:rsid w:val="00142EA4"/>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2F9E"/>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41E3"/>
    <w:rsid w:val="001F50FF"/>
    <w:rsid w:val="001F5C0B"/>
    <w:rsid w:val="001F635A"/>
    <w:rsid w:val="00201B4B"/>
    <w:rsid w:val="00202677"/>
    <w:rsid w:val="0020404D"/>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11AC"/>
    <w:rsid w:val="00291C51"/>
    <w:rsid w:val="0029265C"/>
    <w:rsid w:val="00296326"/>
    <w:rsid w:val="002A0C00"/>
    <w:rsid w:val="002A2040"/>
    <w:rsid w:val="002A3C43"/>
    <w:rsid w:val="002A43B2"/>
    <w:rsid w:val="002A4D4B"/>
    <w:rsid w:val="002B016F"/>
    <w:rsid w:val="002B0F16"/>
    <w:rsid w:val="002B6711"/>
    <w:rsid w:val="002B7AD5"/>
    <w:rsid w:val="002C20A7"/>
    <w:rsid w:val="002C220B"/>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18FC"/>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150D"/>
    <w:rsid w:val="00375887"/>
    <w:rsid w:val="00375B19"/>
    <w:rsid w:val="00375EB1"/>
    <w:rsid w:val="0037681B"/>
    <w:rsid w:val="00380EDD"/>
    <w:rsid w:val="00382ADF"/>
    <w:rsid w:val="00382B82"/>
    <w:rsid w:val="00383051"/>
    <w:rsid w:val="003836AD"/>
    <w:rsid w:val="00384617"/>
    <w:rsid w:val="00384699"/>
    <w:rsid w:val="003850D8"/>
    <w:rsid w:val="00385976"/>
    <w:rsid w:val="00387404"/>
    <w:rsid w:val="00387BB2"/>
    <w:rsid w:val="0039018A"/>
    <w:rsid w:val="003909B6"/>
    <w:rsid w:val="003911EB"/>
    <w:rsid w:val="003932D7"/>
    <w:rsid w:val="00393B37"/>
    <w:rsid w:val="00394245"/>
    <w:rsid w:val="003954ED"/>
    <w:rsid w:val="00395526"/>
    <w:rsid w:val="0039600B"/>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E89"/>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59CE"/>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72D3"/>
    <w:rsid w:val="004720FB"/>
    <w:rsid w:val="004721B9"/>
    <w:rsid w:val="00472C4A"/>
    <w:rsid w:val="00472C64"/>
    <w:rsid w:val="0047375D"/>
    <w:rsid w:val="004749B4"/>
    <w:rsid w:val="00475044"/>
    <w:rsid w:val="00475327"/>
    <w:rsid w:val="00475594"/>
    <w:rsid w:val="00480C32"/>
    <w:rsid w:val="00482C00"/>
    <w:rsid w:val="00483FE0"/>
    <w:rsid w:val="004843E1"/>
    <w:rsid w:val="0048631B"/>
    <w:rsid w:val="00487590"/>
    <w:rsid w:val="00490625"/>
    <w:rsid w:val="00490DFF"/>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280"/>
    <w:rsid w:val="004C69B5"/>
    <w:rsid w:val="004C6B7F"/>
    <w:rsid w:val="004D04B1"/>
    <w:rsid w:val="004D18F0"/>
    <w:rsid w:val="004D36A1"/>
    <w:rsid w:val="004D5CF7"/>
    <w:rsid w:val="004D7474"/>
    <w:rsid w:val="004E018D"/>
    <w:rsid w:val="004E1A6F"/>
    <w:rsid w:val="004E22B8"/>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7D2"/>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4B9"/>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1142"/>
    <w:rsid w:val="005621A9"/>
    <w:rsid w:val="00562D6D"/>
    <w:rsid w:val="00562E85"/>
    <w:rsid w:val="00563A69"/>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5F0C"/>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D1"/>
    <w:rsid w:val="005C15E4"/>
    <w:rsid w:val="005C1B60"/>
    <w:rsid w:val="005C1C4B"/>
    <w:rsid w:val="005C1D5D"/>
    <w:rsid w:val="005C31A9"/>
    <w:rsid w:val="005C4CDA"/>
    <w:rsid w:val="005C4CE7"/>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1E1"/>
    <w:rsid w:val="00626EF8"/>
    <w:rsid w:val="006272AA"/>
    <w:rsid w:val="00631F57"/>
    <w:rsid w:val="006345D9"/>
    <w:rsid w:val="00642DEE"/>
    <w:rsid w:val="0064371A"/>
    <w:rsid w:val="00643EBF"/>
    <w:rsid w:val="0064440E"/>
    <w:rsid w:val="0064490A"/>
    <w:rsid w:val="00645074"/>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49AE"/>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00A"/>
    <w:rsid w:val="00706B0C"/>
    <w:rsid w:val="00706F04"/>
    <w:rsid w:val="0071279C"/>
    <w:rsid w:val="00713C7B"/>
    <w:rsid w:val="00714C42"/>
    <w:rsid w:val="007151DC"/>
    <w:rsid w:val="00715759"/>
    <w:rsid w:val="007169F5"/>
    <w:rsid w:val="00720933"/>
    <w:rsid w:val="0072109B"/>
    <w:rsid w:val="007211A0"/>
    <w:rsid w:val="00721934"/>
    <w:rsid w:val="0072396F"/>
    <w:rsid w:val="00723DE9"/>
    <w:rsid w:val="0072548D"/>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4916"/>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95611"/>
    <w:rsid w:val="007A14BB"/>
    <w:rsid w:val="007A17AE"/>
    <w:rsid w:val="007A23C7"/>
    <w:rsid w:val="007A51F8"/>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0E9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039"/>
    <w:rsid w:val="00873E0E"/>
    <w:rsid w:val="0087447C"/>
    <w:rsid w:val="00877C91"/>
    <w:rsid w:val="008800F3"/>
    <w:rsid w:val="0088180D"/>
    <w:rsid w:val="00883F81"/>
    <w:rsid w:val="0088440A"/>
    <w:rsid w:val="00890B05"/>
    <w:rsid w:val="0089113B"/>
    <w:rsid w:val="00892056"/>
    <w:rsid w:val="00894151"/>
    <w:rsid w:val="00894E04"/>
    <w:rsid w:val="0089581D"/>
    <w:rsid w:val="008A1B52"/>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06E3E"/>
    <w:rsid w:val="00911CD5"/>
    <w:rsid w:val="00911DDE"/>
    <w:rsid w:val="00912426"/>
    <w:rsid w:val="00914021"/>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2A58"/>
    <w:rsid w:val="00943A32"/>
    <w:rsid w:val="009442B9"/>
    <w:rsid w:val="009456B7"/>
    <w:rsid w:val="00945961"/>
    <w:rsid w:val="00945D10"/>
    <w:rsid w:val="009475B4"/>
    <w:rsid w:val="00947A2A"/>
    <w:rsid w:val="0095175C"/>
    <w:rsid w:val="0095285E"/>
    <w:rsid w:val="00952DFC"/>
    <w:rsid w:val="009530AA"/>
    <w:rsid w:val="00953821"/>
    <w:rsid w:val="009541D2"/>
    <w:rsid w:val="00956989"/>
    <w:rsid w:val="0096000D"/>
    <w:rsid w:val="00960197"/>
    <w:rsid w:val="00963B18"/>
    <w:rsid w:val="00964BB2"/>
    <w:rsid w:val="00965A1D"/>
    <w:rsid w:val="00965E82"/>
    <w:rsid w:val="009703BF"/>
    <w:rsid w:val="00971417"/>
    <w:rsid w:val="00972DC9"/>
    <w:rsid w:val="00977AA4"/>
    <w:rsid w:val="00981ACB"/>
    <w:rsid w:val="00982289"/>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1ACC"/>
    <w:rsid w:val="009C2278"/>
    <w:rsid w:val="009C4014"/>
    <w:rsid w:val="009C711B"/>
    <w:rsid w:val="009C72C0"/>
    <w:rsid w:val="009D0D60"/>
    <w:rsid w:val="009D1421"/>
    <w:rsid w:val="009D1A1B"/>
    <w:rsid w:val="009D3506"/>
    <w:rsid w:val="009D5855"/>
    <w:rsid w:val="009D5B5A"/>
    <w:rsid w:val="009D5EE6"/>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0522"/>
    <w:rsid w:val="00A12373"/>
    <w:rsid w:val="00A12919"/>
    <w:rsid w:val="00A12F1B"/>
    <w:rsid w:val="00A138F2"/>
    <w:rsid w:val="00A15691"/>
    <w:rsid w:val="00A15ED2"/>
    <w:rsid w:val="00A16395"/>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26F7"/>
    <w:rsid w:val="00A460CB"/>
    <w:rsid w:val="00A463D8"/>
    <w:rsid w:val="00A47696"/>
    <w:rsid w:val="00A505FC"/>
    <w:rsid w:val="00A50774"/>
    <w:rsid w:val="00A547CF"/>
    <w:rsid w:val="00A54B4B"/>
    <w:rsid w:val="00A57973"/>
    <w:rsid w:val="00A61CB9"/>
    <w:rsid w:val="00A6540D"/>
    <w:rsid w:val="00A666B6"/>
    <w:rsid w:val="00A66BD1"/>
    <w:rsid w:val="00A70E34"/>
    <w:rsid w:val="00A7126A"/>
    <w:rsid w:val="00A722BA"/>
    <w:rsid w:val="00A7242F"/>
    <w:rsid w:val="00A74C4C"/>
    <w:rsid w:val="00A7597D"/>
    <w:rsid w:val="00A76EE6"/>
    <w:rsid w:val="00A77118"/>
    <w:rsid w:val="00A778BC"/>
    <w:rsid w:val="00A81963"/>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4717"/>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0D4"/>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9D4"/>
    <w:rsid w:val="00B80F1E"/>
    <w:rsid w:val="00B81BF1"/>
    <w:rsid w:val="00B81F83"/>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893"/>
    <w:rsid w:val="00BB2368"/>
    <w:rsid w:val="00BB3986"/>
    <w:rsid w:val="00BB43D1"/>
    <w:rsid w:val="00BB5571"/>
    <w:rsid w:val="00BB6A69"/>
    <w:rsid w:val="00BB7263"/>
    <w:rsid w:val="00BB7CCC"/>
    <w:rsid w:val="00BB7E8D"/>
    <w:rsid w:val="00BC018F"/>
    <w:rsid w:val="00BC061C"/>
    <w:rsid w:val="00BC0C77"/>
    <w:rsid w:val="00BC25E5"/>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DBD"/>
    <w:rsid w:val="00C216B4"/>
    <w:rsid w:val="00C229E5"/>
    <w:rsid w:val="00C2487B"/>
    <w:rsid w:val="00C24AC9"/>
    <w:rsid w:val="00C25C47"/>
    <w:rsid w:val="00C25CDC"/>
    <w:rsid w:val="00C25D1F"/>
    <w:rsid w:val="00C2612C"/>
    <w:rsid w:val="00C26F48"/>
    <w:rsid w:val="00C278D5"/>
    <w:rsid w:val="00C31BBE"/>
    <w:rsid w:val="00C3554B"/>
    <w:rsid w:val="00C403A1"/>
    <w:rsid w:val="00C40B63"/>
    <w:rsid w:val="00C40B7C"/>
    <w:rsid w:val="00C411B8"/>
    <w:rsid w:val="00C42199"/>
    <w:rsid w:val="00C4505C"/>
    <w:rsid w:val="00C50E27"/>
    <w:rsid w:val="00C51A46"/>
    <w:rsid w:val="00C53416"/>
    <w:rsid w:val="00C5369D"/>
    <w:rsid w:val="00C54B21"/>
    <w:rsid w:val="00C552FF"/>
    <w:rsid w:val="00C55900"/>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3136"/>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731B"/>
    <w:rsid w:val="00CC0F01"/>
    <w:rsid w:val="00CC1340"/>
    <w:rsid w:val="00CC5483"/>
    <w:rsid w:val="00CC5B49"/>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30B9"/>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27DAA"/>
    <w:rsid w:val="00D31F35"/>
    <w:rsid w:val="00D322FF"/>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4218"/>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458F"/>
    <w:rsid w:val="00D86082"/>
    <w:rsid w:val="00D87076"/>
    <w:rsid w:val="00D92D28"/>
    <w:rsid w:val="00D9522E"/>
    <w:rsid w:val="00D96E4C"/>
    <w:rsid w:val="00D9706D"/>
    <w:rsid w:val="00D97B1C"/>
    <w:rsid w:val="00DA1774"/>
    <w:rsid w:val="00DA3947"/>
    <w:rsid w:val="00DA4E5D"/>
    <w:rsid w:val="00DA5D36"/>
    <w:rsid w:val="00DA5DA0"/>
    <w:rsid w:val="00DA60B5"/>
    <w:rsid w:val="00DA7599"/>
    <w:rsid w:val="00DA75AC"/>
    <w:rsid w:val="00DB0DCD"/>
    <w:rsid w:val="00DB249A"/>
    <w:rsid w:val="00DB26CF"/>
    <w:rsid w:val="00DB3EB8"/>
    <w:rsid w:val="00DB5BF1"/>
    <w:rsid w:val="00DB726C"/>
    <w:rsid w:val="00DC0D22"/>
    <w:rsid w:val="00DC35DD"/>
    <w:rsid w:val="00DC43B4"/>
    <w:rsid w:val="00DC53FB"/>
    <w:rsid w:val="00DC6B61"/>
    <w:rsid w:val="00DC75B6"/>
    <w:rsid w:val="00DC7839"/>
    <w:rsid w:val="00DC7D97"/>
    <w:rsid w:val="00DC7ED7"/>
    <w:rsid w:val="00DD247A"/>
    <w:rsid w:val="00DD37FD"/>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3F9F"/>
    <w:rsid w:val="00DF569C"/>
    <w:rsid w:val="00DF61F0"/>
    <w:rsid w:val="00DF73DB"/>
    <w:rsid w:val="00DF7667"/>
    <w:rsid w:val="00E046BE"/>
    <w:rsid w:val="00E0759D"/>
    <w:rsid w:val="00E145A1"/>
    <w:rsid w:val="00E14F08"/>
    <w:rsid w:val="00E15544"/>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611"/>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288F"/>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39E7"/>
    <w:rsid w:val="00F0450F"/>
    <w:rsid w:val="00F06B44"/>
    <w:rsid w:val="00F07361"/>
    <w:rsid w:val="00F07DC1"/>
    <w:rsid w:val="00F12615"/>
    <w:rsid w:val="00F14301"/>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384"/>
    <w:rsid w:val="00F72A70"/>
    <w:rsid w:val="00F73BBC"/>
    <w:rsid w:val="00F73BDF"/>
    <w:rsid w:val="00F75296"/>
    <w:rsid w:val="00F757CD"/>
    <w:rsid w:val="00F761A9"/>
    <w:rsid w:val="00F77170"/>
    <w:rsid w:val="00F77BCB"/>
    <w:rsid w:val="00F84274"/>
    <w:rsid w:val="00F847EB"/>
    <w:rsid w:val="00F857F5"/>
    <w:rsid w:val="00F86A72"/>
    <w:rsid w:val="00F87577"/>
    <w:rsid w:val="00F8771F"/>
    <w:rsid w:val="00F878D7"/>
    <w:rsid w:val="00F901F7"/>
    <w:rsid w:val="00F91ADA"/>
    <w:rsid w:val="00F91D22"/>
    <w:rsid w:val="00F93E08"/>
    <w:rsid w:val="00F975D5"/>
    <w:rsid w:val="00FA1E7A"/>
    <w:rsid w:val="00FA61B0"/>
    <w:rsid w:val="00FA6D88"/>
    <w:rsid w:val="00FA7639"/>
    <w:rsid w:val="00FB478D"/>
    <w:rsid w:val="00FB7004"/>
    <w:rsid w:val="00FB7C50"/>
    <w:rsid w:val="00FB7E88"/>
    <w:rsid w:val="00FC3F44"/>
    <w:rsid w:val="00FC48D2"/>
    <w:rsid w:val="00FC6696"/>
    <w:rsid w:val="00FC781B"/>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091BB2"/>
    <w:pPr>
      <w:numPr>
        <w:numId w:val="6"/>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91BB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1F41E3"/>
    <w:pPr>
      <w:spacing w:before="200"/>
      <w:jc w:val="both"/>
    </w:pPr>
    <w:rPr>
      <w:rFonts w:asciiTheme="minorHAnsi" w:hAnsiTheme="minorHAnsi" w:cstheme="minorBidi"/>
    </w:rPr>
  </w:style>
  <w:style w:type="character" w:customStyle="1" w:styleId="TNCBodyTextChar">
    <w:name w:val="TNC Body Text Char"/>
    <w:basedOn w:val="DefaultParagraphFont"/>
    <w:link w:val="TNCBodyText"/>
    <w:rsid w:val="001F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81029414">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61652395">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48259219">
      <w:bodyDiv w:val="1"/>
      <w:marLeft w:val="0"/>
      <w:marRight w:val="0"/>
      <w:marTop w:val="0"/>
      <w:marBottom w:val="0"/>
      <w:divBdr>
        <w:top w:val="none" w:sz="0" w:space="0" w:color="auto"/>
        <w:left w:val="none" w:sz="0" w:space="0" w:color="auto"/>
        <w:bottom w:val="none" w:sz="0" w:space="0" w:color="auto"/>
        <w:right w:val="none" w:sz="0" w:space="0" w:color="auto"/>
      </w:divBdr>
    </w:div>
    <w:div w:id="1772699968">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EEECE1"/>
      </a:lt2>
      <a:accent1>
        <a:srgbClr val="004251"/>
      </a:accent1>
      <a:accent2>
        <a:srgbClr val="347186"/>
      </a:accent2>
      <a:accent3>
        <a:srgbClr val="7C7777"/>
      </a:accent3>
      <a:accent4>
        <a:srgbClr val="BABABC"/>
      </a:accent4>
      <a:accent5>
        <a:srgbClr val="FFD006"/>
      </a:accent5>
      <a:accent6>
        <a:srgbClr val="FF6600"/>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2025-02-26T14:29:00Z</cp:lastPrinted>
  <dcterms:created xsi:type="dcterms:W3CDTF">2025-03-04T09:46:00Z</dcterms:created>
  <dcterms:modified xsi:type="dcterms:W3CDTF">2025-03-07T09:06:00Z</dcterms:modified>
</cp:coreProperties>
</file>