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47F3DE" w14:textId="01D9D75B" w:rsidR="007C685E" w:rsidRDefault="002806F2" w:rsidP="006C12C0">
      <w:pPr>
        <w:jc w:val="center"/>
        <w:rPr>
          <w:rFonts w:eastAsiaTheme="majorEastAsia" w:cs="Arial"/>
          <w:b/>
          <w:color w:val="FF6900"/>
          <w:sz w:val="72"/>
          <w:szCs w:val="72"/>
          <w:u w:val="single" w:color="FFD006"/>
          <w:lang w:eastAsia="ja-JP"/>
        </w:rPr>
      </w:pPr>
      <w:r w:rsidRPr="002806F2">
        <w:rPr>
          <w:rFonts w:eastAsiaTheme="majorEastAsia" w:cs="Arial"/>
          <w:bCs/>
          <w:noProof/>
          <w:color w:val="FF6900"/>
          <w:sz w:val="72"/>
          <w:szCs w:val="72"/>
          <w:lang w:eastAsia="ja-JP"/>
        </w:rPr>
        <w:drawing>
          <wp:inline distT="0" distB="0" distL="0" distR="0" wp14:anchorId="1D2771D6" wp14:editId="06951F91">
            <wp:extent cx="5731510" cy="1845310"/>
            <wp:effectExtent l="0" t="0" r="2540" b="2540"/>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845310"/>
                    </a:xfrm>
                    <a:prstGeom prst="rect">
                      <a:avLst/>
                    </a:prstGeom>
                  </pic:spPr>
                </pic:pic>
              </a:graphicData>
            </a:graphic>
          </wp:inline>
        </w:drawing>
      </w:r>
    </w:p>
    <w:p w14:paraId="3D2113AE" w14:textId="77777777" w:rsidR="00A23725" w:rsidRDefault="00A23725" w:rsidP="002806F2">
      <w:pPr>
        <w:rPr>
          <w:rFonts w:eastAsiaTheme="majorEastAsia" w:cs="Arial"/>
          <w:color w:val="000000" w:themeColor="text1"/>
          <w:sz w:val="72"/>
          <w:szCs w:val="72"/>
          <w:lang w:eastAsia="ja-JP"/>
        </w:rPr>
      </w:pPr>
    </w:p>
    <w:p w14:paraId="55C48F61" w14:textId="21E8C48F" w:rsidR="00A23725" w:rsidRDefault="003B10C5" w:rsidP="006C12C0">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 xml:space="preserve">Strike Action </w:t>
      </w:r>
      <w:r w:rsidR="00E348E5">
        <w:rPr>
          <w:rFonts w:eastAsiaTheme="majorEastAsia" w:cs="Arial"/>
          <w:color w:val="000000" w:themeColor="text1"/>
          <w:sz w:val="72"/>
          <w:szCs w:val="80"/>
          <w:lang w:val="en-US" w:eastAsia="ja-JP"/>
        </w:rPr>
        <w:t>Policy</w:t>
      </w:r>
    </w:p>
    <w:p w14:paraId="79C97557" w14:textId="4BA24698" w:rsidR="002806F2" w:rsidRDefault="002806F2" w:rsidP="006C12C0">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w:t>
      </w:r>
      <w:r w:rsidR="00D25954">
        <w:rPr>
          <w:rFonts w:eastAsiaTheme="majorEastAsia" w:cs="Arial"/>
          <w:color w:val="000000" w:themeColor="text1"/>
          <w:sz w:val="72"/>
          <w:szCs w:val="80"/>
          <w:lang w:val="en-US" w:eastAsia="ja-JP"/>
        </w:rPr>
        <w:t>HR2</w:t>
      </w:r>
      <w:r w:rsidR="000403A2">
        <w:rPr>
          <w:rFonts w:eastAsiaTheme="majorEastAsia" w:cs="Arial"/>
          <w:color w:val="000000" w:themeColor="text1"/>
          <w:sz w:val="72"/>
          <w:szCs w:val="80"/>
          <w:lang w:val="en-US" w:eastAsia="ja-JP"/>
        </w:rPr>
        <w:t>9</w:t>
      </w:r>
    </w:p>
    <w:p w14:paraId="64730BD0" w14:textId="2C990980" w:rsidR="00824FDF" w:rsidRDefault="00824FDF" w:rsidP="006C12C0">
      <w:pPr>
        <w:jc w:val="center"/>
        <w:rPr>
          <w:rFonts w:eastAsiaTheme="majorEastAsia" w:cs="Arial"/>
          <w:color w:val="000000" w:themeColor="text1"/>
          <w:sz w:val="72"/>
          <w:szCs w:val="80"/>
          <w:lang w:val="en-US" w:eastAsia="ja-JP"/>
        </w:rPr>
      </w:pPr>
    </w:p>
    <w:p w14:paraId="4F395AB3" w14:textId="43516827" w:rsidR="009D180E" w:rsidRPr="003115BD" w:rsidRDefault="002806F2" w:rsidP="003115BD">
      <w:pPr>
        <w:spacing w:before="0"/>
        <w:jc w:val="left"/>
        <w:rPr>
          <w:b/>
          <w:bCs/>
          <w:sz w:val="32"/>
          <w:szCs w:val="32"/>
        </w:rPr>
        <w:sectPr w:rsidR="009D180E" w:rsidRPr="003115BD" w:rsidSect="000354B9">
          <w:headerReference w:type="even" r:id="rId9"/>
          <w:headerReference w:type="default" r:id="rId10"/>
          <w:footerReference w:type="default" r:id="rId11"/>
          <w:headerReference w:type="first" r:id="rId12"/>
          <w:pgSz w:w="11906" w:h="16838"/>
          <w:pgMar w:top="1440" w:right="1440" w:bottom="1440" w:left="1440" w:header="564" w:footer="708" w:gutter="0"/>
          <w:pgBorders w:offsetFrom="page">
            <w:top w:val="single" w:sz="36" w:space="24" w:color="347186"/>
            <w:left w:val="single" w:sz="36" w:space="24" w:color="347186"/>
            <w:bottom w:val="single" w:sz="36" w:space="24" w:color="347186"/>
            <w:right w:val="single" w:sz="36" w:space="24" w:color="347186"/>
          </w:pgBorders>
          <w:cols w:space="708"/>
          <w:docGrid w:linePitch="360"/>
        </w:sectPr>
      </w:pPr>
      <w:r w:rsidRPr="00000162">
        <w:rPr>
          <w:rFonts w:cs="Arial"/>
          <w:b/>
          <w:noProof/>
          <w:sz w:val="28"/>
          <w:szCs w:val="28"/>
          <w:lang w:eastAsia="en-GB"/>
        </w:rPr>
        <mc:AlternateContent>
          <mc:Choice Requires="wps">
            <w:drawing>
              <wp:anchor distT="45720" distB="45720" distL="114300" distR="114300" simplePos="0" relativeHeight="251659264" behindDoc="0" locked="0" layoutInCell="1" allowOverlap="1" wp14:anchorId="7AD78B55" wp14:editId="6DD2C0D5">
                <wp:simplePos x="0" y="0"/>
                <wp:positionH relativeFrom="margin">
                  <wp:posOffset>-236220</wp:posOffset>
                </wp:positionH>
                <wp:positionV relativeFrom="paragraph">
                  <wp:posOffset>2967990</wp:posOffset>
                </wp:positionV>
                <wp:extent cx="2179320" cy="78486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320" cy="784860"/>
                        </a:xfrm>
                        <a:prstGeom prst="rect">
                          <a:avLst/>
                        </a:prstGeom>
                        <a:solidFill>
                          <a:srgbClr val="FFFFFF"/>
                        </a:solidFill>
                        <a:ln w="9525">
                          <a:noFill/>
                          <a:miter lim="800000"/>
                          <a:headEnd/>
                          <a:tailEnd/>
                        </a:ln>
                      </wps:spPr>
                      <wps:txbx>
                        <w:txbxContent>
                          <w:p w14:paraId="3C680812" w14:textId="00462768" w:rsidR="002806F2" w:rsidRDefault="002806F2" w:rsidP="002806F2">
                            <w:pPr>
                              <w:pBdr>
                                <w:top w:val="single" w:sz="4" w:space="1" w:color="auto"/>
                                <w:left w:val="single" w:sz="4" w:space="4" w:color="auto"/>
                                <w:bottom w:val="single" w:sz="4" w:space="1" w:color="auto"/>
                                <w:right w:val="single" w:sz="4" w:space="4" w:color="auto"/>
                              </w:pBdr>
                              <w:rPr>
                                <w:rFonts w:cs="Arial"/>
                                <w:sz w:val="20"/>
                              </w:rPr>
                            </w:pPr>
                            <w:r w:rsidRPr="00000162">
                              <w:rPr>
                                <w:rFonts w:cs="Arial"/>
                                <w:sz w:val="20"/>
                              </w:rPr>
                              <w:t xml:space="preserve">Last updated: </w:t>
                            </w:r>
                            <w:r w:rsidR="001876C5">
                              <w:rPr>
                                <w:rFonts w:cs="Arial"/>
                                <w:sz w:val="20"/>
                              </w:rPr>
                              <w:t>31</w:t>
                            </w:r>
                            <w:r>
                              <w:rPr>
                                <w:rFonts w:cs="Arial"/>
                                <w:sz w:val="20"/>
                              </w:rPr>
                              <w:t xml:space="preserve"> </w:t>
                            </w:r>
                            <w:r w:rsidR="006C5802">
                              <w:rPr>
                                <w:rFonts w:cs="Arial"/>
                                <w:sz w:val="20"/>
                              </w:rPr>
                              <w:t>J</w:t>
                            </w:r>
                            <w:r w:rsidR="001876C5">
                              <w:rPr>
                                <w:rFonts w:cs="Arial"/>
                                <w:sz w:val="20"/>
                              </w:rPr>
                              <w:t>uly</w:t>
                            </w:r>
                            <w:r>
                              <w:rPr>
                                <w:rFonts w:cs="Arial"/>
                                <w:sz w:val="20"/>
                              </w:rPr>
                              <w:t xml:space="preserve"> 202</w:t>
                            </w:r>
                            <w:r w:rsidR="006C5802">
                              <w:rPr>
                                <w:rFonts w:cs="Arial"/>
                                <w:sz w:val="20"/>
                              </w:rPr>
                              <w:t>4</w:t>
                            </w:r>
                          </w:p>
                          <w:p w14:paraId="7E0A61B8" w14:textId="40219006" w:rsidR="002806F2" w:rsidRPr="00000162" w:rsidRDefault="002806F2" w:rsidP="002806F2">
                            <w:pPr>
                              <w:pBdr>
                                <w:top w:val="single" w:sz="4" w:space="1" w:color="auto"/>
                                <w:left w:val="single" w:sz="4" w:space="4" w:color="auto"/>
                                <w:bottom w:val="single" w:sz="4" w:space="1" w:color="auto"/>
                                <w:right w:val="single" w:sz="4" w:space="4" w:color="auto"/>
                              </w:pBdr>
                              <w:rPr>
                                <w:rFonts w:cs="Arial"/>
                                <w:sz w:val="20"/>
                              </w:rPr>
                            </w:pPr>
                            <w:r>
                              <w:rPr>
                                <w:rFonts w:cs="Arial"/>
                                <w:sz w:val="20"/>
                              </w:rPr>
                              <w:t>Review Date: 31 August 202</w:t>
                            </w:r>
                            <w:r w:rsidR="001876C5">
                              <w:rPr>
                                <w:rFonts w:cs="Arial"/>
                                <w:sz w:val="20"/>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D78B55" id="_x0000_t202" coordsize="21600,21600" o:spt="202" path="m,l,21600r21600,l21600,xe">
                <v:stroke joinstyle="miter"/>
                <v:path gradientshapeok="t" o:connecttype="rect"/>
              </v:shapetype>
              <v:shape id="Text Box 2" o:spid="_x0000_s1026" type="#_x0000_t202" style="position:absolute;margin-left:-18.6pt;margin-top:233.7pt;width:171.6pt;height:61.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BuDQIAAPYDAAAOAAAAZHJzL2Uyb0RvYy54bWysU9tu2zAMfR+wfxD0vjjJkiYx4hRdugwD&#10;ugvQ7QNkWY6FyaJGKbGzry8lp2nQvQ3Tg0CK1BF5eLS+7VvDjgq9BlvwyWjMmbISKm33Bf/5Y/du&#10;yZkPwlbCgFUFPynPbzdv36w7l6spNGAqhYxArM87V/AmBJdnmZeNaoUfgVOWgjVgKwK5uM8qFB2h&#10;tyabjsc3WQdYOQSpvKfT+yHINwm/rpUM3+raq8BMwam2kHZMexn3bLMW+R6Fa7Q8lyH+oYpWaEuP&#10;XqDuRRDsgPovqFZLBA91GEloM6hrLVXqgbqZjF9189gIp1IvRI53F5r8/4OVX4+P7juy0H+AngaY&#10;mvDuAeQvzyxsG2H36g4RukaJih6eRMqyzvn8fDVS7XMfQcruC1Q0ZHEIkID6GtvICvXJCJ0GcLqQ&#10;rvrAJB1OJ4vV+ymFJMUWy9nyJk0lE/nzbYc+fFLQsmgUHGmoCV0cH3yI1Yj8OSU+5sHoaqeNSQ7u&#10;y61BdhQkgF1aqYFXacayruCr+XSekC3E+0kbrQ4kUKPbgi/HcQ2SiWx8tFVKCUKbwaZKjD3TExkZ&#10;uAl92VNipKmE6kREIQxCpI9DRgP4h7OORFhw//sgUHFmPlsiezWZzaJqkzObLyJNeB0pryPCSoIq&#10;eOBsMLchKT3yYOGOhlLrxNdLJedaSVyJxvNHiOq99lPWy3fdPAEAAP//AwBQSwMEFAAGAAgAAAAh&#10;AJee86HgAAAACwEAAA8AAABkcnMvZG93bnJldi54bWxMj0FuwjAQRfeVegdrkLqpwAFCUtJMUFup&#10;VbdQDuDEQxIR21FsSLh9p6uyHM3T/+/nu8l04kqDb51FWC4iEGQrp1tbIxx/PucvIHxQVqvOWUK4&#10;kYdd8fiQq0y70e7pegi14BDrM4XQhNBnUvqqIaP8wvVk+Xdyg1GBz6GWelAjh5tOrqIokUa1lhsa&#10;1dNHQ9X5cDEIp+/xebMdy69wTPdx8q7atHQ3xKfZ9PYKItAU/mH402d1KNipdBervegQ5ut0xShC&#10;nKQxCCbWUcLrSoTNdhmBLHJ5v6H4BQAA//8DAFBLAQItABQABgAIAAAAIQC2gziS/gAAAOEBAAAT&#10;AAAAAAAAAAAAAAAAAAAAAABbQ29udGVudF9UeXBlc10ueG1sUEsBAi0AFAAGAAgAAAAhADj9If/W&#10;AAAAlAEAAAsAAAAAAAAAAAAAAAAALwEAAF9yZWxzLy5yZWxzUEsBAi0AFAAGAAgAAAAhAOI6IG4N&#10;AgAA9gMAAA4AAAAAAAAAAAAAAAAALgIAAGRycy9lMm9Eb2MueG1sUEsBAi0AFAAGAAgAAAAhAJee&#10;86HgAAAACwEAAA8AAAAAAAAAAAAAAAAAZwQAAGRycy9kb3ducmV2LnhtbFBLBQYAAAAABAAEAPMA&#10;AAB0BQAAAAA=&#10;" stroked="f">
                <v:textbox>
                  <w:txbxContent>
                    <w:p w14:paraId="3C680812" w14:textId="00462768" w:rsidR="002806F2" w:rsidRDefault="002806F2" w:rsidP="002806F2">
                      <w:pPr>
                        <w:pBdr>
                          <w:top w:val="single" w:sz="4" w:space="1" w:color="auto"/>
                          <w:left w:val="single" w:sz="4" w:space="4" w:color="auto"/>
                          <w:bottom w:val="single" w:sz="4" w:space="1" w:color="auto"/>
                          <w:right w:val="single" w:sz="4" w:space="4" w:color="auto"/>
                        </w:pBdr>
                        <w:rPr>
                          <w:rFonts w:cs="Arial"/>
                          <w:sz w:val="20"/>
                        </w:rPr>
                      </w:pPr>
                      <w:r w:rsidRPr="00000162">
                        <w:rPr>
                          <w:rFonts w:cs="Arial"/>
                          <w:sz w:val="20"/>
                        </w:rPr>
                        <w:t xml:space="preserve">Last updated: </w:t>
                      </w:r>
                      <w:r w:rsidR="001876C5">
                        <w:rPr>
                          <w:rFonts w:cs="Arial"/>
                          <w:sz w:val="20"/>
                        </w:rPr>
                        <w:t>31</w:t>
                      </w:r>
                      <w:r>
                        <w:rPr>
                          <w:rFonts w:cs="Arial"/>
                          <w:sz w:val="20"/>
                        </w:rPr>
                        <w:t xml:space="preserve"> </w:t>
                      </w:r>
                      <w:r w:rsidR="006C5802">
                        <w:rPr>
                          <w:rFonts w:cs="Arial"/>
                          <w:sz w:val="20"/>
                        </w:rPr>
                        <w:t>J</w:t>
                      </w:r>
                      <w:r w:rsidR="001876C5">
                        <w:rPr>
                          <w:rFonts w:cs="Arial"/>
                          <w:sz w:val="20"/>
                        </w:rPr>
                        <w:t>uly</w:t>
                      </w:r>
                      <w:r>
                        <w:rPr>
                          <w:rFonts w:cs="Arial"/>
                          <w:sz w:val="20"/>
                        </w:rPr>
                        <w:t xml:space="preserve"> 202</w:t>
                      </w:r>
                      <w:r w:rsidR="006C5802">
                        <w:rPr>
                          <w:rFonts w:cs="Arial"/>
                          <w:sz w:val="20"/>
                        </w:rPr>
                        <w:t>4</w:t>
                      </w:r>
                    </w:p>
                    <w:p w14:paraId="7E0A61B8" w14:textId="40219006" w:rsidR="002806F2" w:rsidRPr="00000162" w:rsidRDefault="002806F2" w:rsidP="002806F2">
                      <w:pPr>
                        <w:pBdr>
                          <w:top w:val="single" w:sz="4" w:space="1" w:color="auto"/>
                          <w:left w:val="single" w:sz="4" w:space="4" w:color="auto"/>
                          <w:bottom w:val="single" w:sz="4" w:space="1" w:color="auto"/>
                          <w:right w:val="single" w:sz="4" w:space="4" w:color="auto"/>
                        </w:pBdr>
                        <w:rPr>
                          <w:rFonts w:cs="Arial"/>
                          <w:sz w:val="20"/>
                        </w:rPr>
                      </w:pPr>
                      <w:r>
                        <w:rPr>
                          <w:rFonts w:cs="Arial"/>
                          <w:sz w:val="20"/>
                        </w:rPr>
                        <w:t>Review Date: 31 August 202</w:t>
                      </w:r>
                      <w:r w:rsidR="001876C5">
                        <w:rPr>
                          <w:rFonts w:cs="Arial"/>
                          <w:sz w:val="20"/>
                        </w:rPr>
                        <w:t>7</w:t>
                      </w:r>
                    </w:p>
                  </w:txbxContent>
                </v:textbox>
                <w10:wrap type="square" anchorx="margin"/>
              </v:shape>
            </w:pict>
          </mc:Fallback>
        </mc:AlternateContent>
      </w:r>
      <w:r w:rsidR="0023472F">
        <w:rPr>
          <w:b/>
          <w:bCs/>
          <w:sz w:val="32"/>
          <w:szCs w:val="32"/>
        </w:rPr>
        <w:br w:type="page"/>
      </w:r>
    </w:p>
    <w:p w14:paraId="0B0B05CD" w14:textId="77777777" w:rsidR="003115BD" w:rsidRPr="00F3505B" w:rsidRDefault="003115BD" w:rsidP="003115BD">
      <w:pPr>
        <w:rPr>
          <w:b/>
          <w:bCs/>
          <w:sz w:val="32"/>
          <w:szCs w:val="32"/>
        </w:rPr>
      </w:pPr>
      <w:r w:rsidRPr="00F3505B">
        <w:rPr>
          <w:b/>
          <w:bCs/>
          <w:sz w:val="32"/>
          <w:szCs w:val="32"/>
        </w:rPr>
        <w:lastRenderedPageBreak/>
        <w:t>Contents:</w:t>
      </w:r>
    </w:p>
    <w:p w14:paraId="40EA3E86" w14:textId="77777777" w:rsidR="003115BD" w:rsidRPr="00AA4547" w:rsidRDefault="003115BD" w:rsidP="003115BD">
      <w:pPr>
        <w:rPr>
          <w:rFonts w:cs="Arial"/>
          <w:sz w:val="14"/>
        </w:rPr>
      </w:pPr>
      <w:r w:rsidRPr="00AA4547">
        <w:rPr>
          <w:rFonts w:cs="Arial"/>
        </w:rPr>
        <w:t>Statement of intent</w:t>
      </w:r>
    </w:p>
    <w:p w14:paraId="756D653B" w14:textId="77777777" w:rsidR="003115BD" w:rsidRPr="003B10C5" w:rsidRDefault="003115BD" w:rsidP="003115BD">
      <w:pPr>
        <w:pStyle w:val="ListParagraph"/>
        <w:numPr>
          <w:ilvl w:val="0"/>
          <w:numId w:val="1"/>
        </w:numPr>
        <w:ind w:left="426"/>
        <w:contextualSpacing w:val="0"/>
        <w:rPr>
          <w:rStyle w:val="Hyperlink"/>
          <w:rFonts w:ascii="Arial" w:hAnsi="Arial" w:cs="Arial"/>
          <w:color w:val="auto"/>
          <w:u w:val="none"/>
        </w:rPr>
      </w:pPr>
      <w:r w:rsidRPr="00AA4547">
        <w:rPr>
          <w:rFonts w:ascii="Arial" w:hAnsi="Arial" w:cs="Arial"/>
        </w:rPr>
        <w:t>Legal framework</w:t>
      </w:r>
    </w:p>
    <w:p w14:paraId="00D17E60" w14:textId="77777777" w:rsidR="003115BD" w:rsidRPr="003B10C5" w:rsidRDefault="003115BD" w:rsidP="003115BD">
      <w:pPr>
        <w:pStyle w:val="ListParagraph"/>
        <w:numPr>
          <w:ilvl w:val="0"/>
          <w:numId w:val="1"/>
        </w:numPr>
        <w:ind w:left="426"/>
        <w:contextualSpacing w:val="0"/>
        <w:rPr>
          <w:rStyle w:val="Hyperlink"/>
          <w:rFonts w:ascii="Arial" w:hAnsi="Arial" w:cs="Arial"/>
          <w:color w:val="auto"/>
          <w:u w:val="none"/>
        </w:rPr>
      </w:pPr>
      <w:r w:rsidRPr="00AA4547">
        <w:rPr>
          <w:rFonts w:ascii="Arial" w:hAnsi="Arial" w:cs="Arial"/>
        </w:rPr>
        <w:t>Roles and responsibilities</w:t>
      </w:r>
      <w:r>
        <w:rPr>
          <w:rStyle w:val="Hyperlink"/>
          <w:rFonts w:ascii="Arial" w:hAnsi="Arial" w:cs="Arial"/>
        </w:rPr>
        <w:t xml:space="preserve"> </w:t>
      </w:r>
    </w:p>
    <w:p w14:paraId="7FE9D8C0" w14:textId="77777777" w:rsidR="003115BD" w:rsidRPr="000C265C" w:rsidRDefault="003115BD" w:rsidP="003115BD">
      <w:pPr>
        <w:pStyle w:val="ListParagraph"/>
        <w:numPr>
          <w:ilvl w:val="0"/>
          <w:numId w:val="1"/>
        </w:numPr>
        <w:ind w:left="426"/>
        <w:contextualSpacing w:val="0"/>
        <w:rPr>
          <w:rStyle w:val="Hyperlink"/>
          <w:rFonts w:ascii="Arial" w:hAnsi="Arial" w:cs="Arial"/>
          <w:color w:val="auto"/>
          <w:u w:val="none"/>
        </w:rPr>
      </w:pPr>
      <w:r w:rsidRPr="00AA4547">
        <w:rPr>
          <w:rFonts w:ascii="Arial" w:hAnsi="Arial" w:cs="Arial"/>
        </w:rPr>
        <w:t>Negotiation</w:t>
      </w:r>
    </w:p>
    <w:p w14:paraId="492D4093" w14:textId="77777777" w:rsidR="003115BD" w:rsidRPr="003B10C5" w:rsidRDefault="003115BD" w:rsidP="003115BD">
      <w:pPr>
        <w:pStyle w:val="ListParagraph"/>
        <w:numPr>
          <w:ilvl w:val="0"/>
          <w:numId w:val="1"/>
        </w:numPr>
        <w:ind w:left="426"/>
        <w:contextualSpacing w:val="0"/>
        <w:rPr>
          <w:rStyle w:val="Hyperlink"/>
          <w:rFonts w:ascii="Arial" w:hAnsi="Arial" w:cs="Arial"/>
          <w:color w:val="auto"/>
          <w:u w:val="none"/>
        </w:rPr>
      </w:pPr>
      <w:r w:rsidRPr="00AA4547">
        <w:rPr>
          <w:rFonts w:ascii="Arial" w:hAnsi="Arial" w:cs="Arial"/>
        </w:rPr>
        <w:t>Partial performance</w:t>
      </w:r>
    </w:p>
    <w:p w14:paraId="68133253" w14:textId="77777777" w:rsidR="003115BD" w:rsidRPr="003B10C5" w:rsidRDefault="003115BD" w:rsidP="003115BD">
      <w:pPr>
        <w:pStyle w:val="ListParagraph"/>
        <w:numPr>
          <w:ilvl w:val="0"/>
          <w:numId w:val="1"/>
        </w:numPr>
        <w:ind w:left="426"/>
        <w:contextualSpacing w:val="0"/>
        <w:rPr>
          <w:rStyle w:val="Hyperlink"/>
          <w:rFonts w:ascii="Arial" w:hAnsi="Arial" w:cs="Arial"/>
          <w:color w:val="auto"/>
          <w:u w:val="none"/>
        </w:rPr>
      </w:pPr>
      <w:r w:rsidRPr="00AA4547">
        <w:rPr>
          <w:rFonts w:ascii="Arial" w:hAnsi="Arial" w:cs="Arial"/>
        </w:rPr>
        <w:t>Closing or partially closing the school</w:t>
      </w:r>
    </w:p>
    <w:p w14:paraId="437E7BB6" w14:textId="77777777" w:rsidR="003115BD" w:rsidRPr="00F87DF0" w:rsidRDefault="003115BD" w:rsidP="003115BD">
      <w:pPr>
        <w:pStyle w:val="ListParagraph"/>
        <w:numPr>
          <w:ilvl w:val="0"/>
          <w:numId w:val="1"/>
        </w:numPr>
        <w:ind w:left="426"/>
        <w:contextualSpacing w:val="0"/>
        <w:rPr>
          <w:rStyle w:val="Hyperlink"/>
          <w:rFonts w:ascii="Arial" w:hAnsi="Arial" w:cs="Arial"/>
          <w:color w:val="auto"/>
          <w:u w:val="none"/>
        </w:rPr>
      </w:pPr>
      <w:r w:rsidRPr="00AA4547">
        <w:rPr>
          <w:rFonts w:ascii="Arial" w:hAnsi="Arial" w:cs="Arial"/>
        </w:rPr>
        <w:t>Covering staff on strike</w:t>
      </w:r>
    </w:p>
    <w:p w14:paraId="665CBB9F" w14:textId="77777777" w:rsidR="003115BD" w:rsidRPr="003B10C5" w:rsidRDefault="003115BD" w:rsidP="003115BD">
      <w:pPr>
        <w:pStyle w:val="ListParagraph"/>
        <w:numPr>
          <w:ilvl w:val="0"/>
          <w:numId w:val="1"/>
        </w:numPr>
        <w:ind w:left="426"/>
        <w:contextualSpacing w:val="0"/>
        <w:rPr>
          <w:rStyle w:val="Hyperlink"/>
          <w:rFonts w:ascii="Arial" w:hAnsi="Arial" w:cs="Arial"/>
          <w:color w:val="auto"/>
          <w:u w:val="none"/>
        </w:rPr>
      </w:pPr>
      <w:r w:rsidRPr="00AA4547">
        <w:rPr>
          <w:rFonts w:ascii="Arial" w:hAnsi="Arial" w:cs="Arial"/>
        </w:rPr>
        <w:t>Exemptions</w:t>
      </w:r>
    </w:p>
    <w:p w14:paraId="0E96C00C" w14:textId="77777777" w:rsidR="003115BD" w:rsidRPr="00D77189" w:rsidRDefault="003115BD" w:rsidP="003115BD">
      <w:pPr>
        <w:pStyle w:val="ListParagraph"/>
        <w:numPr>
          <w:ilvl w:val="0"/>
          <w:numId w:val="1"/>
        </w:numPr>
        <w:ind w:left="426"/>
        <w:contextualSpacing w:val="0"/>
        <w:rPr>
          <w:rStyle w:val="Hyperlink"/>
          <w:rFonts w:ascii="Arial" w:hAnsi="Arial" w:cs="Arial"/>
          <w:color w:val="auto"/>
          <w:u w:val="none"/>
        </w:rPr>
      </w:pPr>
      <w:r w:rsidRPr="00AA4547">
        <w:rPr>
          <w:rFonts w:ascii="Arial" w:hAnsi="Arial" w:cs="Arial"/>
        </w:rPr>
        <w:t>The curriculum and alternative activities</w:t>
      </w:r>
    </w:p>
    <w:p w14:paraId="48523472" w14:textId="77777777" w:rsidR="003115BD" w:rsidRPr="00F87DF0" w:rsidRDefault="003115BD" w:rsidP="003115BD">
      <w:pPr>
        <w:pStyle w:val="ListParagraph"/>
        <w:numPr>
          <w:ilvl w:val="0"/>
          <w:numId w:val="1"/>
        </w:numPr>
        <w:ind w:left="426"/>
        <w:contextualSpacing w:val="0"/>
        <w:rPr>
          <w:rStyle w:val="Hyperlink"/>
          <w:rFonts w:ascii="Arial" w:hAnsi="Arial" w:cs="Arial"/>
          <w:color w:val="auto"/>
          <w:u w:val="none"/>
        </w:rPr>
      </w:pPr>
      <w:r w:rsidRPr="00AA4547">
        <w:rPr>
          <w:rFonts w:ascii="Arial" w:hAnsi="Arial" w:cs="Arial"/>
        </w:rPr>
        <w:t>School lunch</w:t>
      </w:r>
    </w:p>
    <w:p w14:paraId="14B2DA13" w14:textId="77777777" w:rsidR="003115BD" w:rsidRPr="00F87DF0" w:rsidRDefault="003115BD" w:rsidP="003115BD">
      <w:pPr>
        <w:pStyle w:val="ListParagraph"/>
        <w:numPr>
          <w:ilvl w:val="0"/>
          <w:numId w:val="1"/>
        </w:numPr>
        <w:ind w:left="426"/>
        <w:contextualSpacing w:val="0"/>
        <w:rPr>
          <w:rStyle w:val="Hyperlink"/>
          <w:rFonts w:ascii="Arial" w:hAnsi="Arial" w:cs="Arial"/>
          <w:color w:val="auto"/>
          <w:u w:val="none"/>
        </w:rPr>
      </w:pPr>
      <w:r w:rsidRPr="00AA4547">
        <w:rPr>
          <w:rFonts w:ascii="Arial" w:hAnsi="Arial" w:cs="Arial"/>
        </w:rPr>
        <w:t>Exams</w:t>
      </w:r>
    </w:p>
    <w:p w14:paraId="2C64CA85" w14:textId="77777777" w:rsidR="003115BD" w:rsidRPr="00F87DF0" w:rsidRDefault="003115BD" w:rsidP="003115BD">
      <w:pPr>
        <w:pStyle w:val="ListParagraph"/>
        <w:numPr>
          <w:ilvl w:val="0"/>
          <w:numId w:val="1"/>
        </w:numPr>
        <w:ind w:left="426"/>
        <w:contextualSpacing w:val="0"/>
        <w:rPr>
          <w:rStyle w:val="Hyperlink"/>
          <w:rFonts w:ascii="Arial" w:hAnsi="Arial" w:cs="Arial"/>
          <w:color w:val="auto"/>
          <w:u w:val="none"/>
        </w:rPr>
      </w:pPr>
      <w:r w:rsidRPr="00AA4547">
        <w:rPr>
          <w:rFonts w:ascii="Arial" w:hAnsi="Arial" w:cs="Arial"/>
        </w:rPr>
        <w:t>Pay deductions</w:t>
      </w:r>
    </w:p>
    <w:p w14:paraId="31BA0BF6" w14:textId="77777777" w:rsidR="003115BD" w:rsidRPr="003B10C5" w:rsidRDefault="003115BD" w:rsidP="003115BD">
      <w:pPr>
        <w:pStyle w:val="ListParagraph"/>
        <w:numPr>
          <w:ilvl w:val="0"/>
          <w:numId w:val="1"/>
        </w:numPr>
        <w:ind w:left="426"/>
        <w:contextualSpacing w:val="0"/>
        <w:rPr>
          <w:rStyle w:val="Hyperlink"/>
          <w:rFonts w:ascii="Arial" w:hAnsi="Arial" w:cs="Arial"/>
          <w:color w:val="auto"/>
          <w:u w:val="none"/>
        </w:rPr>
      </w:pPr>
      <w:r w:rsidRPr="00AA4547">
        <w:rPr>
          <w:rFonts w:ascii="Arial" w:hAnsi="Arial" w:cs="Arial"/>
        </w:rPr>
        <w:t>Disciplinary action and dismissals</w:t>
      </w:r>
    </w:p>
    <w:p w14:paraId="4969A652" w14:textId="77777777" w:rsidR="003115BD" w:rsidRPr="00F87DF0" w:rsidRDefault="003115BD" w:rsidP="003115BD">
      <w:pPr>
        <w:pStyle w:val="ListParagraph"/>
        <w:numPr>
          <w:ilvl w:val="0"/>
          <w:numId w:val="1"/>
        </w:numPr>
        <w:ind w:left="426"/>
        <w:contextualSpacing w:val="0"/>
        <w:rPr>
          <w:rStyle w:val="Hyperlink"/>
          <w:rFonts w:ascii="Arial" w:hAnsi="Arial" w:cs="Arial"/>
          <w:color w:val="auto"/>
          <w:u w:val="none"/>
        </w:rPr>
      </w:pPr>
      <w:r w:rsidRPr="00AA4547">
        <w:rPr>
          <w:rFonts w:ascii="Arial" w:hAnsi="Arial" w:cs="Arial"/>
        </w:rPr>
        <w:t>Continuous employment and length of service</w:t>
      </w:r>
    </w:p>
    <w:p w14:paraId="751E7C57" w14:textId="77777777" w:rsidR="003115BD" w:rsidRPr="00F87DF0" w:rsidRDefault="003115BD" w:rsidP="003115BD">
      <w:pPr>
        <w:pStyle w:val="ListParagraph"/>
        <w:numPr>
          <w:ilvl w:val="0"/>
          <w:numId w:val="1"/>
        </w:numPr>
        <w:ind w:left="426"/>
        <w:contextualSpacing w:val="0"/>
        <w:rPr>
          <w:rStyle w:val="Hyperlink"/>
          <w:rFonts w:ascii="Arial" w:hAnsi="Arial" w:cs="Arial"/>
          <w:color w:val="auto"/>
          <w:u w:val="none"/>
        </w:rPr>
      </w:pPr>
      <w:r w:rsidRPr="00AA4547">
        <w:rPr>
          <w:rFonts w:ascii="Arial" w:hAnsi="Arial" w:cs="Arial"/>
        </w:rPr>
        <w:t>Picket lines</w:t>
      </w:r>
    </w:p>
    <w:p w14:paraId="2D950CAB" w14:textId="77777777" w:rsidR="003115BD" w:rsidRPr="00F87DF0" w:rsidRDefault="003115BD" w:rsidP="003115BD">
      <w:pPr>
        <w:pStyle w:val="ListParagraph"/>
        <w:numPr>
          <w:ilvl w:val="0"/>
          <w:numId w:val="1"/>
        </w:numPr>
        <w:ind w:left="426"/>
        <w:contextualSpacing w:val="0"/>
        <w:rPr>
          <w:rStyle w:val="Hyperlink"/>
          <w:rFonts w:ascii="Arial" w:hAnsi="Arial" w:cs="Arial"/>
          <w:color w:val="auto"/>
          <w:u w:val="none"/>
        </w:rPr>
      </w:pPr>
      <w:r w:rsidRPr="00AA4547">
        <w:rPr>
          <w:rFonts w:ascii="Arial" w:hAnsi="Arial" w:cs="Arial"/>
        </w:rPr>
        <w:t>Pupil attendance</w:t>
      </w:r>
    </w:p>
    <w:p w14:paraId="4A13C7B9" w14:textId="77777777" w:rsidR="003115BD" w:rsidRPr="003B10C5" w:rsidRDefault="003115BD" w:rsidP="003115BD">
      <w:pPr>
        <w:pStyle w:val="ListParagraph"/>
        <w:numPr>
          <w:ilvl w:val="0"/>
          <w:numId w:val="1"/>
        </w:numPr>
        <w:ind w:left="426"/>
        <w:contextualSpacing w:val="0"/>
        <w:rPr>
          <w:rStyle w:val="Hyperlink"/>
          <w:rFonts w:ascii="Arial" w:hAnsi="Arial" w:cs="Arial"/>
          <w:color w:val="auto"/>
          <w:u w:val="none"/>
        </w:rPr>
      </w:pPr>
      <w:r w:rsidRPr="00AA4547">
        <w:rPr>
          <w:rFonts w:ascii="Arial" w:hAnsi="Arial" w:cs="Arial"/>
        </w:rPr>
        <w:t>Parent complaints</w:t>
      </w:r>
    </w:p>
    <w:p w14:paraId="73E1E89C" w14:textId="77777777" w:rsidR="003115BD" w:rsidRPr="003B10C5" w:rsidRDefault="003115BD" w:rsidP="003115BD">
      <w:pPr>
        <w:pStyle w:val="ListParagraph"/>
        <w:numPr>
          <w:ilvl w:val="0"/>
          <w:numId w:val="1"/>
        </w:numPr>
        <w:ind w:left="426"/>
        <w:contextualSpacing w:val="0"/>
        <w:rPr>
          <w:rFonts w:ascii="Arial" w:hAnsi="Arial" w:cs="Arial"/>
        </w:rPr>
      </w:pPr>
      <w:r w:rsidRPr="00AA4547">
        <w:rPr>
          <w:rFonts w:ascii="Arial" w:hAnsi="Arial" w:cs="Arial"/>
        </w:rPr>
        <w:t>Monitoring and review</w:t>
      </w:r>
      <w:r w:rsidRPr="003B10C5">
        <w:rPr>
          <w:rFonts w:cs="Arial"/>
        </w:rPr>
        <w:t xml:space="preserve"> </w:t>
      </w:r>
    </w:p>
    <w:p w14:paraId="3CA591CC" w14:textId="77777777" w:rsidR="003115BD" w:rsidRPr="00F165AD" w:rsidRDefault="003115BD" w:rsidP="003115BD">
      <w:pPr>
        <w:rPr>
          <w:rFonts w:cs="Arial"/>
          <w:sz w:val="32"/>
          <w:szCs w:val="32"/>
        </w:rPr>
      </w:pPr>
      <w:r w:rsidRPr="00F165AD">
        <w:rPr>
          <w:rFonts w:cs="Arial"/>
          <w:sz w:val="32"/>
          <w:szCs w:val="32"/>
        </w:rPr>
        <w:br w:type="page"/>
      </w:r>
      <w:bookmarkStart w:id="0" w:name="_Statement_of_Intent"/>
      <w:bookmarkEnd w:id="0"/>
    </w:p>
    <w:p w14:paraId="36D712F4" w14:textId="77777777" w:rsidR="003115BD" w:rsidRDefault="003115BD" w:rsidP="003115BD">
      <w:pPr>
        <w:rPr>
          <w:b/>
          <w:bCs/>
          <w:sz w:val="28"/>
          <w:szCs w:val="28"/>
        </w:rPr>
      </w:pPr>
      <w:bookmarkStart w:id="1" w:name="_Statement_of_intent_1"/>
      <w:bookmarkEnd w:id="1"/>
      <w:r w:rsidRPr="00BF3F57">
        <w:rPr>
          <w:b/>
          <w:bCs/>
          <w:sz w:val="28"/>
          <w:szCs w:val="28"/>
        </w:rPr>
        <w:lastRenderedPageBreak/>
        <w:t>Statement of intent</w:t>
      </w:r>
    </w:p>
    <w:p w14:paraId="73FEFE4B" w14:textId="77777777" w:rsidR="003115BD" w:rsidRDefault="003115BD" w:rsidP="003115BD">
      <w:r>
        <w:t xml:space="preserve">At Three Counties Academy Trust (TCAT), we are committed to ensuring that pay and conditions for all staff are fair and that any issues are resolved as soon as possible through honest negotiation. We recognise, however, that some unions and staff may feel that industrial action is necessary as a last resort. In such instances, TCAT will aim to settle disputes and follow the DfE’s expectation to take all reasonable steps to remain open and avoid disruption to pupils’ education. </w:t>
      </w:r>
    </w:p>
    <w:p w14:paraId="186E736B" w14:textId="77777777" w:rsidR="003115BD" w:rsidRPr="00BF3F57" w:rsidRDefault="003115BD" w:rsidP="003115BD">
      <w:pPr>
        <w:rPr>
          <w:b/>
          <w:bCs/>
          <w:sz w:val="28"/>
          <w:szCs w:val="28"/>
        </w:rPr>
      </w:pPr>
      <w:r>
        <w:t>This policy outlines TCAT’s recognition of the rights of staff to take part in industrial action, including strikes, and the procedures we will follow to minimise disruption caused by this.</w:t>
      </w:r>
    </w:p>
    <w:p w14:paraId="604E8033" w14:textId="77777777" w:rsidR="003115BD" w:rsidRDefault="003115BD" w:rsidP="003115BD"/>
    <w:p w14:paraId="3E990470" w14:textId="77777777" w:rsidR="003115BD" w:rsidRDefault="003115BD" w:rsidP="003115BD">
      <w:pPr>
        <w:sectPr w:rsidR="003115BD" w:rsidSect="003115BD">
          <w:headerReference w:type="first" r:id="rId13"/>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0F4C0359" w14:textId="77777777" w:rsidR="003115BD" w:rsidRPr="00223A05" w:rsidRDefault="003115BD" w:rsidP="003115BD">
      <w:pPr>
        <w:pStyle w:val="Heading10"/>
      </w:pPr>
      <w:bookmarkStart w:id="2" w:name="_Legal_framework_1"/>
      <w:bookmarkEnd w:id="2"/>
      <w:r w:rsidRPr="00292795">
        <w:lastRenderedPageBreak/>
        <w:t>Legal fr</w:t>
      </w:r>
      <w:r w:rsidRPr="00223A05">
        <w:t>ame</w:t>
      </w:r>
      <w:r>
        <w:t>work</w:t>
      </w:r>
    </w:p>
    <w:p w14:paraId="72292BD2" w14:textId="77777777" w:rsidR="003115BD" w:rsidRDefault="003115BD" w:rsidP="003115BD">
      <w:r>
        <w:t>This policy has due regard to all relevant legislation and statutory guidance including, but not limited to, the following:</w:t>
      </w:r>
      <w:r w:rsidRPr="00EC7305">
        <w:t xml:space="preserve"> </w:t>
      </w:r>
    </w:p>
    <w:p w14:paraId="308303DD" w14:textId="77777777" w:rsidR="003115BD" w:rsidRDefault="003115BD" w:rsidP="003115BD">
      <w:pPr>
        <w:pStyle w:val="ListParagraph"/>
        <w:numPr>
          <w:ilvl w:val="0"/>
          <w:numId w:val="24"/>
        </w:numPr>
      </w:pPr>
      <w:r>
        <w:t>Conduct of Employment Agencies and Employment Business Regulations 2003 (“the Conduct Regulations”)</w:t>
      </w:r>
    </w:p>
    <w:p w14:paraId="2D37F068" w14:textId="77777777" w:rsidR="003115BD" w:rsidRDefault="003115BD" w:rsidP="003115BD">
      <w:pPr>
        <w:pStyle w:val="ListParagraph"/>
        <w:numPr>
          <w:ilvl w:val="0"/>
          <w:numId w:val="24"/>
        </w:numPr>
      </w:pPr>
      <w:r>
        <w:rPr>
          <w:shd w:val="clear" w:color="auto" w:fill="FFFFFF" w:themeFill="background1"/>
        </w:rPr>
        <w:t>Courts and Tribunals Judiciary (2023) ‘ASLEF, Unison and NASUWT -v- Secretary of State for Business and Trade’</w:t>
      </w:r>
    </w:p>
    <w:p w14:paraId="560E8552" w14:textId="77777777" w:rsidR="003115BD" w:rsidRDefault="003115BD" w:rsidP="003115BD">
      <w:pPr>
        <w:pStyle w:val="ListParagraph"/>
        <w:numPr>
          <w:ilvl w:val="0"/>
          <w:numId w:val="24"/>
        </w:numPr>
      </w:pPr>
      <w:r>
        <w:t>DfE (2023) ‘Handling strike action in schools’</w:t>
      </w:r>
    </w:p>
    <w:p w14:paraId="061D75D5" w14:textId="70E8BD04" w:rsidR="003115BD" w:rsidRDefault="003115BD" w:rsidP="003115BD">
      <w:pPr>
        <w:pStyle w:val="ListParagraph"/>
        <w:numPr>
          <w:ilvl w:val="0"/>
          <w:numId w:val="24"/>
        </w:numPr>
      </w:pPr>
      <w:r>
        <w:t xml:space="preserve">DfE (2022) ‘School teachers’ pay and conditions document 2022 and guidance on </w:t>
      </w:r>
      <w:r w:rsidR="001876C5">
        <w:t>schoolteachers’</w:t>
      </w:r>
      <w:r>
        <w:t xml:space="preserve"> pay and conditions’</w:t>
      </w:r>
    </w:p>
    <w:p w14:paraId="333E1418" w14:textId="77777777" w:rsidR="003115BD" w:rsidRDefault="003115BD" w:rsidP="003115BD">
      <w:pPr>
        <w:pStyle w:val="ListParagraph"/>
        <w:numPr>
          <w:ilvl w:val="0"/>
          <w:numId w:val="24"/>
        </w:numPr>
      </w:pPr>
      <w:r>
        <w:t>Trade Union Act 2016</w:t>
      </w:r>
    </w:p>
    <w:p w14:paraId="6F959A88" w14:textId="77777777" w:rsidR="003115BD" w:rsidRDefault="003115BD" w:rsidP="003115BD">
      <w:pPr>
        <w:pStyle w:val="ListParagraph"/>
        <w:numPr>
          <w:ilvl w:val="0"/>
          <w:numId w:val="24"/>
        </w:numPr>
      </w:pPr>
      <w:r>
        <w:t>Health and Safety at Work etc. Act 1974</w:t>
      </w:r>
    </w:p>
    <w:p w14:paraId="59564DFD" w14:textId="77777777" w:rsidR="003115BD" w:rsidRDefault="003115BD" w:rsidP="003115BD">
      <w:r>
        <w:t>This policy operates in conjunction with the following TCAT and school policies:</w:t>
      </w:r>
    </w:p>
    <w:p w14:paraId="5EFAC30B" w14:textId="77777777" w:rsidR="003115BD" w:rsidRDefault="003115BD" w:rsidP="003115BD">
      <w:pPr>
        <w:pStyle w:val="ListParagraph"/>
        <w:numPr>
          <w:ilvl w:val="0"/>
          <w:numId w:val="11"/>
        </w:numPr>
      </w:pPr>
      <w:r>
        <w:t>Exam Contingency Plan</w:t>
      </w:r>
    </w:p>
    <w:p w14:paraId="5519588F" w14:textId="77777777" w:rsidR="003115BD" w:rsidRDefault="003115BD" w:rsidP="003115BD">
      <w:pPr>
        <w:pStyle w:val="ListParagraph"/>
        <w:numPr>
          <w:ilvl w:val="0"/>
          <w:numId w:val="11"/>
        </w:numPr>
      </w:pPr>
      <w:r>
        <w:t>Emergency Plan</w:t>
      </w:r>
    </w:p>
    <w:p w14:paraId="48673E70" w14:textId="77777777" w:rsidR="003115BD" w:rsidRDefault="003115BD" w:rsidP="003115BD">
      <w:pPr>
        <w:pStyle w:val="ListParagraph"/>
        <w:numPr>
          <w:ilvl w:val="0"/>
          <w:numId w:val="11"/>
        </w:numPr>
      </w:pPr>
      <w:r>
        <w:t>Volunteer Policy</w:t>
      </w:r>
    </w:p>
    <w:p w14:paraId="3BD33C62" w14:textId="53D5E72E" w:rsidR="003115BD" w:rsidRDefault="003115BD" w:rsidP="003115BD">
      <w:pPr>
        <w:pStyle w:val="ListParagraph"/>
        <w:numPr>
          <w:ilvl w:val="0"/>
          <w:numId w:val="11"/>
        </w:numPr>
      </w:pPr>
      <w:r>
        <w:t>Child Protection and Safeguarding Policy</w:t>
      </w:r>
      <w:r w:rsidR="002F4FC5">
        <w:t xml:space="preserve"> and Procedures</w:t>
      </w:r>
    </w:p>
    <w:p w14:paraId="31C05272" w14:textId="77777777" w:rsidR="003115BD" w:rsidRDefault="003115BD" w:rsidP="003115BD">
      <w:pPr>
        <w:pStyle w:val="ListParagraph"/>
        <w:numPr>
          <w:ilvl w:val="0"/>
          <w:numId w:val="11"/>
        </w:numPr>
      </w:pPr>
      <w:r>
        <w:t>Teachers’ Pay Policy</w:t>
      </w:r>
    </w:p>
    <w:p w14:paraId="3A27A6E5" w14:textId="77777777" w:rsidR="003115BD" w:rsidRDefault="003115BD" w:rsidP="003115BD">
      <w:pPr>
        <w:pStyle w:val="ListParagraph"/>
        <w:numPr>
          <w:ilvl w:val="0"/>
          <w:numId w:val="11"/>
        </w:numPr>
      </w:pPr>
      <w:r>
        <w:t>Support Staff Pay Policy</w:t>
      </w:r>
    </w:p>
    <w:p w14:paraId="1E3A83F9" w14:textId="77777777" w:rsidR="003115BD" w:rsidRDefault="003115BD" w:rsidP="003115BD">
      <w:pPr>
        <w:pStyle w:val="ListParagraph"/>
        <w:numPr>
          <w:ilvl w:val="0"/>
          <w:numId w:val="11"/>
        </w:numPr>
      </w:pPr>
      <w:r>
        <w:t>Disciplinary Policy and Procedure</w:t>
      </w:r>
    </w:p>
    <w:p w14:paraId="45E5A6B2" w14:textId="77777777" w:rsidR="003115BD" w:rsidRDefault="003115BD" w:rsidP="003115BD">
      <w:pPr>
        <w:pStyle w:val="ListParagraph"/>
        <w:numPr>
          <w:ilvl w:val="0"/>
          <w:numId w:val="11"/>
        </w:numPr>
      </w:pPr>
      <w:r>
        <w:t>Complaints Policy and Procedures</w:t>
      </w:r>
    </w:p>
    <w:p w14:paraId="1638E032" w14:textId="77777777" w:rsidR="003115BD" w:rsidRDefault="003115BD" w:rsidP="003115BD">
      <w:pPr>
        <w:pStyle w:val="Heading10"/>
      </w:pPr>
      <w:bookmarkStart w:id="3" w:name="_Roles_and_responsibilities"/>
      <w:bookmarkEnd w:id="3"/>
      <w:r>
        <w:t>Roles and responsibilities</w:t>
      </w:r>
    </w:p>
    <w:p w14:paraId="1EFD965D" w14:textId="215FF324" w:rsidR="003115BD" w:rsidRDefault="003115BD" w:rsidP="003115BD">
      <w:r>
        <w:t xml:space="preserve">The </w:t>
      </w:r>
      <w:r w:rsidR="001876C5">
        <w:t>Trust</w:t>
      </w:r>
      <w:r>
        <w:t xml:space="preserve"> Board will be responsible for:</w:t>
      </w:r>
    </w:p>
    <w:p w14:paraId="017E2A1B" w14:textId="77777777" w:rsidR="003115BD" w:rsidRDefault="003115BD" w:rsidP="003115BD">
      <w:pPr>
        <w:pStyle w:val="ListParagraph"/>
        <w:numPr>
          <w:ilvl w:val="0"/>
          <w:numId w:val="14"/>
        </w:numPr>
      </w:pPr>
      <w:r>
        <w:t>Providing guidance and support to the Executive Headteacher/CEO on TCAT’s response to planned strike action and staff grievances</w:t>
      </w:r>
    </w:p>
    <w:p w14:paraId="602209C0" w14:textId="77777777" w:rsidR="003115BD" w:rsidRDefault="003115BD" w:rsidP="003115BD">
      <w:pPr>
        <w:pStyle w:val="ListParagraph"/>
        <w:numPr>
          <w:ilvl w:val="0"/>
          <w:numId w:val="14"/>
        </w:numPr>
      </w:pPr>
      <w:r>
        <w:t>Ensuring that TCAT’s safeguarding, health and safety and safer recruitment systems and procedures continue to be observed during strike action</w:t>
      </w:r>
    </w:p>
    <w:p w14:paraId="14DCF095" w14:textId="77777777" w:rsidR="003115BD" w:rsidRDefault="003115BD" w:rsidP="003115BD">
      <w:pPr>
        <w:pStyle w:val="ListParagraph"/>
        <w:numPr>
          <w:ilvl w:val="0"/>
          <w:numId w:val="14"/>
        </w:numPr>
      </w:pPr>
      <w:r>
        <w:t>Where the Executive Headteacher/CEO is on strike, delegating their responsibilities to a suitable member of the SLT</w:t>
      </w:r>
    </w:p>
    <w:p w14:paraId="7B063D4C" w14:textId="77777777" w:rsidR="003115BD" w:rsidRDefault="003115BD" w:rsidP="003115BD">
      <w:pPr>
        <w:pStyle w:val="ListParagraph"/>
        <w:numPr>
          <w:ilvl w:val="0"/>
          <w:numId w:val="14"/>
        </w:numPr>
      </w:pPr>
      <w:r>
        <w:t>Where a Headteacher/Head of School is on strike, delegating their responsibilities to the Executive Headteacher/CEO</w:t>
      </w:r>
    </w:p>
    <w:p w14:paraId="396A7D27" w14:textId="77777777" w:rsidR="003115BD" w:rsidRDefault="003115BD" w:rsidP="003115BD">
      <w:r>
        <w:t>The Executive Headteacher/CEO will be responsible for:</w:t>
      </w:r>
    </w:p>
    <w:p w14:paraId="4550146A" w14:textId="77777777" w:rsidR="003115BD" w:rsidRDefault="003115BD" w:rsidP="003115BD">
      <w:pPr>
        <w:pStyle w:val="ListParagraph"/>
        <w:numPr>
          <w:ilvl w:val="0"/>
          <w:numId w:val="13"/>
        </w:numPr>
      </w:pPr>
      <w:r>
        <w:t>Taking all reasonable steps to ensure that TCAT schools can remain open for as many pupils as possible</w:t>
      </w:r>
    </w:p>
    <w:p w14:paraId="2C2BF8C8" w14:textId="77777777" w:rsidR="003115BD" w:rsidRDefault="003115BD" w:rsidP="003115BD">
      <w:pPr>
        <w:pStyle w:val="ListParagraph"/>
        <w:numPr>
          <w:ilvl w:val="0"/>
          <w:numId w:val="13"/>
        </w:numPr>
      </w:pPr>
      <w:r>
        <w:t>Conducting a risk assessment on the effect the strikes will have for each setting</w:t>
      </w:r>
    </w:p>
    <w:p w14:paraId="2DF3D511" w14:textId="77777777" w:rsidR="003115BD" w:rsidRDefault="003115BD" w:rsidP="003115BD">
      <w:pPr>
        <w:pStyle w:val="ListParagraph"/>
        <w:numPr>
          <w:ilvl w:val="0"/>
          <w:numId w:val="13"/>
        </w:numPr>
      </w:pPr>
      <w:r>
        <w:t>Deciding after consultation with the Trust Board whether any or all TCAT schools can safely remain open or partially open and consulting with relevant parties</w:t>
      </w:r>
    </w:p>
    <w:p w14:paraId="7E41C0CB" w14:textId="77777777" w:rsidR="003115BD" w:rsidRDefault="003115BD" w:rsidP="003115BD">
      <w:pPr>
        <w:pStyle w:val="ListParagraph"/>
        <w:numPr>
          <w:ilvl w:val="0"/>
          <w:numId w:val="13"/>
        </w:numPr>
      </w:pPr>
      <w:r>
        <w:t>Having regard to relevant trade union and health and safety legislation</w:t>
      </w:r>
    </w:p>
    <w:p w14:paraId="3B8E20DC" w14:textId="77777777" w:rsidR="003115BD" w:rsidRDefault="003115BD" w:rsidP="003115BD">
      <w:pPr>
        <w:pStyle w:val="ListParagraph"/>
        <w:numPr>
          <w:ilvl w:val="0"/>
          <w:numId w:val="13"/>
        </w:numPr>
      </w:pPr>
      <w:r>
        <w:t>Ensuring all appropriate TCAT and school procedures are implemented, including the Emergency Plan and Exam Contingency Plan where applicable</w:t>
      </w:r>
    </w:p>
    <w:p w14:paraId="568F6E2A" w14:textId="77777777" w:rsidR="003115BD" w:rsidRDefault="003115BD" w:rsidP="003115BD">
      <w:pPr>
        <w:pStyle w:val="ListParagraph"/>
        <w:numPr>
          <w:ilvl w:val="0"/>
          <w:numId w:val="13"/>
        </w:numPr>
      </w:pPr>
      <w:r>
        <w:lastRenderedPageBreak/>
        <w:t>Determining the education that will be provided if the school(s) will remain open or partially open, and organising alternative activities where appropriate</w:t>
      </w:r>
    </w:p>
    <w:p w14:paraId="57821DB8" w14:textId="77777777" w:rsidR="003115BD" w:rsidRDefault="003115BD" w:rsidP="003115BD">
      <w:pPr>
        <w:pStyle w:val="ListParagraph"/>
        <w:numPr>
          <w:ilvl w:val="0"/>
          <w:numId w:val="13"/>
        </w:numPr>
      </w:pPr>
      <w:r>
        <w:t>Directing staff, including volunteers, not on strike to undertake reasonable duties in line with their contract of employment and with regard to relevant legislation</w:t>
      </w:r>
    </w:p>
    <w:p w14:paraId="35BAFB3A" w14:textId="77777777" w:rsidR="003115BD" w:rsidRDefault="003115BD" w:rsidP="003115BD">
      <w:r>
        <w:t>Staff on strike will be responsible for:</w:t>
      </w:r>
    </w:p>
    <w:p w14:paraId="6144C2AD" w14:textId="77777777" w:rsidR="003115BD" w:rsidRDefault="003115BD" w:rsidP="003115BD">
      <w:pPr>
        <w:pStyle w:val="ListParagraph"/>
        <w:numPr>
          <w:ilvl w:val="0"/>
          <w:numId w:val="16"/>
        </w:numPr>
      </w:pPr>
      <w:r>
        <w:t>Deciding if they will inform TCAT that they will be going on strike</w:t>
      </w:r>
    </w:p>
    <w:p w14:paraId="25ED4230" w14:textId="77777777" w:rsidR="003115BD" w:rsidRDefault="003115BD" w:rsidP="003115BD">
      <w:pPr>
        <w:pStyle w:val="ListParagraph"/>
        <w:numPr>
          <w:ilvl w:val="0"/>
          <w:numId w:val="16"/>
        </w:numPr>
      </w:pPr>
      <w:r>
        <w:t>Deciding if they will set work for pupils on days that they will be on strike</w:t>
      </w:r>
    </w:p>
    <w:p w14:paraId="1A10EF07" w14:textId="77777777" w:rsidR="003115BD" w:rsidRDefault="003115BD" w:rsidP="003115BD">
      <w:r>
        <w:t>Staff not on strike will be responsible for:</w:t>
      </w:r>
    </w:p>
    <w:p w14:paraId="16AE8CE1" w14:textId="77777777" w:rsidR="003115BD" w:rsidRDefault="003115BD" w:rsidP="003115BD">
      <w:pPr>
        <w:pStyle w:val="ListParagraph"/>
        <w:numPr>
          <w:ilvl w:val="0"/>
          <w:numId w:val="17"/>
        </w:numPr>
      </w:pPr>
      <w:r>
        <w:t>Following all reasonable directions given by the Executive Headteacher/CEO and TCAT and school policies and procedures</w:t>
      </w:r>
    </w:p>
    <w:p w14:paraId="415F4318" w14:textId="77777777" w:rsidR="003115BD" w:rsidRDefault="003115BD" w:rsidP="003115BD">
      <w:pPr>
        <w:pStyle w:val="ListParagraph"/>
        <w:numPr>
          <w:ilvl w:val="0"/>
          <w:numId w:val="17"/>
        </w:numPr>
      </w:pPr>
      <w:r>
        <w:t>Reporting any issues, e.g., intimidation from other staff to the Executive Headteacher/CEO</w:t>
      </w:r>
    </w:p>
    <w:p w14:paraId="7E9DC1C3" w14:textId="77777777" w:rsidR="003115BD" w:rsidRDefault="003115BD" w:rsidP="003115BD">
      <w:pPr>
        <w:pStyle w:val="Heading10"/>
      </w:pPr>
      <w:bookmarkStart w:id="4" w:name="_Negotiation"/>
      <w:bookmarkEnd w:id="4"/>
      <w:r>
        <w:t>Negotiation</w:t>
      </w:r>
    </w:p>
    <w:p w14:paraId="051F5213" w14:textId="77777777" w:rsidR="003115BD" w:rsidRDefault="003115BD" w:rsidP="003115BD">
      <w:r>
        <w:t>TCAT will aim to hold open and genuine negotiations with staff and trade union representatives wherever possible. The Executive Headteacher/CEO and line managers will receive training which covers handling staff grievances, including where industrial action is planned or discussed.</w:t>
      </w:r>
    </w:p>
    <w:p w14:paraId="1D9C5CAD" w14:textId="78FE90E0" w:rsidR="003115BD" w:rsidRDefault="003115BD" w:rsidP="003115BD">
      <w:r>
        <w:t xml:space="preserve">Grievances will aim to be resolved fairly as soon as possible. TCAT will consider the conciliation and arbitration services offered by </w:t>
      </w:r>
      <w:r w:rsidRPr="001876C5">
        <w:t>ACAS</w:t>
      </w:r>
      <w:r>
        <w:t xml:space="preserve"> to facilitate talks if it believes this will be helpful. </w:t>
      </w:r>
    </w:p>
    <w:p w14:paraId="129C0E0D" w14:textId="77777777" w:rsidR="003115BD" w:rsidRDefault="003115BD" w:rsidP="003115BD">
      <w:r>
        <w:t>Where strike action is believed to be unlawful, TCAT will consider applying to the court for an injunction to prevent it from taking place.</w:t>
      </w:r>
    </w:p>
    <w:p w14:paraId="07D3BADA" w14:textId="77777777" w:rsidR="003115BD" w:rsidRDefault="003115BD" w:rsidP="003115BD">
      <w:pPr>
        <w:pStyle w:val="Heading10"/>
      </w:pPr>
      <w:bookmarkStart w:id="5" w:name="_Partial_performance"/>
      <w:bookmarkEnd w:id="5"/>
      <w:r>
        <w:t>Partial performance</w:t>
      </w:r>
    </w:p>
    <w:p w14:paraId="60B40486" w14:textId="77777777" w:rsidR="003115BD" w:rsidRPr="00835017" w:rsidRDefault="003115BD" w:rsidP="003115BD">
      <w:r w:rsidRPr="00835017">
        <w:t xml:space="preserve">Partial performance is where </w:t>
      </w:r>
      <w:r>
        <w:t>staff</w:t>
      </w:r>
      <w:r w:rsidRPr="00835017">
        <w:t xml:space="preserve"> take action short of a strike and refuse to conduct part of their contractual work. Where partial performance is planned, the </w:t>
      </w:r>
      <w:r>
        <w:t xml:space="preserve">Executive Headteacher/CEO will </w:t>
      </w:r>
      <w:r w:rsidRPr="00835017">
        <w:t>decide whether to accept or refuse this in line with the following:</w:t>
      </w:r>
    </w:p>
    <w:p w14:paraId="751E85E2" w14:textId="77777777" w:rsidR="003115BD" w:rsidRPr="00835017" w:rsidRDefault="003115BD" w:rsidP="003115BD">
      <w:pPr>
        <w:pStyle w:val="ListParagraph"/>
        <w:numPr>
          <w:ilvl w:val="0"/>
          <w:numId w:val="23"/>
        </w:numPr>
      </w:pPr>
      <w:r w:rsidRPr="00835017">
        <w:t xml:space="preserve">If partial performance is accepted, staff </w:t>
      </w:r>
      <w:r>
        <w:t>will</w:t>
      </w:r>
      <w:r w:rsidRPr="00835017">
        <w:t xml:space="preserve"> be paid for the work that they do</w:t>
      </w:r>
    </w:p>
    <w:p w14:paraId="2F031CF3" w14:textId="77777777" w:rsidR="003115BD" w:rsidRDefault="003115BD" w:rsidP="003115BD">
      <w:pPr>
        <w:pStyle w:val="ListParagraph"/>
        <w:numPr>
          <w:ilvl w:val="0"/>
          <w:numId w:val="23"/>
        </w:numPr>
      </w:pPr>
      <w:r w:rsidRPr="00835017">
        <w:t xml:space="preserve">If partial performance is refused, staff </w:t>
      </w:r>
      <w:r>
        <w:t>will</w:t>
      </w:r>
      <w:r w:rsidRPr="00835017">
        <w:t xml:space="preserve"> be informed that they should only attend school if they will fulfil all contractual duties and that </w:t>
      </w:r>
      <w:r>
        <w:t>TCAT</w:t>
      </w:r>
      <w:r w:rsidRPr="00835017">
        <w:t xml:space="preserve"> does not have to pay them unless they do so</w:t>
      </w:r>
    </w:p>
    <w:p w14:paraId="257A54D8" w14:textId="77777777" w:rsidR="003115BD" w:rsidRDefault="003115BD" w:rsidP="003115BD">
      <w:r>
        <w:t>Where partial performance is refused, it will be made clear to staff that if they attend school, they will be expected to complete all their contractual obligations – if not, any work will be done on a voluntary basis and does not need to be remunerated. The Headteacher/Head of School will ensure that TCAT’s position is clear on whether or not partial performance is accepted, and implied acceptance, e.g., where line managers continue to issue instructions, will be avoided.</w:t>
      </w:r>
    </w:p>
    <w:p w14:paraId="6115AFA5" w14:textId="77777777" w:rsidR="003115BD" w:rsidRDefault="003115BD" w:rsidP="003115BD">
      <w:r>
        <w:t>Where TCAT is unsure if the partial performance would expressly represent a breach of contract, it will seek legal advice as appropriate.</w:t>
      </w:r>
    </w:p>
    <w:p w14:paraId="18002A3B" w14:textId="77777777" w:rsidR="003115BD" w:rsidRDefault="003115BD" w:rsidP="003115BD">
      <w:pPr>
        <w:pStyle w:val="Heading10"/>
      </w:pPr>
      <w:bookmarkStart w:id="6" w:name="_Closing_or_partially"/>
      <w:bookmarkEnd w:id="6"/>
      <w:r>
        <w:lastRenderedPageBreak/>
        <w:t>Closing or partially closing the school(s)</w:t>
      </w:r>
    </w:p>
    <w:p w14:paraId="5960D261" w14:textId="77777777" w:rsidR="003115BD" w:rsidRDefault="003115BD" w:rsidP="003115BD">
      <w:r>
        <w:t>The seven-day notice period before a strike commences will be used by TCAT to determine if it needs to close or partially close. The Executive Headteacher/CEO will take all reasonable steps to keep all TCAT schools open for as many pupils as possible. Where necessary, attendance will be prioritised for vulnerable pupils and those whose parents are ‘key workers.’</w:t>
      </w:r>
    </w:p>
    <w:p w14:paraId="7273AEDF" w14:textId="77777777" w:rsidR="003115BD" w:rsidRDefault="003115BD" w:rsidP="003115BD">
      <w:r>
        <w:t>The Executive Headteacher/CEO will undertake a risk assessment which considers the impact of the planned action to determine whether each school can safely open to some or all pupils. The Executive Headteacher/CEO will consult with relevant parties, including the Trust Board, LA, and parents. Consideration will include whether procedures can remain effective regarding:</w:t>
      </w:r>
    </w:p>
    <w:p w14:paraId="5B08A6D5" w14:textId="77777777" w:rsidR="003115BD" w:rsidRDefault="003115BD" w:rsidP="003115BD">
      <w:pPr>
        <w:pStyle w:val="ListParagraph"/>
        <w:numPr>
          <w:ilvl w:val="0"/>
          <w:numId w:val="19"/>
        </w:numPr>
      </w:pPr>
      <w:r>
        <w:t>Health and safety, including:</w:t>
      </w:r>
    </w:p>
    <w:p w14:paraId="75F5231A" w14:textId="77777777" w:rsidR="003115BD" w:rsidRDefault="003115BD" w:rsidP="003115BD">
      <w:pPr>
        <w:pStyle w:val="ListParagraph"/>
        <w:numPr>
          <w:ilvl w:val="1"/>
          <w:numId w:val="20"/>
        </w:numPr>
      </w:pPr>
      <w:r>
        <w:t>Fire safety</w:t>
      </w:r>
    </w:p>
    <w:p w14:paraId="58508199" w14:textId="77777777" w:rsidR="003115BD" w:rsidRDefault="003115BD" w:rsidP="003115BD">
      <w:pPr>
        <w:pStyle w:val="ListParagraph"/>
        <w:numPr>
          <w:ilvl w:val="1"/>
          <w:numId w:val="20"/>
        </w:numPr>
      </w:pPr>
      <w:r>
        <w:t>First-aid</w:t>
      </w:r>
    </w:p>
    <w:p w14:paraId="2388ACD1" w14:textId="77777777" w:rsidR="003115BD" w:rsidRDefault="003115BD" w:rsidP="003115BD">
      <w:pPr>
        <w:pStyle w:val="ListParagraph"/>
        <w:numPr>
          <w:ilvl w:val="1"/>
          <w:numId w:val="20"/>
        </w:numPr>
      </w:pPr>
      <w:r>
        <w:t>Evacuation and emergency plans</w:t>
      </w:r>
    </w:p>
    <w:p w14:paraId="4D5A866C" w14:textId="77777777" w:rsidR="003115BD" w:rsidRDefault="003115BD" w:rsidP="003115BD">
      <w:pPr>
        <w:pStyle w:val="ListParagraph"/>
        <w:numPr>
          <w:ilvl w:val="1"/>
          <w:numId w:val="20"/>
        </w:numPr>
      </w:pPr>
      <w:r>
        <w:t>Food preparation</w:t>
      </w:r>
    </w:p>
    <w:p w14:paraId="24E3B56D" w14:textId="77777777" w:rsidR="003115BD" w:rsidRDefault="003115BD" w:rsidP="003115BD">
      <w:pPr>
        <w:pStyle w:val="ListParagraph"/>
        <w:numPr>
          <w:ilvl w:val="0"/>
          <w:numId w:val="19"/>
        </w:numPr>
      </w:pPr>
      <w:r>
        <w:t>Safeguarding and child protection</w:t>
      </w:r>
    </w:p>
    <w:p w14:paraId="4EB3E86B" w14:textId="77777777" w:rsidR="003115BD" w:rsidRDefault="003115BD" w:rsidP="003115BD">
      <w:pPr>
        <w:pStyle w:val="ListParagraph"/>
        <w:numPr>
          <w:ilvl w:val="0"/>
          <w:numId w:val="19"/>
        </w:numPr>
      </w:pPr>
      <w:r>
        <w:t>SEND provision</w:t>
      </w:r>
    </w:p>
    <w:p w14:paraId="66E83832" w14:textId="77777777" w:rsidR="003115BD" w:rsidRDefault="003115BD" w:rsidP="003115BD">
      <w:pPr>
        <w:pStyle w:val="ListParagraph"/>
        <w:numPr>
          <w:ilvl w:val="0"/>
          <w:numId w:val="19"/>
        </w:numPr>
      </w:pPr>
      <w:r>
        <w:t>Staff workload</w:t>
      </w:r>
    </w:p>
    <w:p w14:paraId="75C0C282" w14:textId="77777777" w:rsidR="003115BD" w:rsidRDefault="003115BD" w:rsidP="003115BD">
      <w:r>
        <w:t xml:space="preserve">TCAT will respect the entitlement of unions represented at TCAT schools to see the risk assessment. </w:t>
      </w:r>
    </w:p>
    <w:p w14:paraId="7EF2E817" w14:textId="1C13EA5B" w:rsidR="003115BD" w:rsidRDefault="003115BD" w:rsidP="003115BD">
      <w:r>
        <w:t>TCAT only has an obligation to be informed of the number of staff that will be on strike and will respect the right of individual staff to not disclose if they will be taking part in strike action; however, the Executive Headteacher/CEO</w:t>
      </w:r>
      <w:r w:rsidR="002F4FC5">
        <w:t xml:space="preserve"> or in a TCAT school with a Headteacher</w:t>
      </w:r>
      <w:r>
        <w:t>, and only the Executive Headteacher/CEO</w:t>
      </w:r>
      <w:r w:rsidR="002F4FC5">
        <w:t xml:space="preserve"> or Headteacher</w:t>
      </w:r>
      <w:r>
        <w:t xml:space="preserve">, will politely request this information in order to be able to make an informed decision and will not pressure staff for an answer. </w:t>
      </w:r>
      <w:r w:rsidR="002F4FC5">
        <w:t>Where this information is shared within a TCAT school with the Headteacher then they will share it with the Executive Headteacher/CEO.</w:t>
      </w:r>
    </w:p>
    <w:p w14:paraId="47BEA5BA" w14:textId="12BD6F32" w:rsidR="003115BD" w:rsidRDefault="003115BD" w:rsidP="003115BD">
      <w:r>
        <w:t xml:space="preserve">The LA and parents will be notified as soon as possible once a decision is made on any </w:t>
      </w:r>
      <w:r w:rsidR="001876C5">
        <w:t>school’s</w:t>
      </w:r>
      <w:r>
        <w:t xml:space="preserve"> ability to remain open. </w:t>
      </w:r>
    </w:p>
    <w:p w14:paraId="77E8B5A5" w14:textId="77777777" w:rsidR="003115BD" w:rsidRDefault="003115BD" w:rsidP="003115BD">
      <w:r w:rsidRPr="00F97873">
        <w:t xml:space="preserve">For our Early Years provision within our primary schools, statutory minimum staffing ratio requirements and class size restrictions will continue </w:t>
      </w:r>
      <w:r>
        <w:t xml:space="preserve">to apply during strike action. </w:t>
      </w:r>
    </w:p>
    <w:p w14:paraId="358D7C6B" w14:textId="77777777" w:rsidR="003115BD" w:rsidRDefault="003115BD" w:rsidP="003115BD">
      <w:r>
        <w:t>The Executive Headteacher/CEO will speak to the Trust Board to consider how resources, including staff, can be pooled to maximise the ability to remain open for as many pupils as possible.</w:t>
      </w:r>
    </w:p>
    <w:p w14:paraId="0FEAE9EB" w14:textId="77777777" w:rsidR="003115BD" w:rsidRDefault="003115BD" w:rsidP="003115BD">
      <w:pPr>
        <w:pStyle w:val="Heading10"/>
      </w:pPr>
      <w:bookmarkStart w:id="7" w:name="_Covering_staff_on"/>
      <w:bookmarkEnd w:id="7"/>
      <w:r>
        <w:t>Covering staff on strike</w:t>
      </w:r>
    </w:p>
    <w:p w14:paraId="421C9611" w14:textId="77777777" w:rsidR="003115BD" w:rsidRDefault="003115BD" w:rsidP="003115BD">
      <w:pPr>
        <w:spacing w:before="240"/>
      </w:pPr>
      <w:r>
        <w:t>Non-union staff and staff not taking part in strike action will be asked to undertake their regular duties or cover work during a strike, provided this is covered by their employment contracts and does not discriminate against any other staff member directly or indirectly. TCAT will respect the right of teaching staff not on strike employed under the STPCD to refuse to provide cover for other teaching staff.</w:t>
      </w:r>
    </w:p>
    <w:p w14:paraId="5DB5DEC5" w14:textId="77777777" w:rsidR="003115BD" w:rsidRDefault="003115BD" w:rsidP="003115BD">
      <w:pPr>
        <w:spacing w:before="240"/>
      </w:pPr>
      <w:r>
        <w:lastRenderedPageBreak/>
        <w:t>Support staff will be used to provide cover supervision and oversee any alternative activities organised. The Executive Headteacher/CEO will consider asking support staff to undertake ‘specified work’ if they have the skills required, subject to the direction and supervision of a qualified teacher.</w:t>
      </w:r>
    </w:p>
    <w:p w14:paraId="2530082E" w14:textId="77777777" w:rsidR="003115BD" w:rsidRDefault="003115BD" w:rsidP="003115BD">
      <w:pPr>
        <w:spacing w:before="240"/>
      </w:pPr>
      <w:r>
        <w:t>The hiring of new staff on a fixed-term basis will be considered to help cover the duties of staff on strike. New staff will be hired directly – including via the use of an employment agency to source suitable candidates – and issued with a fixed-term contract setting out the length of the employment. Safeguarding procedures for recruitment will be followed for all new staff employed to cover strikes, in line with the TCAT Safer Recruitment Policy.</w:t>
      </w:r>
    </w:p>
    <w:p w14:paraId="3EB693AB" w14:textId="77777777" w:rsidR="003115BD" w:rsidRDefault="003115BD" w:rsidP="003115BD">
      <w:pPr>
        <w:spacing w:before="240"/>
      </w:pPr>
      <w:r>
        <w:t>TCAT may use current volunteers with relevant DBS checks to provide supervision and identify new volunteers who could support existing staff or volunteers for whom relevant checks have been undertaken, in line with the TCAT Volunteer Policy. Any new volunteers will be supervised by another staff member or volunteer with a DBS check. The Executive Headteacher/CEO will ensure that the use of volunteers during a strike does not in any way compromise TCAT’s safeguarding duties.</w:t>
      </w:r>
    </w:p>
    <w:p w14:paraId="7D4BE17B" w14:textId="77777777" w:rsidR="003115BD" w:rsidRDefault="003115BD" w:rsidP="003115BD">
      <w:bookmarkStart w:id="8" w:name="_Exemptions"/>
      <w:bookmarkEnd w:id="8"/>
      <w:r>
        <w:t xml:space="preserve">In line with the High Court’s 2023 ruling and Regulation 7 of the Conduct of Employment Agencies and Employment Business Regulations 2003 (“the Conduct Regulations”), TCAT will not hire agency staff to undertake the duties of staff taking part in strike action, nor to cover the duties of staff who are already covering for those taking part in strike action. </w:t>
      </w:r>
    </w:p>
    <w:p w14:paraId="63162E22" w14:textId="77777777" w:rsidR="003115BD" w:rsidRDefault="003115BD" w:rsidP="003115BD">
      <w:pPr>
        <w:pStyle w:val="Heading10"/>
      </w:pPr>
      <w:r>
        <w:t>Exemptions</w:t>
      </w:r>
    </w:p>
    <w:p w14:paraId="64F4B154" w14:textId="77777777" w:rsidR="003115BD" w:rsidRDefault="003115BD" w:rsidP="003115BD">
      <w:r>
        <w:t xml:space="preserve">The Executive Headteacher/CEO will consider the DfE’s advice to seek exemptions from strike action with the relevant trade unions to avoid disruption to essential services, e.g., school road safety officers and crossing patrols. </w:t>
      </w:r>
    </w:p>
    <w:p w14:paraId="1A43E1B3" w14:textId="77777777" w:rsidR="003115BD" w:rsidRDefault="003115BD" w:rsidP="003115BD">
      <w:r>
        <w:t>Where staff could face long-term financial loss for taking part in strikes, the Executive Headteacher/CEO will also consider seeking an exemption with relevant trade unions. This includes:</w:t>
      </w:r>
    </w:p>
    <w:p w14:paraId="39363F02" w14:textId="77777777" w:rsidR="003115BD" w:rsidRPr="00B76116" w:rsidRDefault="003115BD" w:rsidP="003115BD">
      <w:pPr>
        <w:pStyle w:val="ListParagraph"/>
        <w:numPr>
          <w:ilvl w:val="0"/>
          <w:numId w:val="17"/>
        </w:numPr>
      </w:pPr>
      <w:r w:rsidRPr="00B76116">
        <w:t xml:space="preserve">Pregnant staff who have notified </w:t>
      </w:r>
      <w:r>
        <w:t>TCAT</w:t>
      </w:r>
      <w:r w:rsidRPr="00B76116">
        <w:t xml:space="preserve"> of their maternity leave dates</w:t>
      </w:r>
    </w:p>
    <w:p w14:paraId="711C054B" w14:textId="77777777" w:rsidR="003115BD" w:rsidRPr="00B76116" w:rsidRDefault="003115BD" w:rsidP="003115BD">
      <w:pPr>
        <w:pStyle w:val="ListParagraph"/>
        <w:numPr>
          <w:ilvl w:val="0"/>
          <w:numId w:val="17"/>
        </w:numPr>
      </w:pPr>
      <w:r w:rsidRPr="00B76116">
        <w:t>Staff in their final year of service who are in the pension scheme</w:t>
      </w:r>
    </w:p>
    <w:p w14:paraId="5B03F8B8" w14:textId="77777777" w:rsidR="003115BD" w:rsidRPr="00B76116" w:rsidRDefault="003115BD" w:rsidP="003115BD">
      <w:pPr>
        <w:pStyle w:val="ListParagraph"/>
        <w:numPr>
          <w:ilvl w:val="0"/>
          <w:numId w:val="17"/>
        </w:numPr>
      </w:pPr>
      <w:r w:rsidRPr="00B76116">
        <w:t>Staff whose state benefits could be affected by involvement in strike action</w:t>
      </w:r>
    </w:p>
    <w:p w14:paraId="42698907" w14:textId="77777777" w:rsidR="003115BD" w:rsidRDefault="003115BD" w:rsidP="003115BD">
      <w:pPr>
        <w:pStyle w:val="Heading10"/>
      </w:pPr>
      <w:bookmarkStart w:id="9" w:name="_The_curriculum_and"/>
      <w:bookmarkEnd w:id="9"/>
      <w:r>
        <w:t>The curriculum and alternative activities</w:t>
      </w:r>
    </w:p>
    <w:p w14:paraId="65BAB7BE" w14:textId="77777777" w:rsidR="003115BD" w:rsidRDefault="003115BD" w:rsidP="003115BD">
      <w:r>
        <w:t xml:space="preserve">TCAT recognises it is not legally required to deliver the curriculum on strike days. Where a TCAT school(s) remain(s) open or partially open, it/they will aim to deliver education as normal but will consider alternative activities if this is the best means to remain open to as many pupils as possible. </w:t>
      </w:r>
    </w:p>
    <w:p w14:paraId="4727EAEF" w14:textId="77777777" w:rsidR="003115BD" w:rsidRDefault="003115BD" w:rsidP="003115BD">
      <w:r>
        <w:t>Activities will be considered that allow for effective supervision of pupils with fewer staff, e.g., engaging an external provider for performances and workshops in the assembly hall, whole-school sports coaching sessions.</w:t>
      </w:r>
    </w:p>
    <w:p w14:paraId="616CB6C7" w14:textId="77777777" w:rsidR="003115BD" w:rsidRDefault="003115BD" w:rsidP="003115BD">
      <w:r>
        <w:t xml:space="preserve">Classes will be combined where appropriate to allow for suitable supervision with fewer members of staff available. </w:t>
      </w:r>
    </w:p>
    <w:p w14:paraId="22ACD5F9" w14:textId="77777777" w:rsidR="003115BD" w:rsidRDefault="003115BD" w:rsidP="003115BD">
      <w:pPr>
        <w:pStyle w:val="Heading10"/>
      </w:pPr>
      <w:bookmarkStart w:id="10" w:name="_School_lunch"/>
      <w:bookmarkEnd w:id="10"/>
      <w:r>
        <w:lastRenderedPageBreak/>
        <w:t>School lunch</w:t>
      </w:r>
    </w:p>
    <w:p w14:paraId="5B997797" w14:textId="77777777" w:rsidR="003115BD" w:rsidRDefault="003115BD" w:rsidP="003115BD">
      <w:r>
        <w:t>A TCAT school will not close if it is unable to provide a normal lunch service for pupils required to attend. TCAT’s duty to provide FSMs for eligible pupils will still be observed during strike action, even where it is not possible to provide a normal lunch service. Alternative plans will be put in place, e.g., arranging cover to prepare meals on site, arranging for meals to be brought in.</w:t>
      </w:r>
    </w:p>
    <w:p w14:paraId="298DB64C" w14:textId="421C5B09" w:rsidR="003115BD" w:rsidRDefault="003115BD" w:rsidP="003115BD">
      <w:r>
        <w:t xml:space="preserve">It should be noted that currently, meal provision across TCAT with the exception of Stoke Prior who use </w:t>
      </w:r>
      <w:r w:rsidR="001876C5">
        <w:t>AIP</w:t>
      </w:r>
      <w:r>
        <w:t>, is provided by Black Pepper School Lunches and is unlikely to be adversely affected by strike action.</w:t>
      </w:r>
    </w:p>
    <w:p w14:paraId="3C973E4D" w14:textId="77777777" w:rsidR="003115BD" w:rsidRDefault="003115BD" w:rsidP="003115BD">
      <w:r>
        <w:t xml:space="preserve">If pupils eligible for FSM are not attending school nor being educated remotely, TCAT will make arrangements to ensure they are provided with a good quality lunch. </w:t>
      </w:r>
    </w:p>
    <w:p w14:paraId="113DEEC3" w14:textId="77777777" w:rsidR="003115BD" w:rsidRDefault="003115BD" w:rsidP="003115BD">
      <w:pPr>
        <w:pStyle w:val="Heading10"/>
      </w:pPr>
      <w:bookmarkStart w:id="11" w:name="_Exams"/>
      <w:bookmarkEnd w:id="11"/>
      <w:r>
        <w:t>Exams</w:t>
      </w:r>
    </w:p>
    <w:p w14:paraId="0FFD59B4" w14:textId="77777777" w:rsidR="003115BD" w:rsidRDefault="003115BD" w:rsidP="003115BD">
      <w:r>
        <w:t xml:space="preserve">The Executive Headteacher/CEO will retain a formal role as ‘Head of Centre’ if strikes take place during exams except where that TCAT school has a Headteacher in place. TCAT schools will remain open for exams where possible, even if the school is otherwise closed or partially closed. </w:t>
      </w:r>
    </w:p>
    <w:p w14:paraId="0566FDF9" w14:textId="77777777" w:rsidR="003115BD" w:rsidRDefault="003115BD" w:rsidP="003115BD">
      <w:r>
        <w:t>Procedures on staff shortages will be followed in line with TCAT’s Exam Contingency Plan.</w:t>
      </w:r>
    </w:p>
    <w:p w14:paraId="5B29FA0B" w14:textId="77777777" w:rsidR="003115BD" w:rsidRDefault="003115BD" w:rsidP="003115BD">
      <w:r>
        <w:t xml:space="preserve">The Executive Headteacher/CEO will speak to trade union representatives to seek exemptions for certain staff solely for the purpose of allowing exams to go ahead, where necessary. </w:t>
      </w:r>
    </w:p>
    <w:p w14:paraId="746A67DC" w14:textId="77777777" w:rsidR="003115BD" w:rsidRDefault="003115BD" w:rsidP="003115BD">
      <w:pPr>
        <w:pStyle w:val="Heading10"/>
      </w:pPr>
      <w:bookmarkStart w:id="12" w:name="_Pay_deductions"/>
      <w:bookmarkEnd w:id="12"/>
      <w:r>
        <w:t>Pay deductions</w:t>
      </w:r>
    </w:p>
    <w:p w14:paraId="311F6A65" w14:textId="77777777" w:rsidR="003115BD" w:rsidRDefault="003115BD" w:rsidP="003115BD">
      <w:r>
        <w:t xml:space="preserve">Once TCAT is informed of planned strike action, it will communicate clearly to staff its intended pay deductions for those who take part. </w:t>
      </w:r>
    </w:p>
    <w:p w14:paraId="1D4167C1" w14:textId="77777777" w:rsidR="003115BD" w:rsidRDefault="003115BD" w:rsidP="003115BD">
      <w:r>
        <w:t xml:space="preserve">TCAT will deduct the pay of staff on strike if they were scheduled to be working that day by no more than one fifth of weekly pay for a day’s strike action, i.e., what they would have earned during the strike. </w:t>
      </w:r>
    </w:p>
    <w:p w14:paraId="71362064" w14:textId="77777777" w:rsidR="003115BD" w:rsidRDefault="003115BD" w:rsidP="003115BD">
      <w:r>
        <w:t>For teachers, deductions of salary for unauthorised absence due to strike action will be calculated at a daily or part-daily rate based on the day’s salary being a 1/365</w:t>
      </w:r>
      <w:r w:rsidRPr="00F45F29">
        <w:rPr>
          <w:vertAlign w:val="superscript"/>
        </w:rPr>
        <w:t>th</w:t>
      </w:r>
      <w:r>
        <w:t xml:space="preserve"> of a year for each day of the period of absence as set out in the ‘Burgundy Book’ and recognised in law.</w:t>
      </w:r>
    </w:p>
    <w:p w14:paraId="44858EE5" w14:textId="77777777" w:rsidR="003115BD" w:rsidRDefault="003115BD" w:rsidP="003115BD">
      <w:pPr>
        <w:rPr>
          <w:b/>
          <w:bCs/>
          <w:shd w:val="clear" w:color="auto" w:fill="ECECEC" w:themeFill="background2"/>
        </w:rPr>
      </w:pPr>
      <w:r>
        <w:t>Where TCAT has to close a school(s) due to strike action, staff who had informed the Executive Headteacher/CEO in in advance that they would not be taking part in strike action will be paid as normal.</w:t>
      </w:r>
    </w:p>
    <w:p w14:paraId="52C7B6B1" w14:textId="77777777" w:rsidR="003115BD" w:rsidRDefault="003115BD" w:rsidP="003115BD">
      <w:pPr>
        <w:pStyle w:val="Heading10"/>
      </w:pPr>
      <w:bookmarkStart w:id="13" w:name="_Disciplinary_action_and"/>
      <w:bookmarkEnd w:id="13"/>
      <w:r>
        <w:t>Disciplinary action and dismissals</w:t>
      </w:r>
    </w:p>
    <w:p w14:paraId="52B8736D" w14:textId="77777777" w:rsidR="003115BD" w:rsidRDefault="003115BD" w:rsidP="003115BD">
      <w:r>
        <w:t xml:space="preserve">All staff will be made aware that taking part in strike action is a breach of contract. A written warning may precede the initiation of any disciplinary action against an individual staff member. </w:t>
      </w:r>
    </w:p>
    <w:p w14:paraId="0930EF3F" w14:textId="77777777" w:rsidR="003115BD" w:rsidRDefault="003115BD" w:rsidP="003115BD">
      <w:r>
        <w:lastRenderedPageBreak/>
        <w:t>Dismissal will only ever be considered as a last resort. TCAT will consider the risk of tribunal claims and damage to relations with other staff and unions before dismissing any staff member. TCAT will avoid the following actions:</w:t>
      </w:r>
    </w:p>
    <w:p w14:paraId="355704C7" w14:textId="77777777" w:rsidR="003115BD" w:rsidRDefault="003115BD" w:rsidP="003115BD">
      <w:pPr>
        <w:pStyle w:val="ListParagraph"/>
        <w:numPr>
          <w:ilvl w:val="0"/>
          <w:numId w:val="22"/>
        </w:numPr>
      </w:pPr>
      <w:r>
        <w:t>Dismissing a member of staff within the first 12 weeks of lawful industrial action for their involvement</w:t>
      </w:r>
    </w:p>
    <w:p w14:paraId="665F054E" w14:textId="77777777" w:rsidR="003115BD" w:rsidRDefault="003115BD" w:rsidP="003115BD">
      <w:pPr>
        <w:pStyle w:val="ListParagraph"/>
        <w:numPr>
          <w:ilvl w:val="0"/>
          <w:numId w:val="22"/>
        </w:numPr>
      </w:pPr>
      <w:r>
        <w:t>Dismissing some staff for involvement in action, but not others</w:t>
      </w:r>
    </w:p>
    <w:p w14:paraId="665B7852" w14:textId="77777777" w:rsidR="003115BD" w:rsidRDefault="003115BD" w:rsidP="003115BD">
      <w:pPr>
        <w:pStyle w:val="ListParagraph"/>
        <w:numPr>
          <w:ilvl w:val="0"/>
          <w:numId w:val="22"/>
        </w:numPr>
      </w:pPr>
      <w:r>
        <w:t>Dismissing all staff and re-hiring only some members</w:t>
      </w:r>
    </w:p>
    <w:p w14:paraId="5E23CCB6" w14:textId="77777777" w:rsidR="003115BD" w:rsidRPr="00F45F29" w:rsidRDefault="003115BD" w:rsidP="003115BD">
      <w:r>
        <w:t xml:space="preserve">Any instances or allegations of staff misconduct relating to the strike action, e.g., bullying or intimidating other staff members, will be managed in line with TCAT’s Disciplinary Policy and Procedure. </w:t>
      </w:r>
    </w:p>
    <w:p w14:paraId="1E7143AD" w14:textId="77777777" w:rsidR="003115BD" w:rsidRDefault="003115BD" w:rsidP="003115BD">
      <w:pPr>
        <w:pStyle w:val="Heading10"/>
      </w:pPr>
      <w:bookmarkStart w:id="14" w:name="_Continuous_employment_and"/>
      <w:bookmarkEnd w:id="14"/>
      <w:r>
        <w:t xml:space="preserve"> Continuous employment and length of service</w:t>
      </w:r>
    </w:p>
    <w:p w14:paraId="7A3E0A5A" w14:textId="77777777" w:rsidR="003115BD" w:rsidRDefault="003115BD" w:rsidP="003115BD">
      <w:r>
        <w:t xml:space="preserve">Continuous employment will be unaffected by industrial action when the staff member returns to work once the strikes conclude. Terms and conditions of employment will continue to apply and be observed during and after any strike action. </w:t>
      </w:r>
    </w:p>
    <w:p w14:paraId="39201BFA" w14:textId="77777777" w:rsidR="003115BD" w:rsidRDefault="003115BD" w:rsidP="003115BD">
      <w:r>
        <w:t>Staff will be made aware that days on strike will not count towards total length of service and may affect redundancy pay and pensions.</w:t>
      </w:r>
    </w:p>
    <w:p w14:paraId="1FDE1446" w14:textId="77777777" w:rsidR="003115BD" w:rsidRDefault="003115BD" w:rsidP="003115BD">
      <w:pPr>
        <w:pStyle w:val="Heading10"/>
      </w:pPr>
      <w:bookmarkStart w:id="15" w:name="_Picket_lines"/>
      <w:bookmarkEnd w:id="15"/>
      <w:r>
        <w:t xml:space="preserve"> Picket lines</w:t>
      </w:r>
    </w:p>
    <w:p w14:paraId="25BC7BBA" w14:textId="77777777" w:rsidR="003115BD" w:rsidRDefault="003115BD" w:rsidP="003115BD">
      <w:r>
        <w:t xml:space="preserve">TCAT and our schools will recognise and not interfere with the right of staff on strike and their union representatives to picket outside any TCAT school during strikes, and to communicate information and peacefully seek to persuade other staff to not work. </w:t>
      </w:r>
    </w:p>
    <w:p w14:paraId="4AE34E2F" w14:textId="77777777" w:rsidR="003115BD" w:rsidRDefault="003115BD" w:rsidP="003115BD">
      <w:r>
        <w:t>TCAT will raise any concerns about a picket line being unlawful with the relevant trade union representative. Concerns will be raised where:</w:t>
      </w:r>
    </w:p>
    <w:p w14:paraId="0D3B4315" w14:textId="77777777" w:rsidR="003115BD" w:rsidRDefault="003115BD" w:rsidP="003115BD">
      <w:pPr>
        <w:pStyle w:val="ListParagraph"/>
        <w:numPr>
          <w:ilvl w:val="0"/>
          <w:numId w:val="12"/>
        </w:numPr>
      </w:pPr>
      <w:r>
        <w:t>Staff not on strike and people not employed at the school join a picket</w:t>
      </w:r>
    </w:p>
    <w:p w14:paraId="35894696" w14:textId="77777777" w:rsidR="003115BD" w:rsidRDefault="003115BD" w:rsidP="003115BD">
      <w:pPr>
        <w:pStyle w:val="ListParagraph"/>
        <w:numPr>
          <w:ilvl w:val="0"/>
          <w:numId w:val="12"/>
        </w:numPr>
      </w:pPr>
      <w:r>
        <w:t>More than six people are in a picket</w:t>
      </w:r>
    </w:p>
    <w:p w14:paraId="6E65A6AE" w14:textId="77777777" w:rsidR="003115BD" w:rsidRDefault="003115BD" w:rsidP="003115BD">
      <w:pPr>
        <w:pStyle w:val="ListParagraph"/>
        <w:numPr>
          <w:ilvl w:val="0"/>
          <w:numId w:val="12"/>
        </w:numPr>
      </w:pPr>
      <w:r>
        <w:t>Members of the picket are not acting peacefully, e.g., being loud</w:t>
      </w:r>
    </w:p>
    <w:p w14:paraId="4CB85846" w14:textId="77777777" w:rsidR="003115BD" w:rsidRDefault="003115BD" w:rsidP="003115BD">
      <w:r>
        <w:t xml:space="preserve">If discussion with the trade union representative does not resolve instances of unlawful picketing, TCAT will consider applying to the court for an order preventing, or stopping, the unlawful picketing or its organisation. </w:t>
      </w:r>
    </w:p>
    <w:p w14:paraId="571F4108" w14:textId="77777777" w:rsidR="003115BD" w:rsidRDefault="003115BD" w:rsidP="003115BD">
      <w:r>
        <w:t xml:space="preserve">The police will be contacted where criminal activity is suspected by members of the picket line, e.g., intimidating other staff, causing damage to property. </w:t>
      </w:r>
    </w:p>
    <w:p w14:paraId="650EB44F" w14:textId="77777777" w:rsidR="003115BD" w:rsidRDefault="003115BD" w:rsidP="003115BD">
      <w:r>
        <w:t>Pupils will not be allowed to participate in picket lines.</w:t>
      </w:r>
    </w:p>
    <w:p w14:paraId="002823D4" w14:textId="77777777" w:rsidR="003115BD" w:rsidRDefault="003115BD" w:rsidP="003115BD">
      <w:pPr>
        <w:pStyle w:val="Heading10"/>
      </w:pPr>
      <w:bookmarkStart w:id="16" w:name="_Pupil_attendance"/>
      <w:bookmarkEnd w:id="16"/>
      <w:r>
        <w:t xml:space="preserve"> Pupil attendance</w:t>
      </w:r>
    </w:p>
    <w:p w14:paraId="1EF3296D" w14:textId="78B59BC2" w:rsidR="003115BD" w:rsidRDefault="003115BD" w:rsidP="003115BD">
      <w:r>
        <w:t xml:space="preserve">Where a TCAT school remains open to all pupils, it will communicate clearly to all parents that attendance of pupils is required. Where a TCAT school is partially open, it will communicate clearly to all </w:t>
      </w:r>
      <w:r w:rsidR="001876C5">
        <w:t>parents’</w:t>
      </w:r>
      <w:r>
        <w:t xml:space="preserve"> which pupils are required to attend and which are not. </w:t>
      </w:r>
    </w:p>
    <w:p w14:paraId="7188F0EB" w14:textId="77777777" w:rsidR="003115BD" w:rsidRPr="00AF5D98" w:rsidRDefault="003115BD" w:rsidP="003115BD">
      <w:r w:rsidRPr="00AF5D98">
        <w:lastRenderedPageBreak/>
        <w:t>The attendance code Y will b</w:t>
      </w:r>
      <w:r>
        <w:t xml:space="preserve">e used on days where a TCAT school is closed due to strikes. Regular attendance codes will be used where a TCAT school is open to all pupils. Where a TCAT school is partially open, regular attendances codes will be used for pupils required to attend, and code Y for those who are not. </w:t>
      </w:r>
    </w:p>
    <w:p w14:paraId="2D8F6A0C" w14:textId="77777777" w:rsidR="003115BD" w:rsidRDefault="003115BD" w:rsidP="003115BD">
      <w:pPr>
        <w:pStyle w:val="Heading10"/>
      </w:pPr>
      <w:bookmarkStart w:id="17" w:name="_Parent_complaints"/>
      <w:bookmarkEnd w:id="17"/>
      <w:r>
        <w:t xml:space="preserve"> Parent complaints</w:t>
      </w:r>
    </w:p>
    <w:p w14:paraId="71E41FCE" w14:textId="77777777" w:rsidR="003115BD" w:rsidRPr="00931869" w:rsidRDefault="003115BD" w:rsidP="003115BD">
      <w:r>
        <w:t xml:space="preserve">Parents do not have an express right to receive financial compensation if they are affected by a lawful strike at a TCAT school. Complaints from parents will be managed in line with TCAT’s Complaints Policy and Procedures. </w:t>
      </w:r>
    </w:p>
    <w:p w14:paraId="57A50CAF" w14:textId="77777777" w:rsidR="003115BD" w:rsidRDefault="003115BD" w:rsidP="003115BD">
      <w:pPr>
        <w:pStyle w:val="Heading10"/>
      </w:pPr>
      <w:bookmarkStart w:id="18" w:name="_Monitoring_and_review"/>
      <w:bookmarkEnd w:id="18"/>
      <w:r>
        <w:t xml:space="preserve"> Monitoring and review</w:t>
      </w:r>
    </w:p>
    <w:p w14:paraId="71E4704F" w14:textId="6B5BEC6C" w:rsidR="003115BD" w:rsidRDefault="003115BD" w:rsidP="003115BD">
      <w:r>
        <w:t xml:space="preserve">This policy will be reviewed in line with the published schedule at the front of this document and at any point material changes require it by the Executive Headteacher/CEO in conjunction with the </w:t>
      </w:r>
      <w:r w:rsidR="001876C5">
        <w:t>Trust</w:t>
      </w:r>
      <w:r>
        <w:t xml:space="preserve"> Board. Any changes made to the policy will be amended by the Executive Headteacher/CEO and will be communicated to all members of staff. All staff are required to familiarise themselves with this policy as part of their induction programme.</w:t>
      </w:r>
    </w:p>
    <w:p w14:paraId="63B585A0" w14:textId="043CCEE8" w:rsidR="003115BD" w:rsidRDefault="003115BD" w:rsidP="003115BD">
      <w:r>
        <w:t>The next scheduled review date for this policy is 31</w:t>
      </w:r>
      <w:r w:rsidRPr="005E59B9">
        <w:rPr>
          <w:vertAlign w:val="superscript"/>
        </w:rPr>
        <w:t>st</w:t>
      </w:r>
      <w:r>
        <w:t xml:space="preserve"> August 202</w:t>
      </w:r>
      <w:r w:rsidR="001876C5">
        <w:t>7</w:t>
      </w:r>
      <w:r>
        <w:t xml:space="preserve">. </w:t>
      </w: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3115BD" w14:paraId="7AA5BAD7" w14:textId="77777777" w:rsidTr="00E64C92">
        <w:trPr>
          <w:trHeight w:val="389"/>
        </w:trPr>
        <w:tc>
          <w:tcPr>
            <w:tcW w:w="9026" w:type="dxa"/>
            <w:gridSpan w:val="4"/>
            <w:vAlign w:val="center"/>
          </w:tcPr>
          <w:p w14:paraId="45D43FF0" w14:textId="77777777" w:rsidR="003115BD" w:rsidRDefault="003115BD" w:rsidP="00E64C92">
            <w:pPr>
              <w:spacing w:after="200" w:line="276" w:lineRule="auto"/>
            </w:pPr>
            <w:r>
              <w:t>Signed by:</w:t>
            </w:r>
          </w:p>
        </w:tc>
      </w:tr>
      <w:tr w:rsidR="003115BD" w14:paraId="7C60DC2C" w14:textId="77777777" w:rsidTr="00E64C92">
        <w:trPr>
          <w:trHeight w:val="624"/>
        </w:trPr>
        <w:tc>
          <w:tcPr>
            <w:tcW w:w="2813" w:type="dxa"/>
            <w:tcBorders>
              <w:bottom w:val="single" w:sz="2" w:space="0" w:color="auto"/>
            </w:tcBorders>
          </w:tcPr>
          <w:p w14:paraId="42FDD672" w14:textId="77777777" w:rsidR="003115BD" w:rsidRPr="007271AF" w:rsidRDefault="003115BD" w:rsidP="00E64C92">
            <w:pPr>
              <w:spacing w:line="276" w:lineRule="auto"/>
            </w:pPr>
          </w:p>
        </w:tc>
        <w:tc>
          <w:tcPr>
            <w:tcW w:w="2149" w:type="dxa"/>
            <w:vAlign w:val="bottom"/>
          </w:tcPr>
          <w:p w14:paraId="1F18B57F" w14:textId="77777777" w:rsidR="003115BD" w:rsidRPr="0064371A" w:rsidRDefault="003115BD" w:rsidP="00E64C92">
            <w:pPr>
              <w:spacing w:line="276" w:lineRule="auto"/>
            </w:pPr>
            <w:r>
              <w:t>Executive Headteacher/CEO</w:t>
            </w:r>
          </w:p>
        </w:tc>
        <w:tc>
          <w:tcPr>
            <w:tcW w:w="846" w:type="dxa"/>
            <w:vAlign w:val="bottom"/>
          </w:tcPr>
          <w:p w14:paraId="11F79A10" w14:textId="77777777" w:rsidR="003115BD" w:rsidRDefault="003115BD" w:rsidP="00E64C92">
            <w:pPr>
              <w:spacing w:line="276" w:lineRule="auto"/>
              <w:jc w:val="right"/>
            </w:pPr>
            <w:r w:rsidRPr="007271AF">
              <w:t>Date:</w:t>
            </w:r>
          </w:p>
        </w:tc>
        <w:tc>
          <w:tcPr>
            <w:tcW w:w="3218" w:type="dxa"/>
            <w:tcBorders>
              <w:bottom w:val="single" w:sz="2" w:space="0" w:color="auto"/>
            </w:tcBorders>
          </w:tcPr>
          <w:p w14:paraId="62DE11E1" w14:textId="77777777" w:rsidR="003115BD" w:rsidRDefault="003115BD" w:rsidP="00E64C92">
            <w:pPr>
              <w:spacing w:line="276" w:lineRule="auto"/>
            </w:pPr>
          </w:p>
        </w:tc>
      </w:tr>
      <w:tr w:rsidR="003115BD" w14:paraId="648EA057" w14:textId="77777777" w:rsidTr="00E64C92">
        <w:trPr>
          <w:trHeight w:val="624"/>
        </w:trPr>
        <w:tc>
          <w:tcPr>
            <w:tcW w:w="2813" w:type="dxa"/>
            <w:tcBorders>
              <w:top w:val="single" w:sz="2" w:space="0" w:color="auto"/>
              <w:bottom w:val="single" w:sz="4" w:space="0" w:color="auto"/>
            </w:tcBorders>
          </w:tcPr>
          <w:p w14:paraId="2AEB725B" w14:textId="77777777" w:rsidR="003115BD" w:rsidRPr="007271AF" w:rsidRDefault="003115BD" w:rsidP="00E64C92">
            <w:pPr>
              <w:spacing w:line="276" w:lineRule="auto"/>
            </w:pPr>
          </w:p>
        </w:tc>
        <w:tc>
          <w:tcPr>
            <w:tcW w:w="2149" w:type="dxa"/>
            <w:vAlign w:val="bottom"/>
          </w:tcPr>
          <w:p w14:paraId="258ED5F7" w14:textId="77777777" w:rsidR="003115BD" w:rsidRPr="0064371A" w:rsidRDefault="003115BD" w:rsidP="00E64C92">
            <w:pPr>
              <w:spacing w:line="276" w:lineRule="auto"/>
              <w:rPr>
                <w:highlight w:val="lightGray"/>
              </w:rPr>
            </w:pPr>
            <w:r w:rsidRPr="0064371A">
              <w:t xml:space="preserve">Chair of </w:t>
            </w:r>
            <w:r>
              <w:t>the Trust Board</w:t>
            </w:r>
          </w:p>
        </w:tc>
        <w:tc>
          <w:tcPr>
            <w:tcW w:w="846" w:type="dxa"/>
            <w:vAlign w:val="bottom"/>
          </w:tcPr>
          <w:p w14:paraId="73B33474" w14:textId="77777777" w:rsidR="003115BD" w:rsidRDefault="003115BD" w:rsidP="00E64C92">
            <w:pPr>
              <w:spacing w:line="276" w:lineRule="auto"/>
              <w:jc w:val="right"/>
            </w:pPr>
            <w:r w:rsidRPr="007271AF">
              <w:t>Date:</w:t>
            </w:r>
          </w:p>
        </w:tc>
        <w:tc>
          <w:tcPr>
            <w:tcW w:w="3218" w:type="dxa"/>
            <w:tcBorders>
              <w:top w:val="single" w:sz="2" w:space="0" w:color="auto"/>
              <w:bottom w:val="single" w:sz="4" w:space="0" w:color="auto"/>
            </w:tcBorders>
          </w:tcPr>
          <w:p w14:paraId="3CF02A2C" w14:textId="77777777" w:rsidR="003115BD" w:rsidRDefault="003115BD" w:rsidP="00E64C92">
            <w:pPr>
              <w:spacing w:line="276" w:lineRule="auto"/>
            </w:pPr>
          </w:p>
        </w:tc>
      </w:tr>
    </w:tbl>
    <w:p w14:paraId="25156747" w14:textId="77777777" w:rsidR="003115BD" w:rsidRPr="00A12919" w:rsidRDefault="003115BD" w:rsidP="003115BD">
      <w:pPr>
        <w:rPr>
          <w:szCs w:val="24"/>
        </w:rPr>
      </w:pPr>
    </w:p>
    <w:sectPr w:rsidR="003115BD" w:rsidRPr="00A12919" w:rsidSect="00EA743B">
      <w:headerReference w:type="default" r:id="rId14"/>
      <w:headerReference w:type="first" r:id="rId15"/>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26376C" w14:textId="77777777" w:rsidR="00CD360F" w:rsidRDefault="00CD360F" w:rsidP="00AD4155">
      <w:r>
        <w:separator/>
      </w:r>
    </w:p>
  </w:endnote>
  <w:endnote w:type="continuationSeparator" w:id="0">
    <w:p w14:paraId="60A18FA1" w14:textId="77777777" w:rsidR="00CD360F" w:rsidRDefault="00CD360F"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embedRegular r:id="rId1" w:fontKey="{6DBE99D7-3212-4DC1-B860-2ADEC389815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DA17D" w14:textId="77777777" w:rsidR="009D180E" w:rsidRPr="00E71485" w:rsidRDefault="009D180E" w:rsidP="00E71485">
    <w:pPr>
      <w:pStyle w:val="Footer"/>
    </w:pPr>
    <w:r>
      <w:rPr>
        <w:noProof/>
        <w:lang w:eastAsia="en-GB"/>
      </w:rPr>
      <mc:AlternateContent>
        <mc:Choice Requires="wps">
          <w:drawing>
            <wp:anchor distT="0" distB="0" distL="114300" distR="114300" simplePos="0" relativeHeight="251665408" behindDoc="0" locked="0" layoutInCell="1" allowOverlap="1" wp14:anchorId="588D194D" wp14:editId="38108387">
              <wp:simplePos x="0" y="0"/>
              <wp:positionH relativeFrom="column">
                <wp:posOffset>-33494</wp:posOffset>
              </wp:positionH>
              <wp:positionV relativeFrom="paragraph">
                <wp:posOffset>-151895</wp:posOffset>
              </wp:positionV>
              <wp:extent cx="2374265" cy="290557"/>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90557"/>
                      </a:xfrm>
                      <a:prstGeom prst="rect">
                        <a:avLst/>
                      </a:prstGeom>
                      <a:noFill/>
                      <a:ln w="9525">
                        <a:noFill/>
                        <a:miter lim="800000"/>
                        <a:headEnd/>
                        <a:tailEnd/>
                      </a:ln>
                    </wps:spPr>
                    <wps:txbx>
                      <w:txbxContent>
                        <w:p w14:paraId="4274CD64" w14:textId="77777777" w:rsidR="009D180E" w:rsidRDefault="009D180E" w:rsidP="00E71485"/>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88D194D" id="_x0000_t202" coordsize="21600,21600" o:spt="202" path="m,l,21600r21600,l21600,xe">
              <v:stroke joinstyle="miter"/>
              <v:path gradientshapeok="t" o:connecttype="rect"/>
            </v:shapetype>
            <v:shape id="Text Box 5" o:spid="_x0000_s1027" type="#_x0000_t202" style="position:absolute;left:0;text-align:left;margin-left:-2.65pt;margin-top:-11.95pt;width:186.95pt;height:22.9pt;z-index:25166540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cCm+QEAAM0DAAAOAAAAZHJzL2Uyb0RvYy54bWysU9uO2yAQfa/Uf0C8N3bceLOx4qy2u92q&#10;0vYibfsBGOMYFRgKJHb69R2wNxu1b1X9gBgPnJlz5rC9GbUiR+G8BFPT5SKnRBgOrTT7mn7/9vDm&#10;mhIfmGmZAiNqehKe3uxev9oOthIF9KBa4QiCGF8NtqZ9CLbKMs97oZlfgBUGkx04zQKGbp+1jg2I&#10;rlVW5PlVNoBrrQMuvMe/91OS7hJ+1wkevnSdF4GommJvIa0urU1cs92WVXvHbC/53Ab7hy40kwaL&#10;nqHuWWDk4ORfUFpyBx66sOCgM+g6yUXigGyW+R9snnpmReKC4nh7lsn/P1j++fhkvzoSxncw4gAT&#10;CW8fgf/wxMBdz8xe3DoHQy9Yi4WXUbJssL6ar0apfeUjSDN8ghaHzA4BEtDYOR1VQZ4E0XEAp7Po&#10;YgyE48/i7XpVXJWUcMwVm7ws16kEq55vW+fDBwGaxE1NHQ41obPjow+xG1Y9H4nFDDxIpdJglSFD&#10;TTdlUaYLFxktA/pOSV3T6zx+kxMiyfemTZcDk2raYwFlZtaR6EQ5jM2IByP7BtoT8ncw+QvfA256&#10;cL8oGdBbNfU/D8wJStRHgxpulqtVNGMKVuW6wMBdZprLDDMcoWoaKJm2dyEZeOJ6i1p3Msnw0snc&#10;K3omqTP7O5ryMk6nXl7h7jcAAAD//wMAUEsDBBQABgAIAAAAIQD2Yk7K4QAAAAkBAAAPAAAAZHJz&#10;L2Rvd25yZXYueG1sTI/LTsMwEEX3SPyDNUjsWqcJCW0ap0KoLJBYQCl71548SmxHsZMGvp5hBavR&#10;aI7unFvsZtOxCQffOitgtYyAoVVOt7YWcHx/WqyB+SCtlp2zKOALPezK66tC5tpd7BtOh1AzCrE+&#10;lwKaEPqcc68aNNIvXY+WbpUbjAy0DjXXg7xQuOl4HEUZN7K19KGRPT42qD4PoxFQPX/cm5e7an/c&#10;j+n3eUrV/ForIW5v5octsIBz+IPhV5/UoSSnkxut9qwTsEgTImnGyQYYAUm2zoCdBMSrDfCy4P8b&#10;lD8AAAD//wMAUEsBAi0AFAAGAAgAAAAhALaDOJL+AAAA4QEAABMAAAAAAAAAAAAAAAAAAAAAAFtD&#10;b250ZW50X1R5cGVzXS54bWxQSwECLQAUAAYACAAAACEAOP0h/9YAAACUAQAACwAAAAAAAAAAAAAA&#10;AAAvAQAAX3JlbHMvLnJlbHNQSwECLQAUAAYACAAAACEAOO3ApvkBAADNAwAADgAAAAAAAAAAAAAA&#10;AAAuAgAAZHJzL2Uyb0RvYy54bWxQSwECLQAUAAYACAAAACEA9mJOyuEAAAAJAQAADwAAAAAAAAAA&#10;AAAAAABTBAAAZHJzL2Rvd25yZXYueG1sUEsFBgAAAAAEAAQA8wAAAGEFAAAAAA==&#10;" filled="f" stroked="f">
              <v:textbox>
                <w:txbxContent>
                  <w:p w14:paraId="4274CD64" w14:textId="77777777" w:rsidR="009D180E" w:rsidRDefault="009D180E" w:rsidP="00E71485"/>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3238D" w14:textId="77777777" w:rsidR="00CD360F" w:rsidRDefault="00CD360F" w:rsidP="00AD4155">
      <w:r>
        <w:separator/>
      </w:r>
    </w:p>
  </w:footnote>
  <w:footnote w:type="continuationSeparator" w:id="0">
    <w:p w14:paraId="00FB5DC1" w14:textId="77777777" w:rsidR="00CD360F" w:rsidRDefault="00CD360F"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E59BA" w14:textId="77777777" w:rsidR="009D180E" w:rsidRDefault="002F4FC5">
    <w:pPr>
      <w:pStyle w:val="Header"/>
    </w:pPr>
    <w:r>
      <w:rPr>
        <w:noProof/>
      </w:rPr>
      <w:pict w14:anchorId="66596C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39675" o:spid="_x0000_s1026" type="#_x0000_t136" style="position:absolute;left:0;text-align:left;margin-left:0;margin-top:0;width:581.95pt;height:77.55pt;rotation:315;z-index:-251649024;mso-position-horizontal:center;mso-position-horizontal-relative:margin;mso-position-vertical:center;mso-position-vertical-relative:margin" o:allowincell="f" fillcolor="#041e42 [3206]" stroked="f">
          <v:fill opacity=".5"/>
          <v:textpath style="font-family:&quot;Arial&quot;;font-size:1pt" string="MODEL POLIC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387F4" w14:textId="77777777" w:rsidR="009D180E" w:rsidRPr="000354B9" w:rsidRDefault="009D180E" w:rsidP="000354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38727" w14:textId="77777777" w:rsidR="009D180E" w:rsidRDefault="002F4FC5">
    <w:pPr>
      <w:pStyle w:val="Header"/>
    </w:pPr>
    <w:r>
      <w:rPr>
        <w:noProof/>
      </w:rPr>
      <w:pict w14:anchorId="0FA184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39674" o:spid="_x0000_s1025" type="#_x0000_t136" style="position:absolute;left:0;text-align:left;margin-left:0;margin-top:0;width:581.95pt;height:77.55pt;rotation:315;z-index:-251650048;mso-position-horizontal:center;mso-position-horizontal-relative:margin;mso-position-vertical:center;mso-position-vertical-relative:margin" o:allowincell="f" fillcolor="#041e42 [3206]" stroked="f">
          <v:fill opacity=".5"/>
          <v:textpath style="font-family:&quot;Arial&quot;;font-size:1pt" string="MODEL POLIC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BF8F8" w14:textId="77777777" w:rsidR="003115BD" w:rsidRDefault="003115BD">
    <w:pPr>
      <w:pStyle w:val="Header"/>
    </w:pPr>
    <w:r>
      <w:rPr>
        <w:noProof/>
      </w:rPr>
      <mc:AlternateContent>
        <mc:Choice Requires="wps">
          <w:drawing>
            <wp:anchor distT="45720" distB="45720" distL="114300" distR="114300" simplePos="0" relativeHeight="251669504" behindDoc="0" locked="0" layoutInCell="1" allowOverlap="1" wp14:anchorId="13B44706" wp14:editId="06156FAC">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4EAA18F3" w14:textId="77777777" w:rsidR="003115BD" w:rsidRPr="00935945" w:rsidRDefault="003115BD">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B44706" id="_x0000_t202" coordsize="21600,21600" o:spt="202" path="m,l,21600r21600,l21600,xe">
              <v:stroke joinstyle="miter"/>
              <v:path gradientshapeok="t" o:connecttype="rect"/>
            </v:shapetype>
            <v:shape id="_x0000_s1028" type="#_x0000_t202" style="position:absolute;left:0;text-align:left;margin-left:473.15pt;margin-top:-27.3pt;width:51.3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VmMDwIAAP0DAAAOAAAAZHJzL2Uyb0RvYy54bWysk1Fv0zAQx9+R+A6W32maqi1b1HQaHUVI&#10;YyANPoDjOI2F4zNnt8n49JydrKvGGyIPlp2z/7773d+bm6Ez7KTQa7Alz2dzzpSVUGt7KPmP7/t3&#10;V5z5IGwtDFhV8ifl+c327ZtN7wq1gBZMrZCRiPVF70rehuCKLPOyVZ3wM3DKUrAB7ESgJR6yGkVP&#10;6p3JFvP5OusBa4cglff0924M8m3Sbxolw9em8SowU3LKLaQR01jFMdtuRHFA4VotpzTEP2TRCW3p&#10;0rPUnQiCHVH/JdVpieChCTMJXQZNo6VKNVA1+fxVNY+tcCrVQnC8O2Py/09WPpwe3TdkYfgAAzUw&#10;FeHdPcifnlnYtcIe1C0i9K0SNV2cR2RZ73wxHY2ofeGjSNV/gZqaLI4BktDQYBepUJ2M1KkBT2fo&#10;aghM0s/1Kl/lFJEUypfz5XqRupKJ4vm0Qx8+KehYnJQcqalJXZzufYjZiOJ5S7zMg9H1XhuTFnio&#10;dgbZSZAB9ulLBbzaZizrS369WqySsoV4Pnmj04EManRX8qt5/EbLRBofbZ22BKHNOKdMjJ3wRCIj&#10;mzBUA9P1xC7SqqB+Il4Iox/p/dCkBfzNWU9eLLn/dRSoODOfLTG/zpfLaN60WK7eEyGGl5HqMiKs&#10;JKmSB87G6S4kwycc7pZ6s9cJ20smU8rksURzeg/RxJfrtOvl1W7/AAAA//8DAFBLAwQUAAYACAAA&#10;ACEAdmu2/OAAAAAMAQAADwAAAGRycy9kb3ducmV2LnhtbEyPwU7DMAyG70i8Q2QkblsKdNFWmk4T&#10;ExcOSAwkOGaN21Q0TpRkXXl7shPcbPnT7++vt7Md2YQhDo4k3C0LYEit0wP1Ej7enxdrYDEp0mp0&#10;hBJ+MMK2ub6qVaXdmd5wOqSe5RCKlZJgUvIV57E1aFVcOo+Ub50LVqW8hp7roM453I78vigEt2qg&#10;/MEoj08G2+/DyUr4tGbQ+/D61elx2r90u5Wfg5fy9mbePQJLOKc/GC76WR2a7HR0J9KRjRI2pXjI&#10;qITFqhTALkRRrjfAjnkSQgBvav6/RPMLAAD//wMAUEsBAi0AFAAGAAgAAAAhALaDOJL+AAAA4QEA&#10;ABMAAAAAAAAAAAAAAAAAAAAAAFtDb250ZW50X1R5cGVzXS54bWxQSwECLQAUAAYACAAAACEAOP0h&#10;/9YAAACUAQAACwAAAAAAAAAAAAAAAAAvAQAAX3JlbHMvLnJlbHNQSwECLQAUAAYACAAAACEAl3FZ&#10;jA8CAAD9AwAADgAAAAAAAAAAAAAAAAAuAgAAZHJzL2Uyb0RvYy54bWxQSwECLQAUAAYACAAAACEA&#10;dmu2/OAAAAAMAQAADwAAAAAAAAAAAAAAAABpBAAAZHJzL2Rvd25yZXYueG1sUEsFBgAAAAAEAAQA&#10;8wAAAHYFAAAAAA==&#10;" stroked="f">
              <v:textbox style="mso-fit-shape-to-text:t">
                <w:txbxContent>
                  <w:p w14:paraId="4EAA18F3" w14:textId="77777777" w:rsidR="003115BD" w:rsidRPr="00935945" w:rsidRDefault="003115BD">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326EC" w14:textId="77777777" w:rsidR="00D4425F" w:rsidRDefault="00D442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5AE28" w14:textId="77777777" w:rsidR="00D4425F" w:rsidRDefault="00D4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74050A9"/>
    <w:multiLevelType w:val="hybridMultilevel"/>
    <w:tmpl w:val="4ABA40DC"/>
    <w:lvl w:ilvl="0" w:tplc="DBF4C7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411DB"/>
    <w:multiLevelType w:val="hybridMultilevel"/>
    <w:tmpl w:val="8656F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061DE"/>
    <w:multiLevelType w:val="hybridMultilevel"/>
    <w:tmpl w:val="AD94A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57008D"/>
    <w:multiLevelType w:val="hybridMultilevel"/>
    <w:tmpl w:val="25F0DA80"/>
    <w:lvl w:ilvl="0" w:tplc="FFFFFFFF">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053E6B"/>
    <w:multiLevelType w:val="hybridMultilevel"/>
    <w:tmpl w:val="82EAE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485103"/>
    <w:multiLevelType w:val="hybridMultilevel"/>
    <w:tmpl w:val="5BDCA3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DE3C08"/>
    <w:multiLevelType w:val="hybridMultilevel"/>
    <w:tmpl w:val="F09C30B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1813BB6"/>
    <w:multiLevelType w:val="hybridMultilevel"/>
    <w:tmpl w:val="176C1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8C22A1"/>
    <w:multiLevelType w:val="multilevel"/>
    <w:tmpl w:val="7C621AEA"/>
    <w:numStyleLink w:val="Style1"/>
  </w:abstractNum>
  <w:abstractNum w:abstractNumId="12"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39372E5"/>
    <w:multiLevelType w:val="hybridMultilevel"/>
    <w:tmpl w:val="27126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567756A5"/>
    <w:multiLevelType w:val="hybridMultilevel"/>
    <w:tmpl w:val="92AC7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7" w15:restartNumberingAfterBreak="0">
    <w:nsid w:val="62407888"/>
    <w:multiLevelType w:val="hybridMultilevel"/>
    <w:tmpl w:val="D74C0BDA"/>
    <w:lvl w:ilvl="0" w:tplc="09EAB656">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7E30B00"/>
    <w:multiLevelType w:val="hybridMultilevel"/>
    <w:tmpl w:val="6C44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296951"/>
    <w:multiLevelType w:val="hybridMultilevel"/>
    <w:tmpl w:val="1A64B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3139531">
    <w:abstractNumId w:val="19"/>
  </w:num>
  <w:num w:numId="2" w16cid:durableId="46035816">
    <w:abstractNumId w:val="20"/>
  </w:num>
  <w:num w:numId="3" w16cid:durableId="327172534">
    <w:abstractNumId w:val="12"/>
  </w:num>
  <w:num w:numId="4" w16cid:durableId="1657688171">
    <w:abstractNumId w:val="0"/>
  </w:num>
  <w:num w:numId="5" w16cid:durableId="1894536564">
    <w:abstractNumId w:val="16"/>
  </w:num>
  <w:num w:numId="6" w16cid:durableId="1134248584">
    <w:abstractNumId w:val="18"/>
  </w:num>
  <w:num w:numId="7" w16cid:durableId="1915241160">
    <w:abstractNumId w:val="11"/>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979190806">
    <w:abstractNumId w:val="14"/>
  </w:num>
  <w:num w:numId="9" w16cid:durableId="1400440720">
    <w:abstractNumId w:val="17"/>
  </w:num>
  <w:num w:numId="10" w16cid:durableId="2132437324">
    <w:abstractNumId w:val="4"/>
  </w:num>
  <w:num w:numId="11" w16cid:durableId="1933511447">
    <w:abstractNumId w:val="6"/>
  </w:num>
  <w:num w:numId="12" w16cid:durableId="949047608">
    <w:abstractNumId w:val="2"/>
  </w:num>
  <w:num w:numId="13" w16cid:durableId="1779792934">
    <w:abstractNumId w:val="7"/>
  </w:num>
  <w:num w:numId="14" w16cid:durableId="1262452130">
    <w:abstractNumId w:val="3"/>
  </w:num>
  <w:num w:numId="15" w16cid:durableId="789982442">
    <w:abstractNumId w:val="13"/>
  </w:num>
  <w:num w:numId="16" w16cid:durableId="1826816792">
    <w:abstractNumId w:val="15"/>
  </w:num>
  <w:num w:numId="17" w16cid:durableId="220598137">
    <w:abstractNumId w:val="10"/>
  </w:num>
  <w:num w:numId="18" w16cid:durableId="1780249235">
    <w:abstractNumId w:val="22"/>
  </w:num>
  <w:num w:numId="19" w16cid:durableId="521407342">
    <w:abstractNumId w:val="8"/>
  </w:num>
  <w:num w:numId="20" w16cid:durableId="1646816493">
    <w:abstractNumId w:val="5"/>
  </w:num>
  <w:num w:numId="21" w16cid:durableId="214314690">
    <w:abstractNumId w:val="1"/>
  </w:num>
  <w:num w:numId="22" w16cid:durableId="854879355">
    <w:abstractNumId w:val="9"/>
  </w:num>
  <w:num w:numId="23" w16cid:durableId="1916891026">
    <w:abstractNumId w:val="21"/>
  </w:num>
  <w:num w:numId="24" w16cid:durableId="1047878043">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4C98"/>
    <w:rsid w:val="00006003"/>
    <w:rsid w:val="000100B6"/>
    <w:rsid w:val="0001177F"/>
    <w:rsid w:val="000118E2"/>
    <w:rsid w:val="00012052"/>
    <w:rsid w:val="00013F7E"/>
    <w:rsid w:val="00014CF2"/>
    <w:rsid w:val="000165F4"/>
    <w:rsid w:val="00020136"/>
    <w:rsid w:val="00020924"/>
    <w:rsid w:val="00020DFD"/>
    <w:rsid w:val="000229DE"/>
    <w:rsid w:val="00025A79"/>
    <w:rsid w:val="00026E96"/>
    <w:rsid w:val="0003060D"/>
    <w:rsid w:val="000309F5"/>
    <w:rsid w:val="00030C87"/>
    <w:rsid w:val="000342EF"/>
    <w:rsid w:val="00034774"/>
    <w:rsid w:val="00034AD7"/>
    <w:rsid w:val="00035A9C"/>
    <w:rsid w:val="00035EA5"/>
    <w:rsid w:val="00037174"/>
    <w:rsid w:val="000402B3"/>
    <w:rsid w:val="0004034D"/>
    <w:rsid w:val="000403A2"/>
    <w:rsid w:val="00040709"/>
    <w:rsid w:val="00040C15"/>
    <w:rsid w:val="00040E9B"/>
    <w:rsid w:val="0004203D"/>
    <w:rsid w:val="00042069"/>
    <w:rsid w:val="000424D3"/>
    <w:rsid w:val="000429C1"/>
    <w:rsid w:val="000459D6"/>
    <w:rsid w:val="00046FC1"/>
    <w:rsid w:val="00047288"/>
    <w:rsid w:val="000510BB"/>
    <w:rsid w:val="00051336"/>
    <w:rsid w:val="00055C65"/>
    <w:rsid w:val="00056533"/>
    <w:rsid w:val="000567E2"/>
    <w:rsid w:val="000606F6"/>
    <w:rsid w:val="000624B2"/>
    <w:rsid w:val="00065C6B"/>
    <w:rsid w:val="000717B5"/>
    <w:rsid w:val="00074C8C"/>
    <w:rsid w:val="00080091"/>
    <w:rsid w:val="00080783"/>
    <w:rsid w:val="00080D5E"/>
    <w:rsid w:val="00082668"/>
    <w:rsid w:val="00082CA7"/>
    <w:rsid w:val="00087B46"/>
    <w:rsid w:val="00087F57"/>
    <w:rsid w:val="0009203F"/>
    <w:rsid w:val="000933DC"/>
    <w:rsid w:val="0009489C"/>
    <w:rsid w:val="00095119"/>
    <w:rsid w:val="00095EF3"/>
    <w:rsid w:val="000A092A"/>
    <w:rsid w:val="000A0E7E"/>
    <w:rsid w:val="000A1305"/>
    <w:rsid w:val="000A228B"/>
    <w:rsid w:val="000A4907"/>
    <w:rsid w:val="000A56BC"/>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265C"/>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5B12"/>
    <w:rsid w:val="001274D5"/>
    <w:rsid w:val="00127C83"/>
    <w:rsid w:val="00130DAE"/>
    <w:rsid w:val="00131C61"/>
    <w:rsid w:val="00132747"/>
    <w:rsid w:val="001328E8"/>
    <w:rsid w:val="00134C0F"/>
    <w:rsid w:val="001352CE"/>
    <w:rsid w:val="00136EC0"/>
    <w:rsid w:val="0014229B"/>
    <w:rsid w:val="0014320D"/>
    <w:rsid w:val="0014667C"/>
    <w:rsid w:val="0015350F"/>
    <w:rsid w:val="0015617E"/>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6497"/>
    <w:rsid w:val="001876C5"/>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100"/>
    <w:rsid w:val="001C7E09"/>
    <w:rsid w:val="001D05A9"/>
    <w:rsid w:val="001D0981"/>
    <w:rsid w:val="001D4A52"/>
    <w:rsid w:val="001D5987"/>
    <w:rsid w:val="001D5C83"/>
    <w:rsid w:val="001D609E"/>
    <w:rsid w:val="001D6688"/>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6835"/>
    <w:rsid w:val="00206EDA"/>
    <w:rsid w:val="00207697"/>
    <w:rsid w:val="00207C5A"/>
    <w:rsid w:val="00212661"/>
    <w:rsid w:val="00220DF6"/>
    <w:rsid w:val="002239AB"/>
    <w:rsid w:val="00223D79"/>
    <w:rsid w:val="00224677"/>
    <w:rsid w:val="002255EF"/>
    <w:rsid w:val="002266F3"/>
    <w:rsid w:val="00230DE8"/>
    <w:rsid w:val="002317E1"/>
    <w:rsid w:val="002333A7"/>
    <w:rsid w:val="00234463"/>
    <w:rsid w:val="0023472F"/>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61B84"/>
    <w:rsid w:val="002636F6"/>
    <w:rsid w:val="00264827"/>
    <w:rsid w:val="00265515"/>
    <w:rsid w:val="00266795"/>
    <w:rsid w:val="0026779E"/>
    <w:rsid w:val="002702CE"/>
    <w:rsid w:val="0027048C"/>
    <w:rsid w:val="002777FB"/>
    <w:rsid w:val="002806F2"/>
    <w:rsid w:val="0028203B"/>
    <w:rsid w:val="0028407E"/>
    <w:rsid w:val="00285028"/>
    <w:rsid w:val="00285083"/>
    <w:rsid w:val="00285505"/>
    <w:rsid w:val="00291A12"/>
    <w:rsid w:val="0029265C"/>
    <w:rsid w:val="00292795"/>
    <w:rsid w:val="00296326"/>
    <w:rsid w:val="002A0C00"/>
    <w:rsid w:val="002A2040"/>
    <w:rsid w:val="002A3C43"/>
    <w:rsid w:val="002A43B2"/>
    <w:rsid w:val="002B016F"/>
    <w:rsid w:val="002B0F16"/>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4FC5"/>
    <w:rsid w:val="002F7E63"/>
    <w:rsid w:val="003001A4"/>
    <w:rsid w:val="0030038C"/>
    <w:rsid w:val="00303198"/>
    <w:rsid w:val="00306711"/>
    <w:rsid w:val="00310EF5"/>
    <w:rsid w:val="003115BD"/>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47F3F"/>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0C5"/>
    <w:rsid w:val="003B18E6"/>
    <w:rsid w:val="003B1ABB"/>
    <w:rsid w:val="003B207A"/>
    <w:rsid w:val="003B25E8"/>
    <w:rsid w:val="003B2793"/>
    <w:rsid w:val="003B2C96"/>
    <w:rsid w:val="003B5119"/>
    <w:rsid w:val="003B5654"/>
    <w:rsid w:val="003B628D"/>
    <w:rsid w:val="003B7AAC"/>
    <w:rsid w:val="003C0592"/>
    <w:rsid w:val="003C170E"/>
    <w:rsid w:val="003C35A4"/>
    <w:rsid w:val="003C3C79"/>
    <w:rsid w:val="003C3F23"/>
    <w:rsid w:val="003C4278"/>
    <w:rsid w:val="003C77C8"/>
    <w:rsid w:val="003D448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5E3A"/>
    <w:rsid w:val="0045632B"/>
    <w:rsid w:val="0045782A"/>
    <w:rsid w:val="004578B1"/>
    <w:rsid w:val="00460121"/>
    <w:rsid w:val="00461A99"/>
    <w:rsid w:val="00461D57"/>
    <w:rsid w:val="00462C4F"/>
    <w:rsid w:val="00462F96"/>
    <w:rsid w:val="00463E04"/>
    <w:rsid w:val="00464A54"/>
    <w:rsid w:val="00465987"/>
    <w:rsid w:val="00466259"/>
    <w:rsid w:val="00466A3B"/>
    <w:rsid w:val="004720FB"/>
    <w:rsid w:val="004721B9"/>
    <w:rsid w:val="00472C4A"/>
    <w:rsid w:val="00472C64"/>
    <w:rsid w:val="004749B4"/>
    <w:rsid w:val="00475044"/>
    <w:rsid w:val="00475327"/>
    <w:rsid w:val="00475594"/>
    <w:rsid w:val="00480C32"/>
    <w:rsid w:val="00482C00"/>
    <w:rsid w:val="00483FE0"/>
    <w:rsid w:val="004843E1"/>
    <w:rsid w:val="0048631B"/>
    <w:rsid w:val="00487590"/>
    <w:rsid w:val="00490625"/>
    <w:rsid w:val="00491F60"/>
    <w:rsid w:val="004968AB"/>
    <w:rsid w:val="00496A27"/>
    <w:rsid w:val="00497EE2"/>
    <w:rsid w:val="004A2A51"/>
    <w:rsid w:val="004A4661"/>
    <w:rsid w:val="004A4984"/>
    <w:rsid w:val="004A73EB"/>
    <w:rsid w:val="004A75C7"/>
    <w:rsid w:val="004B0546"/>
    <w:rsid w:val="004B1FD6"/>
    <w:rsid w:val="004B4D2A"/>
    <w:rsid w:val="004B67B3"/>
    <w:rsid w:val="004B772B"/>
    <w:rsid w:val="004C0C85"/>
    <w:rsid w:val="004C1698"/>
    <w:rsid w:val="004C1B0D"/>
    <w:rsid w:val="004C44C5"/>
    <w:rsid w:val="004C46AD"/>
    <w:rsid w:val="004C5DDB"/>
    <w:rsid w:val="004C69B5"/>
    <w:rsid w:val="004C6B7F"/>
    <w:rsid w:val="004D04B1"/>
    <w:rsid w:val="004D14EF"/>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4155"/>
    <w:rsid w:val="00515448"/>
    <w:rsid w:val="00516B68"/>
    <w:rsid w:val="00517BCF"/>
    <w:rsid w:val="00522DC2"/>
    <w:rsid w:val="005237F3"/>
    <w:rsid w:val="0052488A"/>
    <w:rsid w:val="00525284"/>
    <w:rsid w:val="005267A5"/>
    <w:rsid w:val="00527A84"/>
    <w:rsid w:val="0053432F"/>
    <w:rsid w:val="00537C1D"/>
    <w:rsid w:val="00537FAA"/>
    <w:rsid w:val="00540DFC"/>
    <w:rsid w:val="00544074"/>
    <w:rsid w:val="00544310"/>
    <w:rsid w:val="0055140F"/>
    <w:rsid w:val="00551A23"/>
    <w:rsid w:val="005564EF"/>
    <w:rsid w:val="0055675B"/>
    <w:rsid w:val="00556ECE"/>
    <w:rsid w:val="00557FBC"/>
    <w:rsid w:val="0056073E"/>
    <w:rsid w:val="00560CCA"/>
    <w:rsid w:val="005621A9"/>
    <w:rsid w:val="00562D6D"/>
    <w:rsid w:val="00563A69"/>
    <w:rsid w:val="005653CE"/>
    <w:rsid w:val="00565FBD"/>
    <w:rsid w:val="005660B6"/>
    <w:rsid w:val="00566EA3"/>
    <w:rsid w:val="00567E68"/>
    <w:rsid w:val="00570380"/>
    <w:rsid w:val="00570D08"/>
    <w:rsid w:val="00571CA2"/>
    <w:rsid w:val="00574008"/>
    <w:rsid w:val="005740A3"/>
    <w:rsid w:val="00575C85"/>
    <w:rsid w:val="00580AC8"/>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457"/>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05D0"/>
    <w:rsid w:val="0062549C"/>
    <w:rsid w:val="00626EF8"/>
    <w:rsid w:val="006272AA"/>
    <w:rsid w:val="00631F57"/>
    <w:rsid w:val="006345D9"/>
    <w:rsid w:val="00642DEE"/>
    <w:rsid w:val="0064371A"/>
    <w:rsid w:val="0064440E"/>
    <w:rsid w:val="0064490A"/>
    <w:rsid w:val="0064640B"/>
    <w:rsid w:val="0064663F"/>
    <w:rsid w:val="00646E55"/>
    <w:rsid w:val="00647EA0"/>
    <w:rsid w:val="00650847"/>
    <w:rsid w:val="00651A5D"/>
    <w:rsid w:val="00653298"/>
    <w:rsid w:val="00653A10"/>
    <w:rsid w:val="0065414D"/>
    <w:rsid w:val="00655B0C"/>
    <w:rsid w:val="006570E9"/>
    <w:rsid w:val="0066208C"/>
    <w:rsid w:val="0066216D"/>
    <w:rsid w:val="0066442C"/>
    <w:rsid w:val="00665B41"/>
    <w:rsid w:val="00665E56"/>
    <w:rsid w:val="00665F38"/>
    <w:rsid w:val="00666540"/>
    <w:rsid w:val="00667DBB"/>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802"/>
    <w:rsid w:val="006C5F00"/>
    <w:rsid w:val="006C77FF"/>
    <w:rsid w:val="006D0168"/>
    <w:rsid w:val="006D312A"/>
    <w:rsid w:val="006D5A96"/>
    <w:rsid w:val="006D7F0C"/>
    <w:rsid w:val="006E203B"/>
    <w:rsid w:val="006E38C2"/>
    <w:rsid w:val="006E4D56"/>
    <w:rsid w:val="006E5714"/>
    <w:rsid w:val="006E6EA7"/>
    <w:rsid w:val="006E770D"/>
    <w:rsid w:val="006F0B36"/>
    <w:rsid w:val="006F0E5F"/>
    <w:rsid w:val="006F4770"/>
    <w:rsid w:val="00700030"/>
    <w:rsid w:val="007013AF"/>
    <w:rsid w:val="0070165A"/>
    <w:rsid w:val="00705091"/>
    <w:rsid w:val="00706B0C"/>
    <w:rsid w:val="00706F04"/>
    <w:rsid w:val="0071165B"/>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53E"/>
    <w:rsid w:val="007826A3"/>
    <w:rsid w:val="00782BD3"/>
    <w:rsid w:val="00783359"/>
    <w:rsid w:val="0078424C"/>
    <w:rsid w:val="007846B9"/>
    <w:rsid w:val="0078576D"/>
    <w:rsid w:val="0078679F"/>
    <w:rsid w:val="00790EAD"/>
    <w:rsid w:val="00794E61"/>
    <w:rsid w:val="007A14BB"/>
    <w:rsid w:val="007A17AE"/>
    <w:rsid w:val="007A23C7"/>
    <w:rsid w:val="007A5E50"/>
    <w:rsid w:val="007B104A"/>
    <w:rsid w:val="007B3138"/>
    <w:rsid w:val="007B3740"/>
    <w:rsid w:val="007B4852"/>
    <w:rsid w:val="007B4A0A"/>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3CF"/>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2D2F"/>
    <w:rsid w:val="00846FF8"/>
    <w:rsid w:val="00847A42"/>
    <w:rsid w:val="00847CDD"/>
    <w:rsid w:val="00850CD5"/>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13D8"/>
    <w:rsid w:val="00892056"/>
    <w:rsid w:val="00894151"/>
    <w:rsid w:val="00894E04"/>
    <w:rsid w:val="0089581D"/>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5529"/>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4B2"/>
    <w:rsid w:val="00927663"/>
    <w:rsid w:val="009301FC"/>
    <w:rsid w:val="00930E73"/>
    <w:rsid w:val="00931869"/>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81ACB"/>
    <w:rsid w:val="0098230E"/>
    <w:rsid w:val="00983066"/>
    <w:rsid w:val="0098375A"/>
    <w:rsid w:val="00991D3C"/>
    <w:rsid w:val="00992AA7"/>
    <w:rsid w:val="00993A5C"/>
    <w:rsid w:val="00995325"/>
    <w:rsid w:val="009953B1"/>
    <w:rsid w:val="00995AF2"/>
    <w:rsid w:val="0099604D"/>
    <w:rsid w:val="009961B2"/>
    <w:rsid w:val="009A078A"/>
    <w:rsid w:val="009A0C49"/>
    <w:rsid w:val="009A0F29"/>
    <w:rsid w:val="009A15BF"/>
    <w:rsid w:val="009A2882"/>
    <w:rsid w:val="009A4A9C"/>
    <w:rsid w:val="009A4F5C"/>
    <w:rsid w:val="009A5551"/>
    <w:rsid w:val="009A5FAB"/>
    <w:rsid w:val="009B3E6F"/>
    <w:rsid w:val="009B4985"/>
    <w:rsid w:val="009B702B"/>
    <w:rsid w:val="009B7508"/>
    <w:rsid w:val="009B7574"/>
    <w:rsid w:val="009B7C32"/>
    <w:rsid w:val="009C0342"/>
    <w:rsid w:val="009C16B7"/>
    <w:rsid w:val="009C2278"/>
    <w:rsid w:val="009C4014"/>
    <w:rsid w:val="009C6FD8"/>
    <w:rsid w:val="009C711B"/>
    <w:rsid w:val="009C72C0"/>
    <w:rsid w:val="009D0D60"/>
    <w:rsid w:val="009D1421"/>
    <w:rsid w:val="009D180E"/>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5952"/>
    <w:rsid w:val="009F5AFC"/>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6509"/>
    <w:rsid w:val="00A41109"/>
    <w:rsid w:val="00A456CE"/>
    <w:rsid w:val="00A460CB"/>
    <w:rsid w:val="00A463D8"/>
    <w:rsid w:val="00A47696"/>
    <w:rsid w:val="00A505FC"/>
    <w:rsid w:val="00A50774"/>
    <w:rsid w:val="00A547CF"/>
    <w:rsid w:val="00A57973"/>
    <w:rsid w:val="00A61CB9"/>
    <w:rsid w:val="00A6540D"/>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675F"/>
    <w:rsid w:val="00A90EEE"/>
    <w:rsid w:val="00A9338C"/>
    <w:rsid w:val="00AA24A8"/>
    <w:rsid w:val="00AA4547"/>
    <w:rsid w:val="00AA491D"/>
    <w:rsid w:val="00AA5F6B"/>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0D"/>
    <w:rsid w:val="00AE2A96"/>
    <w:rsid w:val="00AE36A5"/>
    <w:rsid w:val="00AE3BE9"/>
    <w:rsid w:val="00AE6210"/>
    <w:rsid w:val="00AE62B7"/>
    <w:rsid w:val="00AE6303"/>
    <w:rsid w:val="00AE7715"/>
    <w:rsid w:val="00AF00AB"/>
    <w:rsid w:val="00AF00B6"/>
    <w:rsid w:val="00AF0866"/>
    <w:rsid w:val="00AF0C68"/>
    <w:rsid w:val="00AF2395"/>
    <w:rsid w:val="00AF2FE7"/>
    <w:rsid w:val="00AF4375"/>
    <w:rsid w:val="00AF5D98"/>
    <w:rsid w:val="00AF738B"/>
    <w:rsid w:val="00AF780A"/>
    <w:rsid w:val="00AF7E0E"/>
    <w:rsid w:val="00B03768"/>
    <w:rsid w:val="00B04553"/>
    <w:rsid w:val="00B050DC"/>
    <w:rsid w:val="00B050F4"/>
    <w:rsid w:val="00B06DD5"/>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611CA"/>
    <w:rsid w:val="00B615BD"/>
    <w:rsid w:val="00B64EBA"/>
    <w:rsid w:val="00B6583B"/>
    <w:rsid w:val="00B666E4"/>
    <w:rsid w:val="00B70316"/>
    <w:rsid w:val="00B72CFC"/>
    <w:rsid w:val="00B7510C"/>
    <w:rsid w:val="00B75F54"/>
    <w:rsid w:val="00B76116"/>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27D8"/>
    <w:rsid w:val="00BA3B76"/>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318E"/>
    <w:rsid w:val="00BE3BDB"/>
    <w:rsid w:val="00BE7DF8"/>
    <w:rsid w:val="00BE7FBE"/>
    <w:rsid w:val="00BF0E95"/>
    <w:rsid w:val="00BF26EA"/>
    <w:rsid w:val="00BF2BDC"/>
    <w:rsid w:val="00BF3127"/>
    <w:rsid w:val="00BF32DA"/>
    <w:rsid w:val="00BF3DAE"/>
    <w:rsid w:val="00BF3F57"/>
    <w:rsid w:val="00BF48AD"/>
    <w:rsid w:val="00BF4A1B"/>
    <w:rsid w:val="00BF5124"/>
    <w:rsid w:val="00BF5515"/>
    <w:rsid w:val="00BF5916"/>
    <w:rsid w:val="00BF5AC2"/>
    <w:rsid w:val="00BF7E71"/>
    <w:rsid w:val="00C00213"/>
    <w:rsid w:val="00C002C2"/>
    <w:rsid w:val="00C04D41"/>
    <w:rsid w:val="00C04D58"/>
    <w:rsid w:val="00C0552D"/>
    <w:rsid w:val="00C06610"/>
    <w:rsid w:val="00C07CC1"/>
    <w:rsid w:val="00C10CF9"/>
    <w:rsid w:val="00C10E51"/>
    <w:rsid w:val="00C11EE0"/>
    <w:rsid w:val="00C137C5"/>
    <w:rsid w:val="00C137E2"/>
    <w:rsid w:val="00C13CA0"/>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50E27"/>
    <w:rsid w:val="00C51A46"/>
    <w:rsid w:val="00C53416"/>
    <w:rsid w:val="00C5369D"/>
    <w:rsid w:val="00C54B21"/>
    <w:rsid w:val="00C55031"/>
    <w:rsid w:val="00C55C33"/>
    <w:rsid w:val="00C562AD"/>
    <w:rsid w:val="00C570D7"/>
    <w:rsid w:val="00C61466"/>
    <w:rsid w:val="00C621F2"/>
    <w:rsid w:val="00C65463"/>
    <w:rsid w:val="00C6695F"/>
    <w:rsid w:val="00C671C8"/>
    <w:rsid w:val="00C67577"/>
    <w:rsid w:val="00C70488"/>
    <w:rsid w:val="00C70622"/>
    <w:rsid w:val="00C70C59"/>
    <w:rsid w:val="00C711CE"/>
    <w:rsid w:val="00C71CAC"/>
    <w:rsid w:val="00C72015"/>
    <w:rsid w:val="00C73B22"/>
    <w:rsid w:val="00C750B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B4FDA"/>
    <w:rsid w:val="00CC0F01"/>
    <w:rsid w:val="00CC1340"/>
    <w:rsid w:val="00CC5483"/>
    <w:rsid w:val="00CC7A35"/>
    <w:rsid w:val="00CD0982"/>
    <w:rsid w:val="00CD0B3D"/>
    <w:rsid w:val="00CD1CD7"/>
    <w:rsid w:val="00CD20CB"/>
    <w:rsid w:val="00CD2975"/>
    <w:rsid w:val="00CD360F"/>
    <w:rsid w:val="00CD3643"/>
    <w:rsid w:val="00CD3762"/>
    <w:rsid w:val="00CD6227"/>
    <w:rsid w:val="00CD6512"/>
    <w:rsid w:val="00CD7717"/>
    <w:rsid w:val="00CE05E0"/>
    <w:rsid w:val="00CE0960"/>
    <w:rsid w:val="00CE0CF7"/>
    <w:rsid w:val="00CE24C8"/>
    <w:rsid w:val="00CE4B8C"/>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5954"/>
    <w:rsid w:val="00D2609F"/>
    <w:rsid w:val="00D27985"/>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214"/>
    <w:rsid w:val="00D57A61"/>
    <w:rsid w:val="00D6119F"/>
    <w:rsid w:val="00D614D9"/>
    <w:rsid w:val="00D62DC7"/>
    <w:rsid w:val="00D66032"/>
    <w:rsid w:val="00D673EF"/>
    <w:rsid w:val="00D70413"/>
    <w:rsid w:val="00D71EFE"/>
    <w:rsid w:val="00D748C2"/>
    <w:rsid w:val="00D75268"/>
    <w:rsid w:val="00D7530D"/>
    <w:rsid w:val="00D763C1"/>
    <w:rsid w:val="00D76C50"/>
    <w:rsid w:val="00D77189"/>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1AB5"/>
    <w:rsid w:val="00DD3C82"/>
    <w:rsid w:val="00DD3D7E"/>
    <w:rsid w:val="00DD49EC"/>
    <w:rsid w:val="00DD62D6"/>
    <w:rsid w:val="00DD788B"/>
    <w:rsid w:val="00DE0133"/>
    <w:rsid w:val="00DE1023"/>
    <w:rsid w:val="00DE368A"/>
    <w:rsid w:val="00DE3B98"/>
    <w:rsid w:val="00DE4393"/>
    <w:rsid w:val="00DE4687"/>
    <w:rsid w:val="00DE50ED"/>
    <w:rsid w:val="00DE53AE"/>
    <w:rsid w:val="00DE572B"/>
    <w:rsid w:val="00DF0971"/>
    <w:rsid w:val="00DF09ED"/>
    <w:rsid w:val="00DF1F47"/>
    <w:rsid w:val="00DF569C"/>
    <w:rsid w:val="00DF61F0"/>
    <w:rsid w:val="00DF73DB"/>
    <w:rsid w:val="00DF7667"/>
    <w:rsid w:val="00E046BE"/>
    <w:rsid w:val="00E0759D"/>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4C"/>
    <w:rsid w:val="00E814B2"/>
    <w:rsid w:val="00E818E2"/>
    <w:rsid w:val="00E82206"/>
    <w:rsid w:val="00E85856"/>
    <w:rsid w:val="00E91757"/>
    <w:rsid w:val="00E91B1E"/>
    <w:rsid w:val="00E9293C"/>
    <w:rsid w:val="00E94162"/>
    <w:rsid w:val="00E94BBE"/>
    <w:rsid w:val="00EA0E97"/>
    <w:rsid w:val="00EA1182"/>
    <w:rsid w:val="00EA33C1"/>
    <w:rsid w:val="00EA39E1"/>
    <w:rsid w:val="00EA3A46"/>
    <w:rsid w:val="00EA55C9"/>
    <w:rsid w:val="00EA743B"/>
    <w:rsid w:val="00EA7499"/>
    <w:rsid w:val="00EB0621"/>
    <w:rsid w:val="00EB441B"/>
    <w:rsid w:val="00EB6940"/>
    <w:rsid w:val="00EB6BE6"/>
    <w:rsid w:val="00EC0587"/>
    <w:rsid w:val="00EC0798"/>
    <w:rsid w:val="00EC1198"/>
    <w:rsid w:val="00EC1318"/>
    <w:rsid w:val="00EC13AD"/>
    <w:rsid w:val="00EC1520"/>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148C"/>
    <w:rsid w:val="00EF4CC2"/>
    <w:rsid w:val="00EF5B76"/>
    <w:rsid w:val="00EF68C5"/>
    <w:rsid w:val="00EF7EB0"/>
    <w:rsid w:val="00F00AF4"/>
    <w:rsid w:val="00F02293"/>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505B"/>
    <w:rsid w:val="00F36C30"/>
    <w:rsid w:val="00F45733"/>
    <w:rsid w:val="00F45E9D"/>
    <w:rsid w:val="00F45F29"/>
    <w:rsid w:val="00F4758D"/>
    <w:rsid w:val="00F47DD1"/>
    <w:rsid w:val="00F51AE7"/>
    <w:rsid w:val="00F52BC4"/>
    <w:rsid w:val="00F54992"/>
    <w:rsid w:val="00F5549C"/>
    <w:rsid w:val="00F564C3"/>
    <w:rsid w:val="00F56C01"/>
    <w:rsid w:val="00F573A0"/>
    <w:rsid w:val="00F57B98"/>
    <w:rsid w:val="00F57DAD"/>
    <w:rsid w:val="00F61A3E"/>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87DF0"/>
    <w:rsid w:val="00F901F7"/>
    <w:rsid w:val="00F91ADA"/>
    <w:rsid w:val="00F91D22"/>
    <w:rsid w:val="00F93AE5"/>
    <w:rsid w:val="00F975D5"/>
    <w:rsid w:val="00F97873"/>
    <w:rsid w:val="00FA1A9A"/>
    <w:rsid w:val="00FA1E7A"/>
    <w:rsid w:val="00FA61B0"/>
    <w:rsid w:val="00FA6D88"/>
    <w:rsid w:val="00FA7639"/>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13A6"/>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09489C"/>
    <w:pPr>
      <w:numPr>
        <w:numId w:val="9"/>
      </w:numPr>
      <w:ind w:left="425" w:hanging="425"/>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09489C"/>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8"/>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955598674">
      <w:bodyDiv w:val="1"/>
      <w:marLeft w:val="0"/>
      <w:marRight w:val="0"/>
      <w:marTop w:val="0"/>
      <w:marBottom w:val="0"/>
      <w:divBdr>
        <w:top w:val="none" w:sz="0" w:space="0" w:color="auto"/>
        <w:left w:val="none" w:sz="0" w:space="0" w:color="auto"/>
        <w:bottom w:val="none" w:sz="0" w:space="0" w:color="auto"/>
        <w:right w:val="none" w:sz="0" w:space="0" w:color="auto"/>
      </w:divBdr>
    </w:div>
    <w:div w:id="1102073891">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24986985">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3F0D4-5578-4D63-8E70-CF219893F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2574</Words>
  <Characters>14676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Martin Farmer</cp:lastModifiedBy>
  <cp:revision>4</cp:revision>
  <cp:lastPrinted>2022-11-15T16:32:00Z</cp:lastPrinted>
  <dcterms:created xsi:type="dcterms:W3CDTF">2024-07-31T15:00:00Z</dcterms:created>
  <dcterms:modified xsi:type="dcterms:W3CDTF">2024-11-11T13:11:00Z</dcterms:modified>
</cp:coreProperties>
</file>