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153EBD4F" w:rsidR="008E000B" w:rsidRDefault="009D71E8" w:rsidP="000618F1">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618F1">
        <w:t>Tor View School</w:t>
      </w:r>
    </w:p>
    <w:p w14:paraId="2A7D54B2" w14:textId="3B912BB2" w:rsidR="00E66558" w:rsidRDefault="009D71E8" w:rsidP="00C62989">
      <w:pPr>
        <w:rPr>
          <w:b/>
        </w:rPr>
      </w:pPr>
      <w:r>
        <w:t>This statement details our school’s use of pupil premium funding to help improve the attainment of our disadvantaged</w:t>
      </w:r>
      <w:r w:rsidR="000618F1">
        <w:t>/underserved</w:t>
      </w:r>
      <w:r>
        <w:t xml:space="preserve">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9B6DE87" w:rsidR="002940F3" w:rsidRPr="000C7448" w:rsidRDefault="000C4647" w:rsidP="00D71D76">
            <w:pPr>
              <w:pStyle w:val="TableRow"/>
              <w:ind w:left="0"/>
              <w:jc w:val="center"/>
              <w:rPr>
                <w:color w:val="auto"/>
              </w:rPr>
            </w:pPr>
            <w:r w:rsidRPr="000C7448">
              <w:rPr>
                <w:color w:val="auto"/>
              </w:rPr>
              <w:t>260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6D0CBB2" w:rsidR="002940F3" w:rsidRPr="000C7448" w:rsidRDefault="000618F1" w:rsidP="00D71D76">
            <w:pPr>
              <w:pStyle w:val="TableRow"/>
              <w:ind w:left="0"/>
              <w:jc w:val="center"/>
              <w:rPr>
                <w:color w:val="auto"/>
              </w:rPr>
            </w:pPr>
            <w:r w:rsidRPr="000C7448">
              <w:rPr>
                <w:color w:val="auto"/>
              </w:rPr>
              <w:t>3</w:t>
            </w:r>
            <w:r w:rsidR="004A6DA5" w:rsidRPr="000C7448">
              <w:rPr>
                <w:color w:val="auto"/>
              </w:rPr>
              <w:t>4</w:t>
            </w:r>
            <w:r w:rsidRPr="000C7448">
              <w:rPr>
                <w:color w:val="auto"/>
              </w:rP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37A9DCF" w:rsidR="002940F3" w:rsidRPr="000C7448" w:rsidRDefault="000618F1" w:rsidP="00D71D76">
            <w:pPr>
              <w:pStyle w:val="TableRow"/>
              <w:ind w:left="0"/>
              <w:jc w:val="center"/>
              <w:rPr>
                <w:color w:val="auto"/>
              </w:rPr>
            </w:pPr>
            <w:r w:rsidRPr="000C7448">
              <w:rPr>
                <w:color w:val="auto"/>
              </w:rPr>
              <w:t>2022-2025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3E1B493" w:rsidR="002940F3" w:rsidRPr="00080331" w:rsidRDefault="00277241" w:rsidP="00D71D76">
            <w:pPr>
              <w:pStyle w:val="TableRow"/>
              <w:ind w:left="0"/>
              <w:jc w:val="center"/>
              <w:rPr>
                <w:color w:val="FF0000"/>
              </w:rPr>
            </w:pPr>
            <w:r w:rsidRPr="00277241">
              <w:rPr>
                <w:color w:val="auto"/>
              </w:rPr>
              <w:t>19.12.23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7F720F7" w:rsidR="002940F3" w:rsidRPr="00080331" w:rsidRDefault="000C7448" w:rsidP="00D71D76">
            <w:pPr>
              <w:pStyle w:val="TableRow"/>
              <w:ind w:left="0"/>
              <w:jc w:val="center"/>
              <w:rPr>
                <w:color w:val="FF0000"/>
              </w:rPr>
            </w:pPr>
            <w:r w:rsidRPr="000C7448">
              <w:rPr>
                <w:color w:val="auto"/>
              </w:rPr>
              <w:t>September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9486D" w14:textId="77777777" w:rsidR="00D71D76" w:rsidRDefault="000618F1" w:rsidP="00D71D76">
            <w:pPr>
              <w:pStyle w:val="TableRow"/>
              <w:ind w:left="0"/>
              <w:jc w:val="center"/>
              <w:rPr>
                <w:color w:val="auto"/>
              </w:rPr>
            </w:pPr>
            <w:r w:rsidRPr="000C7448">
              <w:rPr>
                <w:color w:val="auto"/>
              </w:rPr>
              <w:t xml:space="preserve">Louise Parrish </w:t>
            </w:r>
            <w:r w:rsidR="00D71D76">
              <w:rPr>
                <w:color w:val="auto"/>
              </w:rPr>
              <w:t xml:space="preserve">&amp; </w:t>
            </w:r>
          </w:p>
          <w:p w14:paraId="2A7D54C8" w14:textId="34363699" w:rsidR="002940F3" w:rsidRPr="000C7448" w:rsidRDefault="00D71D76" w:rsidP="00D71D76">
            <w:pPr>
              <w:pStyle w:val="TableRow"/>
              <w:ind w:left="0"/>
              <w:jc w:val="center"/>
              <w:rPr>
                <w:color w:val="auto"/>
              </w:rPr>
            </w:pPr>
            <w:r>
              <w:rPr>
                <w:color w:val="auto"/>
              </w:rPr>
              <w:t>Samantha Dillon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7D6FC" w14:textId="7BEB0531" w:rsidR="00D71D76" w:rsidRDefault="004A6DA5" w:rsidP="00D71D76">
            <w:pPr>
              <w:pStyle w:val="TableRow"/>
              <w:ind w:left="0"/>
              <w:jc w:val="center"/>
              <w:rPr>
                <w:color w:val="auto"/>
              </w:rPr>
            </w:pPr>
            <w:r w:rsidRPr="000C7448">
              <w:rPr>
                <w:color w:val="auto"/>
              </w:rPr>
              <w:t xml:space="preserve">Emma Walsh </w:t>
            </w:r>
            <w:r w:rsidR="00D71D76">
              <w:rPr>
                <w:color w:val="auto"/>
              </w:rPr>
              <w:t>&amp;</w:t>
            </w:r>
          </w:p>
          <w:p w14:paraId="2A7D54CB" w14:textId="10BC43F5" w:rsidR="002940F3" w:rsidRPr="000C7448" w:rsidRDefault="004A6DA5" w:rsidP="00D71D76">
            <w:pPr>
              <w:pStyle w:val="TableRow"/>
              <w:ind w:left="0"/>
              <w:jc w:val="center"/>
              <w:rPr>
                <w:color w:val="auto"/>
              </w:rPr>
            </w:pPr>
            <w:r w:rsidRPr="000C7448">
              <w:rPr>
                <w:color w:val="auto"/>
              </w:rPr>
              <w:t>James Findlay-Pidcock</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B4698C8" w:rsidR="002940F3" w:rsidRPr="00080331" w:rsidRDefault="000618F1" w:rsidP="00D71D76">
            <w:pPr>
              <w:pStyle w:val="TableRow"/>
              <w:ind w:left="0"/>
              <w:jc w:val="center"/>
              <w:rPr>
                <w:color w:val="FF0000"/>
              </w:rPr>
            </w:pPr>
            <w:r w:rsidRPr="00395446">
              <w:rPr>
                <w:color w:val="auto"/>
              </w:rPr>
              <w:t>Ellie Lorenzo</w:t>
            </w:r>
          </w:p>
        </w:tc>
      </w:tr>
    </w:tbl>
    <w:bookmarkEnd w:id="2"/>
    <w:bookmarkEnd w:id="3"/>
    <w:bookmarkEnd w:id="4"/>
    <w:p w14:paraId="2A7D54D3" w14:textId="77777777" w:rsidR="00E66558" w:rsidRPr="005464A1" w:rsidRDefault="009D71E8" w:rsidP="005464A1">
      <w:pPr>
        <w:pStyle w:val="Heading2"/>
      </w:pPr>
      <w:r>
        <w:t>Funding overview</w:t>
      </w:r>
    </w:p>
    <w:tbl>
      <w:tblPr>
        <w:tblW w:w="10485" w:type="dxa"/>
        <w:tblCellMar>
          <w:left w:w="10" w:type="dxa"/>
          <w:right w:w="10" w:type="dxa"/>
        </w:tblCellMar>
        <w:tblLook w:val="04A0" w:firstRow="1" w:lastRow="0" w:firstColumn="1" w:lastColumn="0" w:noHBand="0" w:noVBand="1"/>
      </w:tblPr>
      <w:tblGrid>
        <w:gridCol w:w="7083"/>
        <w:gridCol w:w="3402"/>
      </w:tblGrid>
      <w:tr w:rsidR="00E66558" w14:paraId="2A7D54D6" w14:textId="77777777" w:rsidTr="002A42BE">
        <w:trPr>
          <w:trHeight w:val="374"/>
        </w:trPr>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A42BE">
        <w:trPr>
          <w:trHeight w:val="374"/>
        </w:trPr>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82536AC" w:rsidR="00E66558" w:rsidRPr="00080331" w:rsidRDefault="009D71E8">
            <w:pPr>
              <w:pStyle w:val="TableRow"/>
              <w:rPr>
                <w:color w:val="FF0000"/>
              </w:rPr>
            </w:pPr>
            <w:r w:rsidRPr="000C7448">
              <w:rPr>
                <w:color w:val="auto"/>
              </w:rPr>
              <w:t>£</w:t>
            </w:r>
            <w:r w:rsidR="00277241">
              <w:rPr>
                <w:color w:val="auto"/>
              </w:rPr>
              <w:t>95,145</w:t>
            </w:r>
          </w:p>
        </w:tc>
      </w:tr>
      <w:tr w:rsidR="00E66558" w14:paraId="2A7D54DF" w14:textId="77777777" w:rsidTr="002A42BE">
        <w:trPr>
          <w:trHeight w:val="374"/>
        </w:trPr>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48DCC3D2" w:rsidR="001E206F" w:rsidRPr="0094414A" w:rsidRDefault="009D71E8" w:rsidP="0094414A">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7E4F8C5" w:rsidR="00E66558" w:rsidRPr="00080331" w:rsidRDefault="009D71E8">
            <w:pPr>
              <w:pStyle w:val="TableRow"/>
              <w:rPr>
                <w:color w:val="FF0000"/>
              </w:rPr>
            </w:pPr>
            <w:r w:rsidRPr="00B070F9">
              <w:rPr>
                <w:color w:val="auto"/>
              </w:rPr>
              <w:t>£</w:t>
            </w:r>
            <w:r w:rsidR="000618F1" w:rsidRPr="00B070F9">
              <w:rPr>
                <w:color w:val="auto"/>
              </w:rPr>
              <w:t>0</w:t>
            </w:r>
          </w:p>
        </w:tc>
      </w:tr>
      <w:tr w:rsidR="00E66558" w14:paraId="2A7D54E3" w14:textId="77777777" w:rsidTr="002A42BE">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2E02AA0E" w:rsidR="00E66558" w:rsidRPr="006226C9" w:rsidRDefault="009D71E8" w:rsidP="006226C9">
            <w:pPr>
              <w:pStyle w:val="TableRow"/>
              <w:spacing w:after="120"/>
              <w:rPr>
                <w:b/>
              </w:rPr>
            </w:pPr>
            <w:r>
              <w:rPr>
                <w:b/>
              </w:rPr>
              <w:t>Total budget for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A062AE4" w:rsidR="00E66558" w:rsidRPr="00080331" w:rsidRDefault="009D71E8">
            <w:pPr>
              <w:pStyle w:val="TableRow"/>
              <w:rPr>
                <w:color w:val="FF0000"/>
              </w:rPr>
            </w:pPr>
            <w:r w:rsidRPr="00FC37DE">
              <w:rPr>
                <w:color w:val="auto"/>
              </w:rPr>
              <w:t>£</w:t>
            </w:r>
            <w:r w:rsidR="00277241">
              <w:rPr>
                <w:color w:val="auto"/>
              </w:rPr>
              <w:t>95,145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485" w:type="dxa"/>
        <w:tblCellMar>
          <w:left w:w="10" w:type="dxa"/>
          <w:right w:w="10" w:type="dxa"/>
        </w:tblCellMar>
        <w:tblLook w:val="04A0" w:firstRow="1" w:lastRow="0" w:firstColumn="1" w:lastColumn="0" w:noHBand="0" w:noVBand="1"/>
      </w:tblPr>
      <w:tblGrid>
        <w:gridCol w:w="10485"/>
      </w:tblGrid>
      <w:tr w:rsidR="00E66558" w14:paraId="2A7D54EA" w14:textId="77777777" w:rsidTr="002A42B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6B14" w14:textId="77777777" w:rsidR="00C43BAF" w:rsidRDefault="00CC0A15" w:rsidP="00CB04FD">
            <w:pPr>
              <w:jc w:val="both"/>
              <w:rPr>
                <w:iCs/>
              </w:rPr>
            </w:pPr>
            <w:r w:rsidRPr="00CC0A15">
              <w:rPr>
                <w:iCs/>
              </w:rPr>
              <w:t xml:space="preserve">Our key objective in using the Pupil Premium Grant is to close the gap between eligible pupils and their peers and raise the attainment of eligible pupils by increasing the progress made by all students but accelerating the progress made by students eligible for the grant. </w:t>
            </w:r>
          </w:p>
          <w:p w14:paraId="2DCE035C" w14:textId="005D4E78" w:rsidR="00CC0A15" w:rsidRDefault="00CC0A15" w:rsidP="00CB04FD">
            <w:pPr>
              <w:jc w:val="both"/>
              <w:rPr>
                <w:iCs/>
              </w:rPr>
            </w:pPr>
            <w:r w:rsidRPr="00CC0A15">
              <w:rPr>
                <w:iCs/>
              </w:rPr>
              <w:t xml:space="preserve">All our students enter the school with levels of numeracy, reading and writing which are considerably below the national standard and therefore we believe that priority should be made to ensure the following objectives are met: </w:t>
            </w:r>
            <w:r w:rsidRPr="0094414A">
              <w:rPr>
                <w:b/>
                <w:iCs/>
              </w:rPr>
              <w:t>Communication</w:t>
            </w:r>
            <w:r w:rsidRPr="00CC0A15">
              <w:rPr>
                <w:iCs/>
              </w:rPr>
              <w:t xml:space="preserve">, </w:t>
            </w:r>
            <w:r w:rsidRPr="0094414A">
              <w:rPr>
                <w:b/>
                <w:iCs/>
              </w:rPr>
              <w:t>Engagement,</w:t>
            </w:r>
            <w:r w:rsidRPr="00CC0A15">
              <w:rPr>
                <w:iCs/>
              </w:rPr>
              <w:t xml:space="preserve"> </w:t>
            </w:r>
            <w:r w:rsidR="00016D96">
              <w:rPr>
                <w:b/>
                <w:iCs/>
              </w:rPr>
              <w:t>Pastoral</w:t>
            </w:r>
            <w:r w:rsidRPr="00CC0A15">
              <w:rPr>
                <w:iCs/>
              </w:rPr>
              <w:t xml:space="preserve"> and </w:t>
            </w:r>
            <w:r w:rsidRPr="0094414A">
              <w:rPr>
                <w:b/>
                <w:iCs/>
              </w:rPr>
              <w:t>Attendance</w:t>
            </w:r>
            <w:r w:rsidRPr="00CC0A15">
              <w:rPr>
                <w:iCs/>
              </w:rPr>
              <w:t xml:space="preserve">. All of the identified provision for pupils is referenced against at least one of these criteria. </w:t>
            </w:r>
          </w:p>
          <w:p w14:paraId="347487EF" w14:textId="62BE35A2" w:rsidR="00CC0A15" w:rsidRDefault="00CC0A15" w:rsidP="00CB04FD">
            <w:pPr>
              <w:jc w:val="both"/>
              <w:rPr>
                <w:iCs/>
              </w:rPr>
            </w:pPr>
            <w:r w:rsidRPr="00CB04FD">
              <w:rPr>
                <w:b/>
                <w:iCs/>
                <w:highlight w:val="yellow"/>
              </w:rPr>
              <w:t>Communication (C):</w:t>
            </w:r>
            <w:r w:rsidRPr="00CC0A15">
              <w:rPr>
                <w:iCs/>
              </w:rPr>
              <w:t xml:space="preserve"> Ensure that eligible students are provided for in a way in which they can achieve at least expected progress when compared to their peers in Maths and English as they go through their time at the school. </w:t>
            </w:r>
            <w:r w:rsidR="0094414A">
              <w:rPr>
                <w:iCs/>
              </w:rPr>
              <w:t xml:space="preserve">To improve the communication </w:t>
            </w:r>
            <w:r w:rsidR="004D6474">
              <w:rPr>
                <w:iCs/>
              </w:rPr>
              <w:t xml:space="preserve">opportunities </w:t>
            </w:r>
            <w:r w:rsidR="0094414A">
              <w:rPr>
                <w:iCs/>
              </w:rPr>
              <w:t xml:space="preserve">for </w:t>
            </w:r>
            <w:r w:rsidR="004D6474">
              <w:rPr>
                <w:iCs/>
              </w:rPr>
              <w:t>eligible</w:t>
            </w:r>
            <w:r w:rsidR="0094414A">
              <w:rPr>
                <w:iCs/>
              </w:rPr>
              <w:t xml:space="preserve"> learners at Tor View to ensure they can access the world around them and maximise their progress across the curriculum. </w:t>
            </w:r>
          </w:p>
          <w:p w14:paraId="24DFF071" w14:textId="1B1B06D9" w:rsidR="00CC0A15" w:rsidRDefault="00CC0A15" w:rsidP="00CB04FD">
            <w:pPr>
              <w:jc w:val="both"/>
              <w:rPr>
                <w:iCs/>
              </w:rPr>
            </w:pPr>
            <w:r w:rsidRPr="00CB04FD">
              <w:rPr>
                <w:b/>
                <w:iCs/>
                <w:highlight w:val="green"/>
              </w:rPr>
              <w:t>Engagement (E):</w:t>
            </w:r>
            <w:r w:rsidRPr="00CC0A15">
              <w:rPr>
                <w:iCs/>
              </w:rPr>
              <w:t xml:space="preserve"> To improve curriculum engagement and academic achievement for eligible students via the construction of engaging curriculum pathway choices and entitlement to a wide range of extracurricular opportunities. This includes increasing parental engagement with school in order to maintain a supportive home-school partnership along with increased levels of feedback to students and families to accelerate improvements. </w:t>
            </w:r>
          </w:p>
          <w:p w14:paraId="34CBC182" w14:textId="5F173516" w:rsidR="00CC0A15" w:rsidRDefault="00080331" w:rsidP="00CB04FD">
            <w:pPr>
              <w:jc w:val="both"/>
              <w:rPr>
                <w:iCs/>
              </w:rPr>
            </w:pPr>
            <w:r w:rsidRPr="00CB04FD">
              <w:rPr>
                <w:b/>
                <w:iCs/>
                <w:highlight w:val="cyan"/>
              </w:rPr>
              <w:t>Pastoral</w:t>
            </w:r>
            <w:r w:rsidR="00CC0A15" w:rsidRPr="00CB04FD">
              <w:rPr>
                <w:b/>
                <w:iCs/>
                <w:highlight w:val="cyan"/>
              </w:rPr>
              <w:t xml:space="preserve"> (</w:t>
            </w:r>
            <w:r w:rsidRPr="00CB04FD">
              <w:rPr>
                <w:b/>
                <w:iCs/>
                <w:highlight w:val="cyan"/>
              </w:rPr>
              <w:t>P</w:t>
            </w:r>
            <w:r w:rsidR="00CC0A15" w:rsidRPr="00CB04FD">
              <w:rPr>
                <w:b/>
                <w:iCs/>
                <w:highlight w:val="cyan"/>
              </w:rPr>
              <w:t>):</w:t>
            </w:r>
            <w:r w:rsidR="00CC0A15" w:rsidRPr="00CC0A15">
              <w:rPr>
                <w:iCs/>
              </w:rPr>
              <w:t xml:space="preserve"> </w:t>
            </w:r>
            <w:r>
              <w:rPr>
                <w:iCs/>
              </w:rPr>
              <w:t>Ensuring those eligible for the Pupil Premium Grant have their pastoral needs met in terms of school uniform, parental engagement and pastoral intervention around mental health and wellbeing.</w:t>
            </w:r>
            <w:r w:rsidR="0094414A">
              <w:rPr>
                <w:iCs/>
              </w:rPr>
              <w:t xml:space="preserve"> </w:t>
            </w:r>
          </w:p>
          <w:p w14:paraId="2A7D54E9" w14:textId="185C7C0A" w:rsidR="00E66558" w:rsidRPr="00CC0A15" w:rsidRDefault="00CC0A15" w:rsidP="00CB04FD">
            <w:pPr>
              <w:jc w:val="both"/>
              <w:rPr>
                <w:iCs/>
              </w:rPr>
            </w:pPr>
            <w:r w:rsidRPr="00CB04FD">
              <w:rPr>
                <w:b/>
                <w:iCs/>
                <w:highlight w:val="magenta"/>
              </w:rPr>
              <w:t>Attendance (A):</w:t>
            </w:r>
            <w:r w:rsidRPr="00CC0A15">
              <w:rPr>
                <w:iCs/>
              </w:rPr>
              <w:t xml:space="preserve"> To ensure the attendance of Pupil Premium students does not fall below 95%.</w:t>
            </w:r>
            <w:r w:rsidR="00080331">
              <w:rPr>
                <w:iCs/>
              </w:rPr>
              <w:t xml:space="preserve"> </w:t>
            </w:r>
            <w:r w:rsidR="0094414A">
              <w:rPr>
                <w:iCs/>
              </w:rPr>
              <w:t xml:space="preserve">To ensure school offers the best provision for wellbeing and inclusion so that learners feel happy and safe and want to come to school. </w:t>
            </w:r>
          </w:p>
        </w:tc>
      </w:tr>
    </w:tbl>
    <w:p w14:paraId="6174904C" w14:textId="77777777" w:rsidR="003A0006" w:rsidRDefault="003A0006">
      <w:pPr>
        <w:pStyle w:val="Heading2"/>
        <w:spacing w:before="600"/>
      </w:pPr>
    </w:p>
    <w:p w14:paraId="106C7BE1" w14:textId="77777777" w:rsidR="003A0006" w:rsidRDefault="003A0006">
      <w:pPr>
        <w:suppressAutoHyphens w:val="0"/>
        <w:spacing w:after="0" w:line="240" w:lineRule="auto"/>
        <w:rPr>
          <w:b/>
          <w:color w:val="104F75"/>
          <w:sz w:val="32"/>
          <w:szCs w:val="32"/>
        </w:rPr>
      </w:pPr>
      <w:r>
        <w:br w:type="page"/>
      </w:r>
    </w:p>
    <w:p w14:paraId="2A7D54EB" w14:textId="4FD09838"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27BF1FF" w:rsidR="00E66558" w:rsidRPr="00363A13" w:rsidRDefault="00CC0A15" w:rsidP="00B070F9">
            <w:pPr>
              <w:pStyle w:val="TableRowCentered"/>
              <w:jc w:val="both"/>
              <w:rPr>
                <w:color w:val="auto"/>
              </w:rPr>
            </w:pPr>
            <w:r w:rsidRPr="00363A13">
              <w:rPr>
                <w:b/>
                <w:color w:val="auto"/>
                <w:highlight w:val="yellow"/>
              </w:rPr>
              <w:t>Communication:</w:t>
            </w:r>
            <w:r w:rsidRPr="00363A13">
              <w:rPr>
                <w:color w:val="auto"/>
              </w:rPr>
              <w:t xml:space="preserve"> All pupils at Tor View Specialist Learning Community have an identified additional need. For the majority of our pupils they are faced with a communication difficulty which makes access to all curriculum lessons difficult. This means our staff need access to highly qualified specialist training, and high-quality resources in order to promote the communication of our pupils in all areas of the curriculum. This involves working with our own in-house Speech and Language therapist and other specialist practitioners. Assessments, observations, and discussions with pupils indicate underdeveloped oral language skills and vocabulary gaps among many disadvantaged pupils. These children need access to high quality teaching from all staff</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FF1F37B" w:rsidR="00E66558" w:rsidRPr="00363A13" w:rsidRDefault="00CC0A15" w:rsidP="00B070F9">
            <w:pPr>
              <w:pStyle w:val="TableRowCentered"/>
              <w:jc w:val="both"/>
              <w:rPr>
                <w:color w:val="auto"/>
                <w:sz w:val="22"/>
                <w:szCs w:val="22"/>
              </w:rPr>
            </w:pPr>
            <w:r w:rsidRPr="00363A13">
              <w:rPr>
                <w:b/>
                <w:color w:val="auto"/>
                <w:highlight w:val="green"/>
              </w:rPr>
              <w:t>Engagement:</w:t>
            </w:r>
            <w:r w:rsidRPr="00363A13">
              <w:rPr>
                <w:color w:val="auto"/>
              </w:rPr>
              <w:t xml:space="preserve"> To improve curriculum engagement and academic achievement for eligible students via the construction of engaging curriculum pathway choices and entitlement to a wide range of extracurricular opportunities. This includes increasing parental engagement with school in order to maintain a supportive home</w:t>
            </w:r>
            <w:r w:rsidR="004A6DA5" w:rsidRPr="00363A13">
              <w:rPr>
                <w:color w:val="auto"/>
              </w:rPr>
              <w:t>-</w:t>
            </w:r>
            <w:r w:rsidRPr="00363A13">
              <w:rPr>
                <w:color w:val="auto"/>
              </w:rPr>
              <w:t>school partnership along with increased levels of feedback to students and families to accelerate improvements. Our assessments (including wellbeing survey), observations and discussions with pupils and families have identified social and emotional issues for many pupils, notably due to a named difficulty, and a lack of enrichment opportunities during school closure. These challenges particularly affect disadvantaged pupils, including their attainment. One key factor we need to implement as a school is an afterschool provision, so that our children can have access to high quality extracurricular activities to improve health and wellbeing. A lot of our parents face a range of 4 difficulties having a child with a specialist need. In some cases, our parents require support around understanding their child’s disabilities, training in this area is of a priority for the school. Through observations and conversations with pupils and their families, we find that disadvantaged pupils generally have fewer opportunities to develop Cultural Capital outside of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5EA16B8" w:rsidR="00E66558" w:rsidRPr="00363A13" w:rsidRDefault="00080331" w:rsidP="00B070F9">
            <w:pPr>
              <w:pStyle w:val="TableRowCentered"/>
              <w:jc w:val="both"/>
              <w:rPr>
                <w:color w:val="auto"/>
                <w:sz w:val="22"/>
                <w:szCs w:val="22"/>
              </w:rPr>
            </w:pPr>
            <w:r w:rsidRPr="00363A13">
              <w:rPr>
                <w:b/>
                <w:color w:val="auto"/>
                <w:highlight w:val="cyan"/>
              </w:rPr>
              <w:t>Pastoral</w:t>
            </w:r>
            <w:r w:rsidR="00CC0A15" w:rsidRPr="00363A13">
              <w:rPr>
                <w:b/>
                <w:color w:val="auto"/>
                <w:highlight w:val="cyan"/>
              </w:rPr>
              <w:t>:</w:t>
            </w:r>
            <w:r w:rsidR="00CC0A15" w:rsidRPr="00363A13">
              <w:rPr>
                <w:color w:val="auto"/>
              </w:rPr>
              <w:t xml:space="preserve"> </w:t>
            </w:r>
            <w:r w:rsidRPr="00363A13">
              <w:rPr>
                <w:color w:val="auto"/>
              </w:rPr>
              <w:t xml:space="preserve">Given their complex learning difficulties, many of our pupils eligible for the Pupil Premium Grant can require specific support with their pastoral needs, this includes accessing appropriate school uniform, snack opportunities, parental engagement and mental health and wellbeing.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E6FD85A" w:rsidR="00E66558" w:rsidRPr="00363A13" w:rsidRDefault="00CC0A15" w:rsidP="00B070F9">
            <w:pPr>
              <w:pStyle w:val="TableRowCentered"/>
              <w:jc w:val="both"/>
              <w:rPr>
                <w:iCs/>
                <w:color w:val="auto"/>
                <w:sz w:val="22"/>
              </w:rPr>
            </w:pPr>
            <w:r w:rsidRPr="00363A13">
              <w:rPr>
                <w:b/>
                <w:color w:val="auto"/>
                <w:highlight w:val="magenta"/>
              </w:rPr>
              <w:t>Attendance:</w:t>
            </w:r>
            <w:r w:rsidRPr="00363A13">
              <w:rPr>
                <w:color w:val="auto"/>
              </w:rPr>
              <w:t xml:space="preserve"> At Tor View our pupils have a wide variety of complex medical/behavioural needs. This does affect the attendance of some of our pupils, however we still have extremely high expectations for attendance.</w:t>
            </w:r>
          </w:p>
        </w:tc>
      </w:tr>
    </w:tbl>
    <w:p w14:paraId="698DA41C" w14:textId="77777777" w:rsidR="003A0006" w:rsidRDefault="003A0006">
      <w:pPr>
        <w:pStyle w:val="Heading2"/>
        <w:spacing w:before="600"/>
      </w:pPr>
      <w:bookmarkStart w:id="16" w:name="_Toc443397160"/>
    </w:p>
    <w:p w14:paraId="4B07AE72" w14:textId="77777777" w:rsidR="003A0006" w:rsidRDefault="003A0006">
      <w:pPr>
        <w:suppressAutoHyphens w:val="0"/>
        <w:spacing w:after="0" w:line="240" w:lineRule="auto"/>
        <w:rPr>
          <w:b/>
          <w:color w:val="104F75"/>
          <w:sz w:val="32"/>
          <w:szCs w:val="32"/>
        </w:rPr>
      </w:pPr>
      <w:r>
        <w:br w:type="page"/>
      </w:r>
    </w:p>
    <w:p w14:paraId="2A7D54FF" w14:textId="79DDBF7A"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14" w:type="pct"/>
        <w:tblCellMar>
          <w:left w:w="10" w:type="dxa"/>
          <w:right w:w="10" w:type="dxa"/>
        </w:tblCellMar>
        <w:tblLook w:val="04A0" w:firstRow="1" w:lastRow="0" w:firstColumn="1" w:lastColumn="0" w:noHBand="0" w:noVBand="1"/>
      </w:tblPr>
      <w:tblGrid>
        <w:gridCol w:w="2808"/>
        <w:gridCol w:w="7677"/>
      </w:tblGrid>
      <w:tr w:rsidR="00E66558" w14:paraId="2A7D5503" w14:textId="77777777" w:rsidTr="00001FF3">
        <w:tc>
          <w:tcPr>
            <w:tcW w:w="28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6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001FF3">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3BEA09" w:rsidR="00E66558" w:rsidRPr="00CC0A15" w:rsidRDefault="00CC0A15" w:rsidP="00CC0A15">
            <w:pPr>
              <w:pStyle w:val="TableRow"/>
              <w:ind w:left="0"/>
              <w:rPr>
                <w:b/>
              </w:rPr>
            </w:pPr>
            <w:r w:rsidRPr="00CC0A15">
              <w:rPr>
                <w:b/>
              </w:rPr>
              <w:t>Communication (C)</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FFF2" w14:textId="77777777" w:rsidR="00CC0A15" w:rsidRPr="00CC0A15" w:rsidRDefault="00CC0A15" w:rsidP="00CC0A15">
            <w:pPr>
              <w:pStyle w:val="TableRowCentered"/>
              <w:numPr>
                <w:ilvl w:val="0"/>
                <w:numId w:val="14"/>
              </w:numPr>
              <w:jc w:val="left"/>
              <w:rPr>
                <w:sz w:val="22"/>
                <w:szCs w:val="22"/>
              </w:rPr>
            </w:pPr>
            <w:r>
              <w:t>Data highlights that pupils eligible for Pupil Premium make no less than expected progress. This is reported to Governors 3 times a year.</w:t>
            </w:r>
          </w:p>
          <w:p w14:paraId="67990FFC" w14:textId="77777777" w:rsidR="00CC0A15" w:rsidRPr="00CC0A15" w:rsidRDefault="00CC0A15" w:rsidP="00CC0A15">
            <w:pPr>
              <w:pStyle w:val="TableRowCentered"/>
              <w:numPr>
                <w:ilvl w:val="0"/>
                <w:numId w:val="14"/>
              </w:numPr>
              <w:jc w:val="left"/>
              <w:rPr>
                <w:sz w:val="22"/>
                <w:szCs w:val="22"/>
              </w:rPr>
            </w:pPr>
            <w:r>
              <w:t xml:space="preserve">Assessments and observations indicate significantly improved communication skills. This is evident when triangulated with other sources of evidence, including engagement in lessons, book scrutiny and ongoing formative assessment. </w:t>
            </w:r>
          </w:p>
          <w:p w14:paraId="6323DE87" w14:textId="77777777" w:rsidR="00CC0A15" w:rsidRPr="00CC0A15" w:rsidRDefault="00CC0A15" w:rsidP="00CC0A15">
            <w:pPr>
              <w:pStyle w:val="TableRowCentered"/>
              <w:numPr>
                <w:ilvl w:val="0"/>
                <w:numId w:val="14"/>
              </w:numPr>
              <w:jc w:val="left"/>
              <w:rPr>
                <w:sz w:val="22"/>
                <w:szCs w:val="22"/>
              </w:rPr>
            </w:pPr>
            <w:r>
              <w:t>Pupils make expected progress in all subjects.</w:t>
            </w:r>
          </w:p>
          <w:p w14:paraId="1123BFBF" w14:textId="77777777" w:rsidR="00CC0A15" w:rsidRPr="00CC0A15" w:rsidRDefault="00CC0A15" w:rsidP="00CC0A15">
            <w:pPr>
              <w:pStyle w:val="TableRowCentered"/>
              <w:numPr>
                <w:ilvl w:val="0"/>
                <w:numId w:val="14"/>
              </w:numPr>
              <w:jc w:val="left"/>
              <w:rPr>
                <w:sz w:val="22"/>
                <w:szCs w:val="22"/>
              </w:rPr>
            </w:pPr>
            <w:r>
              <w:t xml:space="preserve">Pupils can use a range of communication systems to aid their understanding and to develop expressive communication skills </w:t>
            </w:r>
          </w:p>
          <w:p w14:paraId="78463ED0" w14:textId="15E91980" w:rsidR="00CC0A15" w:rsidRPr="00CC0A15" w:rsidRDefault="00CC0A15" w:rsidP="00CC0A15">
            <w:pPr>
              <w:pStyle w:val="TableRowCentered"/>
              <w:numPr>
                <w:ilvl w:val="0"/>
                <w:numId w:val="14"/>
              </w:numPr>
              <w:jc w:val="left"/>
              <w:rPr>
                <w:sz w:val="22"/>
                <w:szCs w:val="22"/>
              </w:rPr>
            </w:pPr>
            <w:r>
              <w:t xml:space="preserve">Access to specialist interventions delivered by Speech and Language Therapy </w:t>
            </w:r>
          </w:p>
          <w:p w14:paraId="270D9F4F" w14:textId="4B151565" w:rsidR="00CC0A15" w:rsidRPr="00CC0A15" w:rsidRDefault="00CC0A15" w:rsidP="00CC0A15">
            <w:pPr>
              <w:pStyle w:val="TableRowCentered"/>
              <w:numPr>
                <w:ilvl w:val="0"/>
                <w:numId w:val="14"/>
              </w:numPr>
              <w:jc w:val="left"/>
              <w:rPr>
                <w:sz w:val="22"/>
                <w:szCs w:val="22"/>
              </w:rPr>
            </w:pPr>
            <w:r>
              <w:t xml:space="preserve">95% of EHC Plan outcomes are achieved. </w:t>
            </w:r>
          </w:p>
          <w:p w14:paraId="4BD90F88" w14:textId="77777777" w:rsidR="00CC0A15" w:rsidRPr="00CC0A15" w:rsidRDefault="00CC0A15" w:rsidP="00CC0A15">
            <w:pPr>
              <w:pStyle w:val="TableRowCentered"/>
              <w:numPr>
                <w:ilvl w:val="0"/>
                <w:numId w:val="14"/>
              </w:numPr>
              <w:jc w:val="left"/>
              <w:rPr>
                <w:sz w:val="22"/>
                <w:szCs w:val="22"/>
              </w:rPr>
            </w:pPr>
            <w:r>
              <w:t xml:space="preserve">Pupils engage in Cultural Capital opportunities and contribute to their community. </w:t>
            </w:r>
          </w:p>
          <w:p w14:paraId="3C780245" w14:textId="30B1A87C" w:rsidR="00CC0A15" w:rsidRPr="00CC0A15" w:rsidRDefault="00080331" w:rsidP="00CC0A15">
            <w:pPr>
              <w:pStyle w:val="TableRowCentered"/>
              <w:numPr>
                <w:ilvl w:val="0"/>
                <w:numId w:val="14"/>
              </w:numPr>
              <w:jc w:val="left"/>
              <w:rPr>
                <w:sz w:val="22"/>
                <w:szCs w:val="22"/>
              </w:rPr>
            </w:pPr>
            <w:r>
              <w:t>Targeted, evidence-based interventions are used to support pupils to make progress across the curriculum.</w:t>
            </w:r>
            <w:r w:rsidR="00CC0A15">
              <w:t xml:space="preserve"> </w:t>
            </w:r>
          </w:p>
          <w:p w14:paraId="41B6429E" w14:textId="2A995F83" w:rsidR="00CC0A15" w:rsidRPr="00CC0A15" w:rsidRDefault="00CC0A15" w:rsidP="00CC0A15">
            <w:pPr>
              <w:pStyle w:val="TableRowCentered"/>
              <w:numPr>
                <w:ilvl w:val="0"/>
                <w:numId w:val="14"/>
              </w:numPr>
              <w:jc w:val="left"/>
              <w:rPr>
                <w:sz w:val="22"/>
                <w:szCs w:val="22"/>
              </w:rPr>
            </w:pPr>
            <w:r>
              <w:t xml:space="preserve">Pupils have all the resources to support their ‘ready to learn’ programme </w:t>
            </w:r>
          </w:p>
          <w:p w14:paraId="1D96FC26" w14:textId="77777777" w:rsidR="00CC0A15" w:rsidRPr="00CC0A15" w:rsidRDefault="00CC0A15" w:rsidP="00CC0A15">
            <w:pPr>
              <w:pStyle w:val="TableRowCentered"/>
              <w:numPr>
                <w:ilvl w:val="0"/>
                <w:numId w:val="14"/>
              </w:numPr>
              <w:jc w:val="left"/>
              <w:rPr>
                <w:sz w:val="22"/>
                <w:szCs w:val="22"/>
              </w:rPr>
            </w:pPr>
            <w:r>
              <w:t xml:space="preserve">Educational visits take up is maintained and impact measured </w:t>
            </w:r>
          </w:p>
          <w:p w14:paraId="2A7D5505" w14:textId="660F9923" w:rsidR="00FD037B" w:rsidRPr="004A6DA5" w:rsidRDefault="00CC0A15" w:rsidP="004A6DA5">
            <w:pPr>
              <w:pStyle w:val="TableRowCentered"/>
              <w:numPr>
                <w:ilvl w:val="0"/>
                <w:numId w:val="14"/>
              </w:numPr>
              <w:jc w:val="left"/>
              <w:rPr>
                <w:sz w:val="22"/>
                <w:szCs w:val="22"/>
              </w:rPr>
            </w:pPr>
            <w:r>
              <w:t xml:space="preserve">Specialist </w:t>
            </w:r>
            <w:r w:rsidR="00080331">
              <w:t xml:space="preserve">CPLD ensures teachers and, where relevant, teaching assistants are equipped to meet the needs of </w:t>
            </w:r>
            <w:r w:rsidR="00385378">
              <w:t>the needs prominent amongst the cohort of learners eligible for the Pupil Premium Grant.</w:t>
            </w:r>
          </w:p>
        </w:tc>
      </w:tr>
      <w:tr w:rsidR="00E66558" w14:paraId="2A7D5509" w14:textId="77777777" w:rsidTr="00001FF3">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D0E2DAE" w:rsidR="00E66558" w:rsidRPr="00385378" w:rsidRDefault="00CC0A15">
            <w:pPr>
              <w:pStyle w:val="TableRow"/>
              <w:rPr>
                <w:b/>
                <w:sz w:val="22"/>
                <w:szCs w:val="22"/>
              </w:rPr>
            </w:pPr>
            <w:r w:rsidRPr="00385378">
              <w:rPr>
                <w:b/>
                <w:sz w:val="22"/>
                <w:szCs w:val="22"/>
              </w:rPr>
              <w:t>Engagement (E)</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7771" w14:textId="01CDC193" w:rsidR="00CC0A15" w:rsidRPr="00CC0A15" w:rsidRDefault="004D6474" w:rsidP="00CC0A15">
            <w:pPr>
              <w:pStyle w:val="TableRowCentered"/>
              <w:numPr>
                <w:ilvl w:val="0"/>
                <w:numId w:val="14"/>
              </w:numPr>
              <w:jc w:val="left"/>
              <w:rPr>
                <w:sz w:val="22"/>
                <w:szCs w:val="22"/>
              </w:rPr>
            </w:pPr>
            <w:r>
              <w:t>Pupils are able to engage with the full curriculum offer.</w:t>
            </w:r>
            <w:r w:rsidR="00CC0A15">
              <w:t xml:space="preserve"> </w:t>
            </w:r>
          </w:p>
          <w:p w14:paraId="567B8FEF" w14:textId="45856E9E" w:rsidR="00CC0A15" w:rsidRPr="00CC0A15" w:rsidRDefault="004D6474" w:rsidP="00CC0A15">
            <w:pPr>
              <w:pStyle w:val="TableRowCentered"/>
              <w:numPr>
                <w:ilvl w:val="0"/>
                <w:numId w:val="14"/>
              </w:numPr>
              <w:jc w:val="left"/>
              <w:rPr>
                <w:sz w:val="22"/>
                <w:szCs w:val="22"/>
              </w:rPr>
            </w:pPr>
            <w:r>
              <w:t>Eligible pupils are able to access out of school provision, including holiday provision.</w:t>
            </w:r>
            <w:r w:rsidR="00CC0A15">
              <w:t xml:space="preserve"> </w:t>
            </w:r>
          </w:p>
          <w:p w14:paraId="083896D1" w14:textId="01E0B64E" w:rsidR="00CC0A15" w:rsidRPr="00CC0A15" w:rsidRDefault="00CC0A15" w:rsidP="00CC0A15">
            <w:pPr>
              <w:pStyle w:val="TableRowCentered"/>
              <w:numPr>
                <w:ilvl w:val="0"/>
                <w:numId w:val="14"/>
              </w:numPr>
              <w:jc w:val="left"/>
              <w:rPr>
                <w:sz w:val="22"/>
                <w:szCs w:val="22"/>
              </w:rPr>
            </w:pPr>
            <w:r>
              <w:t xml:space="preserve">Increased parental engagement through parent support groups and support from Parent Liaison.  </w:t>
            </w:r>
          </w:p>
          <w:p w14:paraId="2A3FDE5B" w14:textId="7598CC40" w:rsidR="00CC0A15" w:rsidRPr="00CC0A15" w:rsidRDefault="00CC0A15" w:rsidP="00CC0A15">
            <w:pPr>
              <w:pStyle w:val="TableRowCentered"/>
              <w:numPr>
                <w:ilvl w:val="0"/>
                <w:numId w:val="14"/>
              </w:numPr>
              <w:jc w:val="left"/>
              <w:rPr>
                <w:sz w:val="22"/>
                <w:szCs w:val="22"/>
              </w:rPr>
            </w:pPr>
            <w:r>
              <w:t xml:space="preserve">Increased levels of feedback to students and families to accelerate school improvements. </w:t>
            </w:r>
          </w:p>
          <w:p w14:paraId="55087CD5" w14:textId="33EE1F9B" w:rsidR="00CC0A15" w:rsidRPr="00CC0A15" w:rsidRDefault="00CC0A15" w:rsidP="00CC0A15">
            <w:pPr>
              <w:pStyle w:val="TableRowCentered"/>
              <w:numPr>
                <w:ilvl w:val="0"/>
                <w:numId w:val="14"/>
              </w:numPr>
              <w:jc w:val="left"/>
              <w:rPr>
                <w:sz w:val="22"/>
                <w:szCs w:val="22"/>
              </w:rPr>
            </w:pPr>
            <w:r>
              <w:t>Pupil well-being remains high</w:t>
            </w:r>
            <w:r w:rsidR="00E8033D">
              <w:t xml:space="preserve"> and a priority.</w:t>
            </w:r>
          </w:p>
          <w:p w14:paraId="0E736C76" w14:textId="79B5DFD2" w:rsidR="00CC0A15" w:rsidRPr="004D6474" w:rsidRDefault="00CC0A15" w:rsidP="004D6474">
            <w:pPr>
              <w:pStyle w:val="TableRowCentered"/>
              <w:numPr>
                <w:ilvl w:val="0"/>
                <w:numId w:val="14"/>
              </w:numPr>
              <w:jc w:val="left"/>
              <w:rPr>
                <w:sz w:val="22"/>
                <w:szCs w:val="22"/>
              </w:rPr>
            </w:pPr>
            <w:r>
              <w:t>Pupils have all the resources to support their ‘ready to learn’ programme</w:t>
            </w:r>
            <w:r w:rsidR="004D6474">
              <w:t>.</w:t>
            </w:r>
            <w:r>
              <w:t xml:space="preserve"> </w:t>
            </w:r>
          </w:p>
          <w:p w14:paraId="76872ADF" w14:textId="51586383" w:rsidR="00E66558" w:rsidRPr="009E50E8" w:rsidRDefault="00CC0A15" w:rsidP="00CC0A15">
            <w:pPr>
              <w:pStyle w:val="TableRowCentered"/>
              <w:numPr>
                <w:ilvl w:val="0"/>
                <w:numId w:val="14"/>
              </w:numPr>
              <w:jc w:val="left"/>
              <w:rPr>
                <w:sz w:val="22"/>
                <w:szCs w:val="22"/>
              </w:rPr>
            </w:pPr>
            <w:r>
              <w:t>Specialist staff training/input</w:t>
            </w:r>
          </w:p>
          <w:p w14:paraId="2A7D5508" w14:textId="650318F9" w:rsidR="009E50E8" w:rsidRDefault="009E50E8" w:rsidP="00CC0A15">
            <w:pPr>
              <w:pStyle w:val="TableRowCentered"/>
              <w:numPr>
                <w:ilvl w:val="0"/>
                <w:numId w:val="14"/>
              </w:numPr>
              <w:jc w:val="left"/>
              <w:rPr>
                <w:sz w:val="22"/>
                <w:szCs w:val="22"/>
              </w:rPr>
            </w:pPr>
            <w:r w:rsidRPr="009E50E8">
              <w:rPr>
                <w:szCs w:val="24"/>
              </w:rPr>
              <w:t>Training for parents</w:t>
            </w:r>
            <w:r w:rsidR="004D6474">
              <w:rPr>
                <w:szCs w:val="24"/>
              </w:rPr>
              <w:t xml:space="preserve"> focussing on specific communication and sensory interventions, such as Makaton, PECS and Sensory Integration</w:t>
            </w:r>
            <w:r>
              <w:rPr>
                <w:sz w:val="22"/>
                <w:szCs w:val="22"/>
              </w:rPr>
              <w:t xml:space="preserve">. </w:t>
            </w:r>
          </w:p>
        </w:tc>
      </w:tr>
      <w:tr w:rsidR="00E66558" w14:paraId="2A7D550C" w14:textId="77777777" w:rsidTr="00001FF3">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9AE9412" w:rsidR="00E66558" w:rsidRPr="00385378" w:rsidRDefault="00080331">
            <w:pPr>
              <w:pStyle w:val="TableRow"/>
              <w:rPr>
                <w:b/>
                <w:sz w:val="22"/>
                <w:szCs w:val="22"/>
              </w:rPr>
            </w:pPr>
            <w:r w:rsidRPr="00385378">
              <w:rPr>
                <w:b/>
                <w:sz w:val="22"/>
                <w:szCs w:val="22"/>
              </w:rPr>
              <w:t>Pastoral</w:t>
            </w:r>
            <w:r w:rsidR="00CC0A15" w:rsidRPr="00385378">
              <w:rPr>
                <w:b/>
                <w:sz w:val="22"/>
                <w:szCs w:val="22"/>
              </w:rPr>
              <w:t xml:space="preserve"> (</w:t>
            </w:r>
            <w:r w:rsidRPr="00385378">
              <w:rPr>
                <w:b/>
                <w:sz w:val="22"/>
                <w:szCs w:val="22"/>
              </w:rPr>
              <w:t>P</w:t>
            </w:r>
            <w:r w:rsidR="00CC0A15" w:rsidRPr="00385378">
              <w:rPr>
                <w:b/>
                <w:sz w:val="22"/>
                <w:szCs w:val="22"/>
              </w:rPr>
              <w:t>)</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9EFE" w14:textId="7D9A78F7" w:rsidR="00E66558" w:rsidRPr="00080331" w:rsidRDefault="00080331" w:rsidP="00CC0A15">
            <w:pPr>
              <w:pStyle w:val="TableRowCentered"/>
              <w:numPr>
                <w:ilvl w:val="0"/>
                <w:numId w:val="14"/>
              </w:numPr>
              <w:jc w:val="left"/>
              <w:rPr>
                <w:sz w:val="22"/>
                <w:szCs w:val="22"/>
              </w:rPr>
            </w:pPr>
            <w:r>
              <w:rPr>
                <w:szCs w:val="22"/>
              </w:rPr>
              <w:t>Wearing appropriate school uniform and sportswear is eliminated as a barrier to ensure pupils are a part of the school community.</w:t>
            </w:r>
          </w:p>
          <w:p w14:paraId="6FF053E0" w14:textId="77777777" w:rsidR="00080331" w:rsidRPr="004D6474" w:rsidRDefault="00080331" w:rsidP="00CC0A15">
            <w:pPr>
              <w:pStyle w:val="TableRowCentered"/>
              <w:numPr>
                <w:ilvl w:val="0"/>
                <w:numId w:val="14"/>
              </w:numPr>
              <w:jc w:val="left"/>
              <w:rPr>
                <w:szCs w:val="22"/>
              </w:rPr>
            </w:pPr>
            <w:r w:rsidRPr="004D6474">
              <w:rPr>
                <w:szCs w:val="22"/>
              </w:rPr>
              <w:lastRenderedPageBreak/>
              <w:t>Where necessary, pupils have access to healthy snacks and milk throughout the day.</w:t>
            </w:r>
          </w:p>
          <w:p w14:paraId="2A7D550B" w14:textId="5768FB2A" w:rsidR="00080331" w:rsidRDefault="00080331" w:rsidP="00CC0A15">
            <w:pPr>
              <w:pStyle w:val="TableRowCentered"/>
              <w:numPr>
                <w:ilvl w:val="0"/>
                <w:numId w:val="14"/>
              </w:numPr>
              <w:jc w:val="left"/>
              <w:rPr>
                <w:sz w:val="22"/>
                <w:szCs w:val="22"/>
              </w:rPr>
            </w:pPr>
            <w:r w:rsidRPr="004D6474">
              <w:rPr>
                <w:szCs w:val="22"/>
              </w:rPr>
              <w:t>Pupils have access to high-quality group and individual targeted interventions to support them in maintaining their mental health and wellbeing.</w:t>
            </w:r>
          </w:p>
        </w:tc>
      </w:tr>
      <w:tr w:rsidR="00E66558" w14:paraId="2A7D550F" w14:textId="77777777" w:rsidTr="00001FF3">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2E1FFF8" w:rsidR="00E66558" w:rsidRPr="00385378" w:rsidRDefault="00CC0A15">
            <w:pPr>
              <w:pStyle w:val="TableRow"/>
              <w:rPr>
                <w:b/>
                <w:sz w:val="22"/>
                <w:szCs w:val="22"/>
              </w:rPr>
            </w:pPr>
            <w:r w:rsidRPr="00385378">
              <w:rPr>
                <w:b/>
                <w:sz w:val="22"/>
                <w:szCs w:val="22"/>
              </w:rPr>
              <w:lastRenderedPageBreak/>
              <w:t xml:space="preserve">Attendance </w:t>
            </w:r>
            <w:r w:rsidR="00B120A0" w:rsidRPr="00385378">
              <w:rPr>
                <w:b/>
                <w:sz w:val="22"/>
                <w:szCs w:val="22"/>
              </w:rPr>
              <w:t>(A)</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A738" w14:textId="60C51DF2" w:rsidR="00B120A0" w:rsidRPr="00B120A0" w:rsidRDefault="00B120A0" w:rsidP="00CC0A15">
            <w:pPr>
              <w:pStyle w:val="TableRowCentered"/>
              <w:numPr>
                <w:ilvl w:val="0"/>
                <w:numId w:val="14"/>
              </w:numPr>
              <w:jc w:val="left"/>
              <w:rPr>
                <w:sz w:val="22"/>
                <w:szCs w:val="22"/>
              </w:rPr>
            </w:pPr>
            <w:r>
              <w:t xml:space="preserve">Attendance for pupils </w:t>
            </w:r>
            <w:r w:rsidR="00615DFD">
              <w:t xml:space="preserve">to </w:t>
            </w:r>
            <w:r>
              <w:t xml:space="preserve">remain at 95%, where it falls below, intervention is swiftly put in place. </w:t>
            </w:r>
          </w:p>
          <w:p w14:paraId="3A3AC33A" w14:textId="7B6068B9" w:rsidR="00B120A0" w:rsidRPr="00B120A0" w:rsidRDefault="00B120A0" w:rsidP="00CC0A15">
            <w:pPr>
              <w:pStyle w:val="TableRowCentered"/>
              <w:numPr>
                <w:ilvl w:val="0"/>
                <w:numId w:val="14"/>
              </w:numPr>
              <w:jc w:val="left"/>
              <w:rPr>
                <w:sz w:val="22"/>
                <w:szCs w:val="22"/>
              </w:rPr>
            </w:pPr>
            <w:r>
              <w:t xml:space="preserve">Sustained high levels of well-being evidenced with qualitative data from all stakeholders. </w:t>
            </w:r>
          </w:p>
          <w:p w14:paraId="2A7D550E" w14:textId="04E12341" w:rsidR="00E66558" w:rsidRDefault="00B120A0" w:rsidP="00CC0A15">
            <w:pPr>
              <w:pStyle w:val="TableRowCentered"/>
              <w:numPr>
                <w:ilvl w:val="0"/>
                <w:numId w:val="14"/>
              </w:numPr>
              <w:jc w:val="left"/>
              <w:rPr>
                <w:sz w:val="22"/>
                <w:szCs w:val="22"/>
              </w:rPr>
            </w:pPr>
            <w:r>
              <w:t>Significant participation in enrichment activities</w:t>
            </w:r>
            <w:r w:rsidR="004D6474">
              <w:t>.</w:t>
            </w:r>
          </w:p>
        </w:tc>
      </w:tr>
    </w:tbl>
    <w:p w14:paraId="3853D877" w14:textId="77777777" w:rsidR="00FD037B" w:rsidRDefault="00FD037B">
      <w:pPr>
        <w:pStyle w:val="Heading2"/>
      </w:pPr>
    </w:p>
    <w:p w14:paraId="479BFBD4" w14:textId="77777777" w:rsidR="00FD037B" w:rsidRDefault="00FD037B">
      <w:pPr>
        <w:suppressAutoHyphens w:val="0"/>
        <w:spacing w:after="0" w:line="240" w:lineRule="auto"/>
        <w:rPr>
          <w:b/>
          <w:color w:val="104F75"/>
          <w:sz w:val="32"/>
          <w:szCs w:val="32"/>
        </w:rPr>
      </w:pPr>
      <w:r>
        <w:br w:type="page"/>
      </w:r>
    </w:p>
    <w:p w14:paraId="2A7D5512" w14:textId="03A40D3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71F8182" w:rsidR="00E66558" w:rsidRDefault="009D71E8">
      <w:r>
        <w:t xml:space="preserve">Budgeted cost: </w:t>
      </w:r>
      <w:r w:rsidRPr="006B444F">
        <w:rPr>
          <w:b/>
          <w:color w:val="1F497D" w:themeColor="text2"/>
        </w:rPr>
        <w:t>£</w:t>
      </w:r>
      <w:r w:rsidR="00623239">
        <w:rPr>
          <w:b/>
          <w:color w:val="1F497D" w:themeColor="text2"/>
        </w:rPr>
        <w:t>10,000</w:t>
      </w:r>
      <w:r w:rsidR="008C3206" w:rsidRPr="006B444F">
        <w:rPr>
          <w:color w:val="1F497D" w:themeColor="text2"/>
        </w:rPr>
        <w:t xml:space="preserve"> </w:t>
      </w:r>
    </w:p>
    <w:tbl>
      <w:tblPr>
        <w:tblW w:w="5082" w:type="pct"/>
        <w:tblLayout w:type="fixed"/>
        <w:tblCellMar>
          <w:left w:w="10" w:type="dxa"/>
          <w:right w:w="10" w:type="dxa"/>
        </w:tblCellMar>
        <w:tblLook w:val="04A0" w:firstRow="1" w:lastRow="0" w:firstColumn="1" w:lastColumn="0" w:noHBand="0" w:noVBand="1"/>
      </w:tblPr>
      <w:tblGrid>
        <w:gridCol w:w="1838"/>
        <w:gridCol w:w="7229"/>
        <w:gridCol w:w="1560"/>
      </w:tblGrid>
      <w:tr w:rsidR="00E66558" w14:paraId="2A7D5519" w14:textId="77777777" w:rsidTr="00A731FE">
        <w:trPr>
          <w:trHeight w:val="953"/>
          <w:tblHeader/>
        </w:trPr>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FD037B" w14:paraId="400737D8" w14:textId="77777777" w:rsidTr="00B4478A">
        <w:trPr>
          <w:trHeight w:val="7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32FA" w14:textId="15B65275" w:rsidR="00FD037B" w:rsidRPr="006B444F" w:rsidRDefault="00957F8F" w:rsidP="004D6474">
            <w:pPr>
              <w:pStyle w:val="TableRow"/>
              <w:ind w:left="0"/>
              <w:rPr>
                <w:b/>
                <w:sz w:val="22"/>
              </w:rPr>
            </w:pPr>
            <w:r w:rsidRPr="006B444F">
              <w:rPr>
                <w:sz w:val="22"/>
              </w:rPr>
              <w:t xml:space="preserve">Training an additional Senior </w:t>
            </w:r>
            <w:r w:rsidR="004D6474" w:rsidRPr="006B444F">
              <w:rPr>
                <w:sz w:val="22"/>
              </w:rPr>
              <w:t>Mental Health Lead</w:t>
            </w:r>
            <w:r w:rsidR="00B924F3" w:rsidRPr="006B444F">
              <w:rPr>
                <w:sz w:val="22"/>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58CC" w14:textId="6EBE03CE" w:rsidR="00B924F3" w:rsidRDefault="004D6474" w:rsidP="00B924F3">
            <w:pPr>
              <w:pStyle w:val="TableRowCentered"/>
              <w:ind w:left="0"/>
              <w:jc w:val="both"/>
            </w:pPr>
            <w:r>
              <w:t xml:space="preserve">In 2021, Public Health England (PHE) and the Department for Education (DfE) highlighted that all schools should be encouraged to designate and train a minimum of </w:t>
            </w:r>
            <w:r w:rsidR="00957F8F">
              <w:t xml:space="preserve">one Senior Mental Health Lead, responsible for embedding the integrated, positive mental health ethos in educational settings. </w:t>
            </w:r>
            <w:sdt>
              <w:sdtPr>
                <w:id w:val="1525365754"/>
                <w:citation/>
              </w:sdtPr>
              <w:sdtEndPr/>
              <w:sdtContent>
                <w:r w:rsidR="00957F8F">
                  <w:fldChar w:fldCharType="begin"/>
                </w:r>
                <w:r w:rsidR="00957F8F">
                  <w:instrText xml:space="preserve"> CITATION Pub21 \l 2057 </w:instrText>
                </w:r>
                <w:r w:rsidR="00957F8F">
                  <w:fldChar w:fldCharType="separate"/>
                </w:r>
                <w:r w:rsidR="00957F8F">
                  <w:rPr>
                    <w:noProof/>
                  </w:rPr>
                  <w:t>(Public Health England &amp; the Department for Education, 2021)</w:t>
                </w:r>
                <w:r w:rsidR="00957F8F">
                  <w:fldChar w:fldCharType="end"/>
                </w:r>
              </w:sdtContent>
            </w:sdt>
            <w:r w:rsidR="00957F8F">
              <w:t xml:space="preserve">. </w:t>
            </w:r>
          </w:p>
          <w:p w14:paraId="7E3C417A" w14:textId="77777777" w:rsidR="00B91F2F" w:rsidRDefault="00B91F2F" w:rsidP="00B924F3">
            <w:pPr>
              <w:pStyle w:val="TableRowCentered"/>
              <w:ind w:left="0"/>
              <w:jc w:val="both"/>
            </w:pPr>
          </w:p>
          <w:p w14:paraId="0985786A" w14:textId="53F0EA13" w:rsidR="00363A13" w:rsidRPr="00A74C2C" w:rsidRDefault="00957F8F" w:rsidP="00B924F3">
            <w:pPr>
              <w:pStyle w:val="TableRowCentered"/>
              <w:ind w:left="0"/>
              <w:jc w:val="both"/>
              <w:rPr>
                <w:i/>
              </w:rPr>
            </w:pPr>
            <w:r w:rsidRPr="00B924F3">
              <w:rPr>
                <w:i/>
              </w:rPr>
              <w:t xml:space="preserve">By increasing capacity of Senior Mental Health Needs from the </w:t>
            </w:r>
            <w:r w:rsidR="00B924F3" w:rsidRPr="00B924F3">
              <w:rPr>
                <w:i/>
              </w:rPr>
              <w:t>Pupil Premium Grant, we ensure that staff’s understanding of relevant needs for those eligible for the PPG are met accurately.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EFA1" w14:textId="77777777" w:rsidR="00B924F3" w:rsidRDefault="00B4478A" w:rsidP="00B4478A">
            <w:pPr>
              <w:pStyle w:val="TableRowCentered"/>
            </w:pPr>
            <w:r>
              <w:t>2</w:t>
            </w:r>
          </w:p>
          <w:p w14:paraId="50A0C827" w14:textId="77777777" w:rsidR="00B4478A" w:rsidRDefault="00B4478A" w:rsidP="00B4478A">
            <w:pPr>
              <w:pStyle w:val="TableRowCentered"/>
            </w:pPr>
            <w:r>
              <w:t>3</w:t>
            </w:r>
          </w:p>
          <w:p w14:paraId="60693AF2" w14:textId="432B6F23" w:rsidR="00B4478A" w:rsidRPr="00B924F3" w:rsidRDefault="00B4478A" w:rsidP="00B4478A">
            <w:pPr>
              <w:pStyle w:val="TableRowCentered"/>
            </w:pPr>
            <w:r>
              <w:t>4</w:t>
            </w:r>
          </w:p>
        </w:tc>
      </w:tr>
      <w:tr w:rsidR="00FD037B" w14:paraId="4D01724D" w14:textId="77777777" w:rsidTr="00B4478A">
        <w:trPr>
          <w:trHeight w:val="7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ADFE" w14:textId="42760036" w:rsidR="00FD037B" w:rsidRPr="006B444F" w:rsidRDefault="004D6474" w:rsidP="004D6474">
            <w:pPr>
              <w:pStyle w:val="TableRow"/>
              <w:ind w:left="0"/>
              <w:rPr>
                <w:sz w:val="22"/>
              </w:rPr>
            </w:pPr>
            <w:r w:rsidRPr="006B444F">
              <w:rPr>
                <w:sz w:val="22"/>
              </w:rPr>
              <w:t>Teaching Assistant attendance at relevant CPD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DFC4" w14:textId="0D01C0B8" w:rsidR="009A39DC" w:rsidRDefault="009A39DC" w:rsidP="00C17E16">
            <w:pPr>
              <w:pStyle w:val="TableRowCentered"/>
              <w:jc w:val="both"/>
            </w:pPr>
            <w:r>
              <w:t>Schools should provide sufficient time for TA training and for teachers and TAs to meet out of class to enable the necessary lesson preparation and feedback.</w:t>
            </w:r>
          </w:p>
          <w:p w14:paraId="38DC8E67" w14:textId="77777777" w:rsidR="009A39DC" w:rsidRDefault="009A39DC" w:rsidP="00C17E16">
            <w:pPr>
              <w:pStyle w:val="TableRowCentered"/>
              <w:jc w:val="both"/>
            </w:pPr>
          </w:p>
          <w:p w14:paraId="5AE3A540" w14:textId="35271EFD" w:rsidR="009A39DC" w:rsidRDefault="009A39DC" w:rsidP="00C17E16">
            <w:pPr>
              <w:pStyle w:val="TableRowCentered"/>
              <w:jc w:val="both"/>
            </w:pPr>
            <w:r>
              <w:t>Creative ways of ensuring teachers and TAs have time to meet include adjusting TAs’ working hours (start early, finish early), using assembly time and having TAs join teachers for</w:t>
            </w:r>
          </w:p>
          <w:p w14:paraId="10439A89" w14:textId="6A89377D" w:rsidR="00FD037B" w:rsidRDefault="009A39DC" w:rsidP="00C17E16">
            <w:pPr>
              <w:pStyle w:val="TableRowCentered"/>
              <w:jc w:val="both"/>
            </w:pPr>
            <w:r>
              <w:t>(part of) Planning, Preparation and Assessment (PPA) time.</w:t>
            </w:r>
            <w:r w:rsidR="00C17E16">
              <w:t xml:space="preserve"> (EEF, 2018)</w:t>
            </w:r>
          </w:p>
          <w:p w14:paraId="79742121" w14:textId="77777777" w:rsidR="009A39DC" w:rsidRDefault="009A39DC" w:rsidP="00C17E16">
            <w:pPr>
              <w:pStyle w:val="TableRowCentered"/>
              <w:jc w:val="both"/>
            </w:pPr>
          </w:p>
          <w:p w14:paraId="5AAD8A77" w14:textId="6CDF7C31" w:rsidR="00C17E16" w:rsidRPr="00A74C2C" w:rsidRDefault="009A39DC" w:rsidP="00A74C2C">
            <w:pPr>
              <w:pStyle w:val="TableRowCentered"/>
              <w:jc w:val="both"/>
              <w:rPr>
                <w:i/>
              </w:rPr>
            </w:pPr>
            <w:r w:rsidRPr="00C17E16">
              <w:rPr>
                <w:i/>
              </w:rPr>
              <w:t>Our Teaching Assistants accrue directed time over the course of the week meaning they can attend specific training</w:t>
            </w:r>
            <w:r w:rsidR="00B91F2F">
              <w:rPr>
                <w:i/>
              </w:rPr>
              <w:t>, support at school events, including presentations, productions etc..</w:t>
            </w:r>
            <w:r w:rsidRPr="00C17E16">
              <w:rPr>
                <w:i/>
              </w:rPr>
              <w:t>.</w:t>
            </w:r>
            <w:r w:rsidR="00C17E16">
              <w:rPr>
                <w:i/>
              </w:rPr>
              <w:t xml:space="preserve"> </w:t>
            </w:r>
            <w:r w:rsidRPr="00C17E16">
              <w:rPr>
                <w:i/>
              </w:rPr>
              <w:t>Additional funding can be used from the Pupil Premium Grant to ensure TAs can claim additional paid hours for extra training which would benefit them in their role in the classroom.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DE6E4" w14:textId="77777777" w:rsidR="00B91F2F" w:rsidRDefault="00B4478A" w:rsidP="00B4478A">
            <w:pPr>
              <w:pStyle w:val="TableRowCentered"/>
              <w:rPr>
                <w:sz w:val="22"/>
              </w:rPr>
            </w:pPr>
            <w:r>
              <w:rPr>
                <w:sz w:val="22"/>
              </w:rPr>
              <w:t>1</w:t>
            </w:r>
          </w:p>
          <w:p w14:paraId="1D4B9B88" w14:textId="77777777" w:rsidR="00B4478A" w:rsidRDefault="00B4478A" w:rsidP="00B4478A">
            <w:pPr>
              <w:pStyle w:val="TableRowCentered"/>
              <w:rPr>
                <w:sz w:val="22"/>
              </w:rPr>
            </w:pPr>
            <w:r>
              <w:rPr>
                <w:sz w:val="22"/>
              </w:rPr>
              <w:t>2</w:t>
            </w:r>
          </w:p>
          <w:p w14:paraId="4EA5E2FA" w14:textId="789A848C" w:rsidR="00B4478A" w:rsidRDefault="00B4478A" w:rsidP="00B4478A">
            <w:pPr>
              <w:pStyle w:val="TableRowCentered"/>
              <w:rPr>
                <w:sz w:val="22"/>
              </w:rPr>
            </w:pPr>
            <w:r>
              <w:rPr>
                <w:sz w:val="22"/>
              </w:rPr>
              <w:t>3</w:t>
            </w:r>
          </w:p>
        </w:tc>
      </w:tr>
      <w:tr w:rsidR="00001FF3" w14:paraId="07657C41" w14:textId="77777777" w:rsidTr="00B4478A">
        <w:trPr>
          <w:trHeight w:val="7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6572" w14:textId="5091C568" w:rsidR="00001FF3" w:rsidRPr="006B444F" w:rsidRDefault="00001FF3" w:rsidP="004D6474">
            <w:pPr>
              <w:pStyle w:val="TableRow"/>
              <w:ind w:left="0"/>
              <w:rPr>
                <w:sz w:val="22"/>
              </w:rPr>
            </w:pPr>
            <w:r w:rsidRPr="006B444F">
              <w:rPr>
                <w:sz w:val="22"/>
              </w:rPr>
              <w:t>Improving the quality of teaching through high-quality CPD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B8E0" w14:textId="5CCB5B60" w:rsidR="00001FF3" w:rsidRDefault="00B91F2F" w:rsidP="00C17E16">
            <w:pPr>
              <w:pStyle w:val="TableRowCentered"/>
              <w:jc w:val="both"/>
            </w:pPr>
            <w:r>
              <w:t>When planning effective professional development, expert facilitators should ensure that a focus is given to high-quality teaching, providing a variety of developmental mechanisms which promote the; building of knowledge, staff motivation, developed teaching techniques and embedded practice. (EEF, 2021)</w:t>
            </w:r>
          </w:p>
          <w:p w14:paraId="44486971" w14:textId="77777777" w:rsidR="00B91F2F" w:rsidRDefault="00B91F2F" w:rsidP="00C17E16">
            <w:pPr>
              <w:pStyle w:val="TableRowCentered"/>
              <w:jc w:val="both"/>
            </w:pPr>
          </w:p>
          <w:p w14:paraId="24FBB802" w14:textId="1EB360A2" w:rsidR="00B91F2F" w:rsidRPr="00A74C2C" w:rsidRDefault="00B91F2F" w:rsidP="00A74C2C">
            <w:pPr>
              <w:pStyle w:val="TableRowCentered"/>
              <w:jc w:val="both"/>
              <w:rPr>
                <w:i/>
              </w:rPr>
            </w:pPr>
            <w:r>
              <w:rPr>
                <w:i/>
              </w:rPr>
              <w:t xml:space="preserve">As a designated SCITT and Lead School in the Embrace Teaching School Hub, with a remit of professional development from ITT – Executive Leadership, we are at the forefront of evidence informed CPD. Priorities for the upcoming year will </w:t>
            </w:r>
            <w:r>
              <w:rPr>
                <w:i/>
              </w:rPr>
              <w:lastRenderedPageBreak/>
              <w:t>centre around; Rosenshine’s Principles of Instruction, modelling, scaffolding, deploying Teaching Assistants and target setting and teaching.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E1729" w14:textId="77777777" w:rsidR="00B91F2F" w:rsidRDefault="00B4478A" w:rsidP="00B4478A">
            <w:pPr>
              <w:pStyle w:val="TableRowCentered"/>
              <w:rPr>
                <w:sz w:val="22"/>
              </w:rPr>
            </w:pPr>
            <w:r>
              <w:rPr>
                <w:sz w:val="22"/>
              </w:rPr>
              <w:lastRenderedPageBreak/>
              <w:t>1</w:t>
            </w:r>
          </w:p>
          <w:p w14:paraId="0D115B67" w14:textId="77777777" w:rsidR="00B4478A" w:rsidRDefault="00B4478A" w:rsidP="00B4478A">
            <w:pPr>
              <w:pStyle w:val="TableRowCentered"/>
              <w:rPr>
                <w:sz w:val="22"/>
              </w:rPr>
            </w:pPr>
            <w:r>
              <w:rPr>
                <w:sz w:val="22"/>
              </w:rPr>
              <w:t>2</w:t>
            </w:r>
          </w:p>
          <w:p w14:paraId="18A3E880" w14:textId="77777777" w:rsidR="00B4478A" w:rsidRDefault="00B4478A" w:rsidP="00B4478A">
            <w:pPr>
              <w:pStyle w:val="TableRowCentered"/>
              <w:rPr>
                <w:sz w:val="22"/>
              </w:rPr>
            </w:pPr>
            <w:r>
              <w:rPr>
                <w:sz w:val="22"/>
              </w:rPr>
              <w:t>3</w:t>
            </w:r>
          </w:p>
          <w:p w14:paraId="67CEE649" w14:textId="631B3BD8" w:rsidR="007D00F3" w:rsidRDefault="007D00F3" w:rsidP="00B4478A">
            <w:pPr>
              <w:pStyle w:val="TableRowCentered"/>
              <w:rPr>
                <w:sz w:val="22"/>
              </w:rPr>
            </w:pPr>
            <w:r>
              <w:rPr>
                <w:sz w:val="22"/>
              </w:rPr>
              <w:t>4</w:t>
            </w:r>
          </w:p>
        </w:tc>
      </w:tr>
    </w:tbl>
    <w:p w14:paraId="2A7D5522" w14:textId="1C812A94" w:rsidR="00E66558" w:rsidRDefault="00E66558" w:rsidP="00ED5108"/>
    <w:p w14:paraId="2A7D5523" w14:textId="053AA2F0"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FA2A143" w:rsidR="00E66558" w:rsidRDefault="009D71E8">
      <w:r>
        <w:t>Budgeted cost</w:t>
      </w:r>
      <w:r w:rsidRPr="000C7448">
        <w:rPr>
          <w:color w:val="auto"/>
        </w:rPr>
        <w:t>:</w:t>
      </w:r>
      <w:r w:rsidRPr="003A0006">
        <w:rPr>
          <w:color w:val="FF0000"/>
        </w:rPr>
        <w:t xml:space="preserve"> </w:t>
      </w:r>
      <w:r w:rsidRPr="000C7448">
        <w:rPr>
          <w:b/>
          <w:color w:val="1F497D" w:themeColor="text2"/>
        </w:rPr>
        <w:t>£</w:t>
      </w:r>
      <w:r w:rsidR="002755FA">
        <w:rPr>
          <w:b/>
          <w:color w:val="1F497D" w:themeColor="text2"/>
        </w:rPr>
        <w:t>25,</w:t>
      </w:r>
      <w:r w:rsidR="00623239">
        <w:rPr>
          <w:b/>
          <w:color w:val="1F497D" w:themeColor="text2"/>
        </w:rPr>
        <w:t>000</w:t>
      </w:r>
      <w:r w:rsidR="008E2D8D" w:rsidRPr="000C7448">
        <w:rPr>
          <w:b/>
          <w:color w:val="1F497D" w:themeColor="text2"/>
        </w:rPr>
        <w:t xml:space="preserve"> </w:t>
      </w:r>
    </w:p>
    <w:tbl>
      <w:tblPr>
        <w:tblW w:w="5082" w:type="pct"/>
        <w:tblLayout w:type="fixed"/>
        <w:tblCellMar>
          <w:left w:w="10" w:type="dxa"/>
          <w:right w:w="10" w:type="dxa"/>
        </w:tblCellMar>
        <w:tblLook w:val="04A0" w:firstRow="1" w:lastRow="0" w:firstColumn="1" w:lastColumn="0" w:noHBand="0" w:noVBand="1"/>
      </w:tblPr>
      <w:tblGrid>
        <w:gridCol w:w="1838"/>
        <w:gridCol w:w="7229"/>
        <w:gridCol w:w="1560"/>
      </w:tblGrid>
      <w:tr w:rsidR="008E2D8D" w14:paraId="2A7D5528" w14:textId="77777777" w:rsidTr="00A731FE">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035DFED1" w:rsidR="00E66558" w:rsidRDefault="009D71E8" w:rsidP="00001FF3">
            <w:pPr>
              <w:pStyle w:val="TableHeader"/>
              <w:tabs>
                <w:tab w:val="right" w:pos="7228"/>
              </w:tabs>
              <w:jc w:val="left"/>
            </w:pPr>
            <w:r>
              <w:t>Evidence that supports this approach</w:t>
            </w:r>
            <w:r w:rsidR="00001FF3">
              <w:tab/>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B7F1C" w14:paraId="18D5A419" w14:textId="77777777" w:rsidTr="007D00F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5BCE" w14:textId="1131022B" w:rsidR="00DB7F1C" w:rsidRPr="006B444F" w:rsidRDefault="003A1049" w:rsidP="00BC44A4">
            <w:pPr>
              <w:pStyle w:val="TableRow"/>
              <w:ind w:left="0"/>
              <w:rPr>
                <w:sz w:val="22"/>
                <w:szCs w:val="22"/>
              </w:rPr>
            </w:pPr>
            <w:r w:rsidRPr="006B444F">
              <w:rPr>
                <w:sz w:val="22"/>
                <w:szCs w:val="22"/>
              </w:rPr>
              <w:t>Speech &amp; Language support &amp; interventions</w:t>
            </w:r>
            <w:r w:rsidR="006E4B47" w:rsidRPr="006B444F">
              <w:rPr>
                <w:sz w:val="22"/>
                <w:szCs w:val="22"/>
              </w:rPr>
              <w:t>, both group and individual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B23A" w14:textId="740E6ADA" w:rsidR="00332CDF" w:rsidRPr="00A731FE" w:rsidRDefault="003A1049" w:rsidP="0053587B">
            <w:pPr>
              <w:pStyle w:val="TableRowCentered"/>
              <w:ind w:left="0"/>
              <w:jc w:val="both"/>
              <w:rPr>
                <w:sz w:val="22"/>
              </w:rPr>
            </w:pPr>
            <w:r w:rsidRPr="00A731FE">
              <w:rPr>
                <w:sz w:val="22"/>
              </w:rPr>
              <w:t xml:space="preserve">Approximately </w:t>
            </w:r>
            <w:r w:rsidR="000C4647">
              <w:rPr>
                <w:sz w:val="22"/>
              </w:rPr>
              <w:t>70</w:t>
            </w:r>
            <w:r w:rsidRPr="00A731FE">
              <w:rPr>
                <w:sz w:val="22"/>
              </w:rPr>
              <w:t xml:space="preserve">% of those eligible for the PPG </w:t>
            </w:r>
            <w:r w:rsidR="00332CDF" w:rsidRPr="00A731FE">
              <w:rPr>
                <w:sz w:val="22"/>
              </w:rPr>
              <w:t xml:space="preserve">have a prominent </w:t>
            </w:r>
            <w:r w:rsidR="00F524D9">
              <w:rPr>
                <w:sz w:val="22"/>
              </w:rPr>
              <w:t>Communication &amp; Interaction</w:t>
            </w:r>
            <w:r w:rsidR="00332CDF" w:rsidRPr="00A731FE">
              <w:rPr>
                <w:sz w:val="22"/>
              </w:rPr>
              <w:t xml:space="preserve"> </w:t>
            </w:r>
            <w:r w:rsidR="00F524D9">
              <w:rPr>
                <w:sz w:val="22"/>
              </w:rPr>
              <w:t>need</w:t>
            </w:r>
            <w:r w:rsidR="00332CDF" w:rsidRPr="00A731FE">
              <w:rPr>
                <w:sz w:val="22"/>
              </w:rPr>
              <w:t xml:space="preserve"> identified through their Education, Health &amp; Care Plan (EHCP). Where schools have utilised </w:t>
            </w:r>
            <w:proofErr w:type="spellStart"/>
            <w:r w:rsidR="00332CDF" w:rsidRPr="00A731FE">
              <w:rPr>
                <w:sz w:val="22"/>
              </w:rPr>
              <w:t>SaLT</w:t>
            </w:r>
            <w:proofErr w:type="spellEnd"/>
            <w:r w:rsidR="00332CDF" w:rsidRPr="00A731FE">
              <w:rPr>
                <w:sz w:val="22"/>
              </w:rPr>
              <w:t xml:space="preserve"> support to observe and support Teachers and TAs to implement specific strategies for these pupils, progress has been evidently accelerated (Holdsworth, Parrish &amp; Findlay-Pidcock, 2021)</w:t>
            </w:r>
          </w:p>
          <w:p w14:paraId="2F9979ED" w14:textId="77777777" w:rsidR="00332CDF" w:rsidRPr="00A731FE" w:rsidRDefault="00332CDF" w:rsidP="0053587B">
            <w:pPr>
              <w:pStyle w:val="TableRowCentered"/>
              <w:ind w:left="0"/>
              <w:jc w:val="both"/>
              <w:rPr>
                <w:sz w:val="22"/>
              </w:rPr>
            </w:pPr>
          </w:p>
          <w:p w14:paraId="1245A476" w14:textId="705F7788" w:rsidR="00DB7F1C" w:rsidRPr="00A731FE" w:rsidRDefault="00332CDF" w:rsidP="0053587B">
            <w:pPr>
              <w:pStyle w:val="TableRowCentered"/>
              <w:ind w:left="0"/>
              <w:jc w:val="both"/>
              <w:rPr>
                <w:i/>
                <w:sz w:val="22"/>
              </w:rPr>
            </w:pPr>
            <w:r w:rsidRPr="00A731FE">
              <w:rPr>
                <w:i/>
                <w:sz w:val="22"/>
              </w:rPr>
              <w:t xml:space="preserve">Utilising a qualified Speech &amp; Language Therapist from the staff team to monitor, review and provide high-quality specific interventions </w:t>
            </w:r>
            <w:r w:rsidR="00F524D9">
              <w:rPr>
                <w:i/>
                <w:sz w:val="22"/>
              </w:rPr>
              <w:t>t</w:t>
            </w:r>
            <w:r w:rsidRPr="00A731FE">
              <w:rPr>
                <w:i/>
                <w:sz w:val="22"/>
              </w:rPr>
              <w:t xml:space="preserve">o targeted pupils. </w:t>
            </w:r>
            <w:proofErr w:type="spellStart"/>
            <w:r w:rsidRPr="00A731FE">
              <w:rPr>
                <w:i/>
                <w:sz w:val="22"/>
              </w:rPr>
              <w:t>SaLT</w:t>
            </w:r>
            <w:proofErr w:type="spellEnd"/>
            <w:r w:rsidRPr="00A731FE">
              <w:rPr>
                <w:i/>
                <w:sz w:val="22"/>
              </w:rPr>
              <w:t xml:space="preserve"> to provide high-quality communication advice and guidance to the staff team</w:t>
            </w:r>
            <w:r w:rsidR="006E4B47" w:rsidRPr="00A731FE">
              <w:rPr>
                <w:i/>
                <w:sz w:val="22"/>
              </w:rPr>
              <w:t xml:space="preserve"> who provide in-class </w:t>
            </w:r>
            <w:proofErr w:type="spellStart"/>
            <w:r w:rsidR="006E4B47" w:rsidRPr="00A731FE">
              <w:rPr>
                <w:i/>
                <w:sz w:val="22"/>
              </w:rPr>
              <w:t>SaLT</w:t>
            </w:r>
            <w:proofErr w:type="spellEnd"/>
            <w:r w:rsidR="006E4B47" w:rsidRPr="00A731FE">
              <w:rPr>
                <w:i/>
                <w:sz w:val="22"/>
              </w:rPr>
              <w:t xml:space="preserve"> interventions</w:t>
            </w:r>
            <w:r w:rsidRPr="00A731FE">
              <w:rPr>
                <w:i/>
                <w:sz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0577E" w14:textId="77777777" w:rsidR="00E82C21" w:rsidRDefault="007D00F3" w:rsidP="007D00F3">
            <w:pPr>
              <w:pStyle w:val="TableRowCentered"/>
              <w:rPr>
                <w:sz w:val="22"/>
              </w:rPr>
            </w:pPr>
            <w:r>
              <w:rPr>
                <w:sz w:val="22"/>
              </w:rPr>
              <w:t>1</w:t>
            </w:r>
          </w:p>
          <w:p w14:paraId="14C3064E" w14:textId="1BD94FA6" w:rsidR="007D00F3" w:rsidRDefault="007D00F3" w:rsidP="007D00F3">
            <w:pPr>
              <w:pStyle w:val="TableRowCentered"/>
              <w:rPr>
                <w:sz w:val="22"/>
              </w:rPr>
            </w:pPr>
            <w:r>
              <w:rPr>
                <w:sz w:val="22"/>
              </w:rPr>
              <w:t>2</w:t>
            </w:r>
          </w:p>
        </w:tc>
      </w:tr>
      <w:tr w:rsidR="00FF6DF2" w14:paraId="1D83F390" w14:textId="77777777" w:rsidTr="007D00F3">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B0CE" w14:textId="31CFED44" w:rsidR="00FF6DF2" w:rsidRPr="006B444F" w:rsidRDefault="00FF6DF2">
            <w:pPr>
              <w:pStyle w:val="TableRow"/>
              <w:rPr>
                <w:sz w:val="22"/>
                <w:szCs w:val="22"/>
              </w:rPr>
            </w:pPr>
            <w:r w:rsidRPr="006B444F">
              <w:rPr>
                <w:sz w:val="22"/>
                <w:szCs w:val="22"/>
              </w:rPr>
              <w:t>Pastoral outings</w:t>
            </w:r>
            <w:r w:rsidR="001C1E49" w:rsidRPr="006B444F">
              <w:rPr>
                <w:sz w:val="22"/>
                <w:szCs w:val="22"/>
              </w:rPr>
              <w:t xml:space="preserve"> &amp; experience </w:t>
            </w:r>
            <w:r w:rsidR="006E4B47" w:rsidRPr="006B444F">
              <w:rPr>
                <w:sz w:val="22"/>
                <w:szCs w:val="22"/>
              </w:rPr>
              <w:t>trips for cultural capital.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2568" w14:textId="3992D11E" w:rsidR="001C1E49" w:rsidRDefault="001C1E49" w:rsidP="0053587B">
            <w:pPr>
              <w:pStyle w:val="TableRowCentered"/>
              <w:jc w:val="both"/>
              <w:rPr>
                <w:sz w:val="22"/>
              </w:rPr>
            </w:pPr>
            <w:r w:rsidRPr="00A731FE">
              <w:rPr>
                <w:sz w:val="22"/>
              </w:rPr>
              <w:t>By planning for cultural capital within the curriculum, schools can help those students who may otherwise not have high cultural capital and, in doing so, help reduce social inequalities (Quigley, 2022)</w:t>
            </w:r>
            <w:r w:rsidR="0053587B" w:rsidRPr="00A731FE">
              <w:rPr>
                <w:sz w:val="22"/>
              </w:rPr>
              <w:t>.</w:t>
            </w:r>
          </w:p>
          <w:p w14:paraId="66670A95" w14:textId="77777777" w:rsidR="00A731FE" w:rsidRPr="00A731FE" w:rsidRDefault="00A731FE" w:rsidP="0053587B">
            <w:pPr>
              <w:pStyle w:val="TableRowCentered"/>
              <w:jc w:val="both"/>
              <w:rPr>
                <w:sz w:val="22"/>
              </w:rPr>
            </w:pPr>
          </w:p>
          <w:p w14:paraId="342A28C4" w14:textId="1A0DED1E" w:rsidR="00FF6DF2" w:rsidRDefault="001C1E49" w:rsidP="0053587B">
            <w:pPr>
              <w:pStyle w:val="TableRowCentered"/>
              <w:jc w:val="both"/>
              <w:rPr>
                <w:i/>
                <w:sz w:val="22"/>
              </w:rPr>
            </w:pPr>
            <w:r w:rsidRPr="00A731FE">
              <w:rPr>
                <w:i/>
                <w:sz w:val="22"/>
              </w:rPr>
              <w:t xml:space="preserve">Many of our pupils experience a cultural-deficit due to their complex needs; many attractions and environments are not set up to provide quality experiences for pupils with complex cognitive or physical disabilities which excludes them from this environment. Those eligible for the PPG are doubly-disadvantaged from accessing these environments due to the cost of travelling and paying to enter many of them. </w:t>
            </w:r>
          </w:p>
          <w:p w14:paraId="234E5C76" w14:textId="77777777" w:rsidR="00A731FE" w:rsidRPr="00A731FE" w:rsidRDefault="00A731FE" w:rsidP="0053587B">
            <w:pPr>
              <w:pStyle w:val="TableRowCentered"/>
              <w:jc w:val="both"/>
              <w:rPr>
                <w:i/>
                <w:sz w:val="22"/>
              </w:rPr>
            </w:pPr>
          </w:p>
          <w:p w14:paraId="73EFC74C" w14:textId="07249B0E" w:rsidR="00A21D14" w:rsidRDefault="00A21D14" w:rsidP="0053587B">
            <w:pPr>
              <w:pStyle w:val="TableRowCentered"/>
              <w:jc w:val="both"/>
              <w:rPr>
                <w:i/>
                <w:color w:val="FF0000"/>
                <w:sz w:val="22"/>
              </w:rPr>
            </w:pPr>
            <w:r w:rsidRPr="00A731FE">
              <w:rPr>
                <w:i/>
                <w:sz w:val="22"/>
              </w:rPr>
              <w:t>A HLTA in the Primary Department will be responsible for organising and leading the primary pastoral outings.</w:t>
            </w:r>
          </w:p>
          <w:p w14:paraId="7E2B87EE" w14:textId="71C4C648" w:rsidR="0053587B" w:rsidRPr="00A74C2C" w:rsidRDefault="0053587B" w:rsidP="00A74C2C">
            <w:pPr>
              <w:pStyle w:val="TableRowCentered"/>
              <w:jc w:val="both"/>
              <w:rPr>
                <w:i/>
                <w:sz w:val="22"/>
              </w:rPr>
            </w:pPr>
            <w:r w:rsidRPr="00A731FE">
              <w:rPr>
                <w:i/>
                <w:sz w:val="22"/>
              </w:rPr>
              <w:t>Pupils will be eligible for subsidised excursions to enhance their cultural capital offer across the curriculum.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471CF" w14:textId="77777777" w:rsidR="00FF6DF2" w:rsidRDefault="007D00F3" w:rsidP="007D00F3">
            <w:pPr>
              <w:pStyle w:val="TableRowCentered"/>
              <w:rPr>
                <w:sz w:val="22"/>
              </w:rPr>
            </w:pPr>
            <w:r>
              <w:rPr>
                <w:sz w:val="22"/>
              </w:rPr>
              <w:t>2</w:t>
            </w:r>
          </w:p>
          <w:p w14:paraId="670A9F08" w14:textId="404EF28F" w:rsidR="007D00F3" w:rsidRDefault="007D00F3" w:rsidP="007D00F3">
            <w:pPr>
              <w:pStyle w:val="TableRowCentered"/>
              <w:rPr>
                <w:sz w:val="22"/>
              </w:rPr>
            </w:pPr>
            <w:r>
              <w:rPr>
                <w:sz w:val="22"/>
              </w:rPr>
              <w:t>4</w:t>
            </w:r>
          </w:p>
        </w:tc>
      </w:tr>
    </w:tbl>
    <w:p w14:paraId="2A7D5531" w14:textId="77777777" w:rsidR="00E66558" w:rsidRDefault="00E66558" w:rsidP="00AA355B"/>
    <w:p w14:paraId="0A117159" w14:textId="77777777" w:rsidR="00E82C21" w:rsidRDefault="00E82C21">
      <w:pPr>
        <w:suppressAutoHyphens w:val="0"/>
        <w:spacing w:after="0" w:line="240" w:lineRule="auto"/>
        <w:rPr>
          <w:b/>
          <w:bCs/>
          <w:color w:val="104F75"/>
          <w:sz w:val="28"/>
          <w:szCs w:val="28"/>
        </w:rPr>
      </w:pPr>
      <w:r>
        <w:br w:type="page"/>
      </w:r>
    </w:p>
    <w:p w14:paraId="2A7D5532" w14:textId="4C0C2C6F" w:rsidR="00E66558" w:rsidRPr="00AA355B" w:rsidRDefault="009D71E8" w:rsidP="00AA355B">
      <w:pPr>
        <w:pStyle w:val="Heading3"/>
      </w:pPr>
      <w:r>
        <w:lastRenderedPageBreak/>
        <w:t>Wider strategies (for example, related to attendance, behaviour, wellbeing)</w:t>
      </w:r>
    </w:p>
    <w:p w14:paraId="2A7D5533" w14:textId="6519806A" w:rsidR="00E66558" w:rsidRDefault="009D71E8">
      <w:pPr>
        <w:spacing w:before="240" w:after="120"/>
      </w:pPr>
      <w:r>
        <w:t xml:space="preserve">Budgeted cost: </w:t>
      </w:r>
      <w:r w:rsidRPr="000C7448">
        <w:rPr>
          <w:b/>
          <w:color w:val="1F497D" w:themeColor="text2"/>
        </w:rPr>
        <w:t>£</w:t>
      </w:r>
      <w:r w:rsidR="00623239">
        <w:rPr>
          <w:b/>
          <w:color w:val="1F497D" w:themeColor="text2"/>
        </w:rPr>
        <w:t>60,000</w:t>
      </w:r>
    </w:p>
    <w:tbl>
      <w:tblPr>
        <w:tblW w:w="5000" w:type="pct"/>
        <w:tblLayout w:type="fixed"/>
        <w:tblCellMar>
          <w:left w:w="10" w:type="dxa"/>
          <w:right w:w="10" w:type="dxa"/>
        </w:tblCellMar>
        <w:tblLook w:val="04A0" w:firstRow="1" w:lastRow="0" w:firstColumn="1" w:lastColumn="0" w:noHBand="0" w:noVBand="1"/>
      </w:tblPr>
      <w:tblGrid>
        <w:gridCol w:w="1870"/>
        <w:gridCol w:w="6914"/>
        <w:gridCol w:w="1672"/>
      </w:tblGrid>
      <w:tr w:rsidR="00E66558" w14:paraId="2A7D5537" w14:textId="77777777" w:rsidTr="00A731FE">
        <w:trPr>
          <w:tblHeader/>
        </w:trPr>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9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E986A60" w:rsidR="00E66558" w:rsidRPr="000C7448" w:rsidRDefault="009B1CF6">
            <w:pPr>
              <w:pStyle w:val="TableRow"/>
              <w:rPr>
                <w:sz w:val="22"/>
                <w:szCs w:val="22"/>
              </w:rPr>
            </w:pPr>
            <w:r w:rsidRPr="000C7448">
              <w:rPr>
                <w:sz w:val="22"/>
                <w:szCs w:val="22"/>
              </w:rPr>
              <w:t>Deployment of a dedicated Parent Liaison Manager</w:t>
            </w:r>
            <w:r w:rsidR="006E4B47" w:rsidRPr="000C7448">
              <w:rPr>
                <w:sz w:val="22"/>
                <w:szCs w:val="22"/>
              </w:rPr>
              <w:t xml:space="preserve"> to support parents in need and organise a minimum of three (termly) parent training programmes</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A743" w14:textId="24059468" w:rsidR="00E66558" w:rsidRPr="000C7448" w:rsidRDefault="009B1CF6" w:rsidP="009B1CF6">
            <w:pPr>
              <w:pStyle w:val="TableRowCentered"/>
              <w:ind w:left="0"/>
              <w:jc w:val="left"/>
              <w:rPr>
                <w:sz w:val="22"/>
                <w:szCs w:val="22"/>
              </w:rPr>
            </w:pPr>
            <w:r w:rsidRPr="000C7448">
              <w:rPr>
                <w:sz w:val="22"/>
                <w:szCs w:val="22"/>
              </w:rPr>
              <w:t xml:space="preserve">The EEF suggests that, in working with parents, schools should seek to offer more sustained and intensive support where needed. </w:t>
            </w:r>
            <w:r w:rsidR="006E4B47" w:rsidRPr="000C7448">
              <w:rPr>
                <w:sz w:val="22"/>
                <w:szCs w:val="22"/>
              </w:rPr>
              <w:t>(EEF, 2021)</w:t>
            </w:r>
          </w:p>
          <w:p w14:paraId="2F330797" w14:textId="77777777" w:rsidR="009B1CF6" w:rsidRPr="000C7448" w:rsidRDefault="009B1CF6" w:rsidP="009B1CF6">
            <w:pPr>
              <w:pStyle w:val="TableRowCentered"/>
              <w:ind w:left="0"/>
              <w:jc w:val="left"/>
              <w:rPr>
                <w:sz w:val="22"/>
                <w:szCs w:val="22"/>
              </w:rPr>
            </w:pPr>
          </w:p>
          <w:p w14:paraId="2A7D5539" w14:textId="036386BC" w:rsidR="006E4B47" w:rsidRPr="000C7448" w:rsidRDefault="009B1CF6" w:rsidP="009B1CF6">
            <w:pPr>
              <w:pStyle w:val="TableRowCentered"/>
              <w:ind w:left="0"/>
              <w:jc w:val="left"/>
              <w:rPr>
                <w:i/>
                <w:sz w:val="22"/>
                <w:szCs w:val="22"/>
              </w:rPr>
            </w:pPr>
            <w:r w:rsidRPr="000C7448">
              <w:rPr>
                <w:i/>
                <w:sz w:val="22"/>
                <w:szCs w:val="22"/>
              </w:rPr>
              <w:t>The Parent Liaison role is responsible for assessing the needs for parents who need additional support in accessing services to support their children. The role also includes the organisation of parent training in order to support Parents in understanding the evidence base for interventions which they can use to support their children’s communicative, sensory and academic needs in the home</w:t>
            </w:r>
            <w:r w:rsidR="00A74C2C" w:rsidRPr="000C7448">
              <w:rPr>
                <w:i/>
                <w:sz w:val="22"/>
                <w:szCs w:val="22"/>
              </w:rPr>
              <w: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C149F" w14:textId="77777777" w:rsidR="007D00F3" w:rsidRDefault="007D00F3" w:rsidP="007D00F3">
            <w:pPr>
              <w:pStyle w:val="TableRowCentered"/>
              <w:rPr>
                <w:sz w:val="22"/>
                <w:szCs w:val="22"/>
              </w:rPr>
            </w:pPr>
            <w:r>
              <w:rPr>
                <w:sz w:val="22"/>
                <w:szCs w:val="22"/>
              </w:rPr>
              <w:t>2</w:t>
            </w:r>
          </w:p>
          <w:p w14:paraId="26E56AA0" w14:textId="77777777" w:rsidR="007D00F3" w:rsidRDefault="007D00F3" w:rsidP="007D00F3">
            <w:pPr>
              <w:pStyle w:val="TableRowCentered"/>
              <w:rPr>
                <w:sz w:val="22"/>
                <w:szCs w:val="22"/>
              </w:rPr>
            </w:pPr>
            <w:r>
              <w:rPr>
                <w:sz w:val="22"/>
                <w:szCs w:val="22"/>
              </w:rPr>
              <w:t>3</w:t>
            </w:r>
          </w:p>
          <w:p w14:paraId="2A7D553A" w14:textId="4A3836A5" w:rsidR="007D00F3" w:rsidRPr="000C7448" w:rsidRDefault="007D00F3" w:rsidP="007D00F3">
            <w:pPr>
              <w:pStyle w:val="TableRowCentered"/>
              <w:rPr>
                <w:sz w:val="22"/>
                <w:szCs w:val="22"/>
              </w:rPr>
            </w:pPr>
            <w:r>
              <w:rPr>
                <w:sz w:val="22"/>
                <w:szCs w:val="22"/>
              </w:rPr>
              <w:t>4</w:t>
            </w:r>
          </w:p>
        </w:tc>
      </w:tr>
      <w:tr w:rsidR="00615DFD" w14:paraId="2A7D553F" w14:textId="77777777" w:rsidTr="007D00F3">
        <w:trPr>
          <w:trHeight w:val="2672"/>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499C27B" w:rsidR="00615DFD" w:rsidRPr="000C7448" w:rsidRDefault="00615DFD" w:rsidP="006E4B47">
            <w:pPr>
              <w:pStyle w:val="TableRow"/>
              <w:rPr>
                <w:sz w:val="22"/>
                <w:szCs w:val="22"/>
              </w:rPr>
            </w:pPr>
            <w:r w:rsidRPr="000C7448">
              <w:rPr>
                <w:sz w:val="22"/>
                <w:szCs w:val="22"/>
              </w:rPr>
              <w:t xml:space="preserve">Ready </w:t>
            </w:r>
            <w:proofErr w:type="gramStart"/>
            <w:r w:rsidRPr="000C7448">
              <w:rPr>
                <w:sz w:val="22"/>
                <w:szCs w:val="22"/>
              </w:rPr>
              <w:t>To</w:t>
            </w:r>
            <w:proofErr w:type="gramEnd"/>
            <w:r w:rsidRPr="000C7448">
              <w:rPr>
                <w:sz w:val="22"/>
                <w:szCs w:val="22"/>
              </w:rPr>
              <w:t xml:space="preserve"> Learn Kits</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A90" w14:textId="6DEFA913" w:rsidR="006E4B47" w:rsidRPr="000C7448" w:rsidRDefault="006E4B47" w:rsidP="006E4B47">
            <w:pPr>
              <w:pStyle w:val="TableRowCentered"/>
              <w:jc w:val="both"/>
              <w:rPr>
                <w:sz w:val="22"/>
                <w:szCs w:val="22"/>
              </w:rPr>
            </w:pPr>
            <w:r w:rsidRPr="000C7448">
              <w:rPr>
                <w:sz w:val="22"/>
                <w:szCs w:val="22"/>
              </w:rPr>
              <w:t>The EEF highlights that schools should support parents to have a positive impact on their child’s learning by providing practical strategies to support learning at home. This can include ensuring they have the necessary resources required to support pupil’s in accessing learning beyond the classroom (EEF, 2021)</w:t>
            </w:r>
            <w:r w:rsidR="004F7979" w:rsidRPr="000C7448">
              <w:rPr>
                <w:sz w:val="22"/>
                <w:szCs w:val="22"/>
              </w:rPr>
              <w:t>.</w:t>
            </w:r>
          </w:p>
          <w:p w14:paraId="5657B85B" w14:textId="7E485BF0" w:rsidR="006E4B47" w:rsidRPr="000C7448" w:rsidRDefault="006E4B47" w:rsidP="006E4B47">
            <w:pPr>
              <w:pStyle w:val="TableRowCentered"/>
              <w:jc w:val="both"/>
              <w:rPr>
                <w:sz w:val="22"/>
                <w:szCs w:val="22"/>
              </w:rPr>
            </w:pPr>
          </w:p>
          <w:p w14:paraId="2A7D553D" w14:textId="34BC8D01" w:rsidR="00615DFD" w:rsidRPr="000C7448" w:rsidRDefault="006E4B47" w:rsidP="00A74C2C">
            <w:pPr>
              <w:pStyle w:val="TableRowCentered"/>
              <w:jc w:val="both"/>
              <w:rPr>
                <w:i/>
                <w:sz w:val="22"/>
                <w:szCs w:val="22"/>
              </w:rPr>
            </w:pPr>
            <w:r w:rsidRPr="000C7448">
              <w:rPr>
                <w:i/>
                <w:sz w:val="22"/>
                <w:szCs w:val="22"/>
              </w:rPr>
              <w:t>Eligible pupils will be entitled to a resource kit, made up of useful resources which complement the pupil’s individual learning journeys and pathways, e.g. a CGP revision book, a pencil case, or multi-sensory resources relevant for the pupil to use at home.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9ECAB" w14:textId="72A9361B" w:rsidR="007D00F3" w:rsidRDefault="007D00F3" w:rsidP="007D00F3">
            <w:pPr>
              <w:pStyle w:val="TableRowCentered"/>
              <w:rPr>
                <w:sz w:val="22"/>
                <w:szCs w:val="22"/>
              </w:rPr>
            </w:pPr>
            <w:r>
              <w:rPr>
                <w:sz w:val="22"/>
                <w:szCs w:val="22"/>
              </w:rPr>
              <w:t>1</w:t>
            </w:r>
          </w:p>
          <w:p w14:paraId="2A7D553E" w14:textId="1AD78083" w:rsidR="00615DFD" w:rsidRPr="000C7448" w:rsidRDefault="007D00F3" w:rsidP="007D00F3">
            <w:pPr>
              <w:pStyle w:val="TableRowCentered"/>
              <w:rPr>
                <w:sz w:val="22"/>
                <w:szCs w:val="22"/>
              </w:rPr>
            </w:pPr>
            <w:r>
              <w:rPr>
                <w:sz w:val="22"/>
                <w:szCs w:val="22"/>
              </w:rPr>
              <w:t>2</w:t>
            </w:r>
          </w:p>
        </w:tc>
      </w:tr>
      <w:tr w:rsidR="00615DFD" w14:paraId="36AE54AF"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FB93" w14:textId="1097141A" w:rsidR="00615DFD" w:rsidRPr="000C7448" w:rsidRDefault="00615DFD">
            <w:pPr>
              <w:pStyle w:val="TableRow"/>
              <w:rPr>
                <w:i/>
                <w:sz w:val="22"/>
                <w:szCs w:val="22"/>
              </w:rPr>
            </w:pPr>
            <w:r w:rsidRPr="000C7448">
              <w:rPr>
                <w:sz w:val="22"/>
                <w:szCs w:val="22"/>
              </w:rPr>
              <w:t>Access to Educational Visit</w:t>
            </w:r>
            <w:r w:rsidR="004F7979" w:rsidRPr="000C7448">
              <w:rPr>
                <w:sz w:val="22"/>
                <w:szCs w:val="22"/>
              </w:rPr>
              <w:t>(</w:t>
            </w:r>
            <w:proofErr w:type="spellStart"/>
            <w:r w:rsidR="004F7979" w:rsidRPr="000C7448">
              <w:rPr>
                <w:sz w:val="22"/>
                <w:szCs w:val="22"/>
              </w:rPr>
              <w:t>ors</w:t>
            </w:r>
            <w:proofErr w:type="spellEnd"/>
            <w:r w:rsidR="004F7979" w:rsidRPr="000C7448">
              <w:rPr>
                <w:sz w:val="22"/>
                <w:szCs w:val="22"/>
              </w:rPr>
              <w:t xml:space="preserve">) </w:t>
            </w:r>
            <w:r w:rsidRPr="000C7448">
              <w:rPr>
                <w:sz w:val="22"/>
                <w:szCs w:val="22"/>
              </w:rPr>
              <w:t>- subsidy per key stage</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755E" w14:textId="3332E4FC" w:rsidR="003A0006" w:rsidRPr="000C7448" w:rsidRDefault="003A0006" w:rsidP="003A0006">
            <w:pPr>
              <w:pStyle w:val="TableRowCentered"/>
              <w:jc w:val="both"/>
              <w:rPr>
                <w:sz w:val="22"/>
                <w:szCs w:val="22"/>
              </w:rPr>
            </w:pPr>
            <w:r w:rsidRPr="000C7448">
              <w:rPr>
                <w:sz w:val="22"/>
                <w:szCs w:val="22"/>
              </w:rPr>
              <w:t>Educational visits</w:t>
            </w:r>
            <w:r w:rsidR="004F7979" w:rsidRPr="000C7448">
              <w:rPr>
                <w:sz w:val="22"/>
                <w:szCs w:val="22"/>
              </w:rPr>
              <w:t>/visitors</w:t>
            </w:r>
            <w:r w:rsidRPr="000C7448">
              <w:rPr>
                <w:sz w:val="22"/>
                <w:szCs w:val="22"/>
              </w:rPr>
              <w:t xml:space="preserve"> can provide opportunities for pupils to build their experiential schema, thus enabling them to find learning about new concepts less challenging as they have more experience to attach knowledge to, this lowers the effect of the germane cognitive load, enabling pupils to use their extraneous load more effectively to focus on the most important new learning.</w:t>
            </w:r>
          </w:p>
          <w:p w14:paraId="27DB1974" w14:textId="77777777" w:rsidR="00615DFD" w:rsidRPr="000C7448" w:rsidRDefault="00615DFD" w:rsidP="003A0006">
            <w:pPr>
              <w:pStyle w:val="TableRowCentered"/>
              <w:jc w:val="both"/>
              <w:rPr>
                <w:sz w:val="22"/>
                <w:szCs w:val="22"/>
              </w:rPr>
            </w:pPr>
          </w:p>
          <w:p w14:paraId="407D1A6F" w14:textId="2355DA91" w:rsidR="003A0006" w:rsidRPr="000C7448" w:rsidRDefault="003A0006" w:rsidP="00A74C2C">
            <w:pPr>
              <w:pStyle w:val="TableRowCentered"/>
              <w:jc w:val="both"/>
              <w:rPr>
                <w:i/>
                <w:sz w:val="22"/>
                <w:szCs w:val="22"/>
              </w:rPr>
            </w:pPr>
            <w:r w:rsidRPr="000C7448">
              <w:rPr>
                <w:i/>
                <w:sz w:val="22"/>
                <w:szCs w:val="22"/>
              </w:rPr>
              <w:t>Eligible pupils will be entitled to subsidised access to relevant educational visits in order to ensure a parity of access to these learning experiences.</w:t>
            </w:r>
            <w:r w:rsidR="004F7979" w:rsidRPr="000C7448">
              <w:rPr>
                <w:i/>
                <w:sz w:val="22"/>
                <w:szCs w:val="22"/>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E19CF" w14:textId="77777777" w:rsidR="00615DFD" w:rsidRDefault="007D00F3" w:rsidP="007D00F3">
            <w:pPr>
              <w:pStyle w:val="TableRowCentered"/>
              <w:rPr>
                <w:sz w:val="22"/>
                <w:szCs w:val="22"/>
              </w:rPr>
            </w:pPr>
            <w:r>
              <w:rPr>
                <w:sz w:val="22"/>
                <w:szCs w:val="22"/>
              </w:rPr>
              <w:t>2</w:t>
            </w:r>
          </w:p>
          <w:p w14:paraId="1A6BDA9C" w14:textId="28310546" w:rsidR="007D00F3" w:rsidRPr="000C7448" w:rsidRDefault="007D00F3" w:rsidP="007D00F3">
            <w:pPr>
              <w:pStyle w:val="TableRowCentered"/>
              <w:rPr>
                <w:sz w:val="22"/>
                <w:szCs w:val="22"/>
              </w:rPr>
            </w:pPr>
            <w:r>
              <w:rPr>
                <w:sz w:val="22"/>
                <w:szCs w:val="22"/>
              </w:rPr>
              <w:t>4</w:t>
            </w:r>
          </w:p>
        </w:tc>
      </w:tr>
      <w:tr w:rsidR="00615DFD" w14:paraId="28C2B39B"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34E" w14:textId="4F2AB028" w:rsidR="00615DFD" w:rsidRPr="000C7448" w:rsidRDefault="00615DFD">
            <w:pPr>
              <w:pStyle w:val="TableRow"/>
              <w:rPr>
                <w:i/>
                <w:sz w:val="22"/>
                <w:szCs w:val="22"/>
              </w:rPr>
            </w:pPr>
            <w:r w:rsidRPr="000C7448">
              <w:rPr>
                <w:sz w:val="22"/>
                <w:szCs w:val="22"/>
              </w:rPr>
              <w:t>Access to residential</w:t>
            </w:r>
            <w:r w:rsidR="00F66A7B" w:rsidRPr="000C7448">
              <w:rPr>
                <w:sz w:val="22"/>
                <w:szCs w:val="22"/>
              </w:rPr>
              <w:t xml:space="preserve"> </w:t>
            </w:r>
            <w:r w:rsidRPr="000C7448">
              <w:rPr>
                <w:sz w:val="22"/>
                <w:szCs w:val="22"/>
              </w:rPr>
              <w:t xml:space="preserve">trips. </w:t>
            </w:r>
            <w:r w:rsidR="00F66A7B" w:rsidRPr="000C7448">
              <w:rPr>
                <w:sz w:val="22"/>
                <w:szCs w:val="22"/>
              </w:rPr>
              <w:t>Subsidy per key stage</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AE11" w14:textId="08939A75" w:rsidR="003A0006" w:rsidRPr="000C7448" w:rsidRDefault="003A0006">
            <w:pPr>
              <w:pStyle w:val="TableRowCentered"/>
              <w:jc w:val="left"/>
              <w:rPr>
                <w:sz w:val="22"/>
                <w:szCs w:val="22"/>
              </w:rPr>
            </w:pPr>
            <w:r w:rsidRPr="000C7448">
              <w:rPr>
                <w:sz w:val="22"/>
                <w:szCs w:val="22"/>
              </w:rPr>
              <w:t>In addition to the evidence above, residentials support pupils to experience more independence, promoting outcomes towards preparation for adulthood including communication, independence and social awareness.</w:t>
            </w:r>
          </w:p>
          <w:p w14:paraId="21992477" w14:textId="0B18B849" w:rsidR="003A0006" w:rsidRPr="000C7448" w:rsidRDefault="003A0006">
            <w:pPr>
              <w:pStyle w:val="TableRowCentered"/>
              <w:jc w:val="left"/>
              <w:rPr>
                <w:sz w:val="22"/>
                <w:szCs w:val="22"/>
              </w:rPr>
            </w:pPr>
          </w:p>
          <w:p w14:paraId="29898209" w14:textId="6CDC3F7A" w:rsidR="00615DFD" w:rsidRPr="000C7448" w:rsidRDefault="003A0006" w:rsidP="00A74C2C">
            <w:pPr>
              <w:pStyle w:val="TableRowCentered"/>
              <w:jc w:val="both"/>
              <w:rPr>
                <w:i/>
                <w:sz w:val="22"/>
                <w:szCs w:val="22"/>
              </w:rPr>
            </w:pPr>
            <w:r w:rsidRPr="000C7448">
              <w:rPr>
                <w:i/>
                <w:sz w:val="22"/>
                <w:szCs w:val="22"/>
              </w:rPr>
              <w:t xml:space="preserve">Eligible pupils will be entitled to subsidised access to relevant </w:t>
            </w:r>
            <w:r w:rsidR="004F7979" w:rsidRPr="000C7448">
              <w:rPr>
                <w:i/>
                <w:sz w:val="22"/>
                <w:szCs w:val="22"/>
              </w:rPr>
              <w:t>residential</w:t>
            </w:r>
            <w:r w:rsidRPr="000C7448">
              <w:rPr>
                <w:i/>
                <w:sz w:val="22"/>
                <w:szCs w:val="22"/>
              </w:rPr>
              <w:t xml:space="preserve"> visits in order to ensure a parity of access to these learning experiences.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7DE81" w14:textId="77777777" w:rsidR="00615DFD" w:rsidRDefault="007D00F3" w:rsidP="007D00F3">
            <w:pPr>
              <w:pStyle w:val="TableRowCentered"/>
              <w:rPr>
                <w:sz w:val="22"/>
                <w:szCs w:val="22"/>
              </w:rPr>
            </w:pPr>
            <w:r>
              <w:rPr>
                <w:sz w:val="22"/>
                <w:szCs w:val="22"/>
              </w:rPr>
              <w:t>2</w:t>
            </w:r>
          </w:p>
          <w:p w14:paraId="1B4E5FEC" w14:textId="0D3FEF9B" w:rsidR="007D00F3" w:rsidRPr="000C7448" w:rsidRDefault="007D00F3" w:rsidP="007D00F3">
            <w:pPr>
              <w:pStyle w:val="TableRowCentered"/>
              <w:rPr>
                <w:sz w:val="22"/>
                <w:szCs w:val="22"/>
              </w:rPr>
            </w:pPr>
            <w:r>
              <w:rPr>
                <w:sz w:val="22"/>
                <w:szCs w:val="22"/>
              </w:rPr>
              <w:t>4</w:t>
            </w:r>
          </w:p>
        </w:tc>
      </w:tr>
      <w:tr w:rsidR="00615DFD" w14:paraId="594B069D"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D5E8" w14:textId="56FAD637" w:rsidR="00615DFD" w:rsidRPr="000C7448" w:rsidRDefault="00F66A7B">
            <w:pPr>
              <w:pStyle w:val="TableRow"/>
              <w:rPr>
                <w:sz w:val="22"/>
                <w:szCs w:val="22"/>
              </w:rPr>
            </w:pPr>
            <w:r w:rsidRPr="000C7448">
              <w:rPr>
                <w:sz w:val="22"/>
                <w:szCs w:val="22"/>
              </w:rPr>
              <w:t>Targeted breakfast club</w:t>
            </w:r>
          </w:p>
          <w:p w14:paraId="3BD18865" w14:textId="0AD14DF7" w:rsidR="00F66A7B" w:rsidRPr="000C7448" w:rsidRDefault="00F66A7B">
            <w:pPr>
              <w:pStyle w:val="TableRow"/>
              <w:rPr>
                <w:i/>
                <w:sz w:val="22"/>
                <w:szCs w:val="22"/>
              </w:rPr>
            </w:pPr>
            <w:r w:rsidRPr="000C7448">
              <w:rPr>
                <w:sz w:val="22"/>
                <w:szCs w:val="22"/>
              </w:rPr>
              <w:t>Daily snacks and milk.</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B4A8" w14:textId="77777777" w:rsidR="00583945" w:rsidRPr="000C7448" w:rsidRDefault="00583945" w:rsidP="005F132E">
            <w:pPr>
              <w:pStyle w:val="TableRowCentered"/>
              <w:jc w:val="both"/>
              <w:rPr>
                <w:sz w:val="22"/>
                <w:szCs w:val="22"/>
              </w:rPr>
            </w:pPr>
            <w:r w:rsidRPr="000C7448">
              <w:rPr>
                <w:sz w:val="22"/>
                <w:szCs w:val="22"/>
              </w:rPr>
              <w:t>The EEF found that a funded, accessible breakfast club or intervention had, on average a positive impact on pupil progress, particularly in Key Stage 1 (+2 months) (EEF, 2017)</w:t>
            </w:r>
          </w:p>
          <w:p w14:paraId="57FEDAAC" w14:textId="77777777" w:rsidR="00583945" w:rsidRPr="000C7448" w:rsidRDefault="00583945" w:rsidP="005F132E">
            <w:pPr>
              <w:pStyle w:val="TableRowCentered"/>
              <w:jc w:val="both"/>
              <w:rPr>
                <w:sz w:val="22"/>
                <w:szCs w:val="22"/>
              </w:rPr>
            </w:pPr>
          </w:p>
          <w:p w14:paraId="706A54CB" w14:textId="7A9283C9" w:rsidR="005F132E" w:rsidRPr="000C7448" w:rsidRDefault="00583945" w:rsidP="000C7448">
            <w:pPr>
              <w:pStyle w:val="TableRowCentered"/>
              <w:jc w:val="both"/>
              <w:rPr>
                <w:i/>
                <w:sz w:val="22"/>
                <w:szCs w:val="22"/>
              </w:rPr>
            </w:pPr>
            <w:r w:rsidRPr="000C7448">
              <w:rPr>
                <w:i/>
                <w:sz w:val="22"/>
                <w:szCs w:val="22"/>
              </w:rPr>
              <w:lastRenderedPageBreak/>
              <w:t xml:space="preserve">Pupils will be able to access a funded breakfast provision where they can use their communication skills to interact with the catering team to request their breakfast choices and take back to class.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EE2C5" w14:textId="77777777" w:rsidR="007D00F3" w:rsidRDefault="007D00F3" w:rsidP="007D00F3">
            <w:pPr>
              <w:pStyle w:val="TableRowCentered"/>
              <w:rPr>
                <w:sz w:val="22"/>
                <w:szCs w:val="22"/>
              </w:rPr>
            </w:pPr>
            <w:r>
              <w:rPr>
                <w:sz w:val="22"/>
                <w:szCs w:val="22"/>
              </w:rPr>
              <w:lastRenderedPageBreak/>
              <w:t>1</w:t>
            </w:r>
          </w:p>
          <w:p w14:paraId="5E83B44C" w14:textId="77777777" w:rsidR="007D00F3" w:rsidRDefault="007D00F3" w:rsidP="007D00F3">
            <w:pPr>
              <w:pStyle w:val="TableRowCentered"/>
              <w:rPr>
                <w:sz w:val="22"/>
                <w:szCs w:val="22"/>
              </w:rPr>
            </w:pPr>
            <w:r>
              <w:rPr>
                <w:sz w:val="22"/>
                <w:szCs w:val="22"/>
              </w:rPr>
              <w:t>2</w:t>
            </w:r>
          </w:p>
          <w:p w14:paraId="668FF6A1" w14:textId="77777777" w:rsidR="007D00F3" w:rsidRDefault="007D00F3" w:rsidP="007D00F3">
            <w:pPr>
              <w:pStyle w:val="TableRowCentered"/>
              <w:rPr>
                <w:sz w:val="22"/>
                <w:szCs w:val="22"/>
              </w:rPr>
            </w:pPr>
            <w:r>
              <w:rPr>
                <w:sz w:val="22"/>
                <w:szCs w:val="22"/>
              </w:rPr>
              <w:t>3</w:t>
            </w:r>
          </w:p>
          <w:p w14:paraId="3A43E23D" w14:textId="3BF57C5E" w:rsidR="007D00F3" w:rsidRPr="000C7448" w:rsidRDefault="007D00F3" w:rsidP="007D00F3">
            <w:pPr>
              <w:pStyle w:val="TableRowCentered"/>
              <w:rPr>
                <w:sz w:val="22"/>
                <w:szCs w:val="22"/>
              </w:rPr>
            </w:pPr>
            <w:r>
              <w:rPr>
                <w:sz w:val="22"/>
                <w:szCs w:val="22"/>
              </w:rPr>
              <w:t>4</w:t>
            </w:r>
          </w:p>
        </w:tc>
      </w:tr>
      <w:tr w:rsidR="00A21D14" w14:paraId="5291B864"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B77D6" w14:textId="6BA1E9FA" w:rsidR="00A21D14" w:rsidRPr="000C7448" w:rsidRDefault="00A21D14">
            <w:pPr>
              <w:pStyle w:val="TableRow"/>
              <w:rPr>
                <w:sz w:val="22"/>
                <w:szCs w:val="22"/>
              </w:rPr>
            </w:pPr>
            <w:r w:rsidRPr="000C7448">
              <w:rPr>
                <w:sz w:val="22"/>
                <w:szCs w:val="22"/>
              </w:rPr>
              <w:t>Post-LAC support</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C559" w14:textId="77777777" w:rsidR="00A21D14" w:rsidRPr="000C7448" w:rsidRDefault="00A21D14" w:rsidP="005F132E">
            <w:pPr>
              <w:pStyle w:val="TableRowCentered"/>
              <w:jc w:val="both"/>
              <w:rPr>
                <w:sz w:val="22"/>
                <w:szCs w:val="22"/>
              </w:rPr>
            </w:pPr>
            <w:r w:rsidRPr="000C7448">
              <w:rPr>
                <w:sz w:val="22"/>
                <w:szCs w:val="22"/>
              </w:rPr>
              <w:t>The Department for Education advise schools to work in collaboration with parents and carers to understand how best to utilise the Pupil Premium Plus grant. This higher level of funding is to be used to support care leavers, including those who have been adopted.</w:t>
            </w:r>
          </w:p>
          <w:p w14:paraId="6369C4F9" w14:textId="77777777" w:rsidR="00A21D14" w:rsidRPr="000C7448" w:rsidRDefault="00A21D14" w:rsidP="005F132E">
            <w:pPr>
              <w:pStyle w:val="TableRowCentered"/>
              <w:jc w:val="both"/>
              <w:rPr>
                <w:sz w:val="22"/>
                <w:szCs w:val="22"/>
              </w:rPr>
            </w:pPr>
          </w:p>
          <w:p w14:paraId="6594B5BA" w14:textId="0B0A3D0A" w:rsidR="005423FB" w:rsidRPr="000C7448" w:rsidRDefault="00A21D14" w:rsidP="005F132E">
            <w:pPr>
              <w:pStyle w:val="TableRowCentered"/>
              <w:jc w:val="both"/>
              <w:rPr>
                <w:i/>
                <w:sz w:val="22"/>
                <w:szCs w:val="22"/>
              </w:rPr>
            </w:pPr>
            <w:r w:rsidRPr="000C7448">
              <w:rPr>
                <w:i/>
                <w:sz w:val="22"/>
                <w:szCs w:val="22"/>
              </w:rPr>
              <w:t>Our approach to the use of this funding is</w:t>
            </w:r>
            <w:r w:rsidR="005423FB" w:rsidRPr="000C7448">
              <w:rPr>
                <w:i/>
                <w:sz w:val="22"/>
                <w:szCs w:val="22"/>
              </w:rPr>
              <w:t>:</w:t>
            </w:r>
          </w:p>
          <w:tbl>
            <w:tblPr>
              <w:tblStyle w:val="TableGrid"/>
              <w:tblW w:w="6605" w:type="dxa"/>
              <w:tblInd w:w="57" w:type="dxa"/>
              <w:tblLayout w:type="fixed"/>
              <w:tblLook w:val="04A0" w:firstRow="1" w:lastRow="0" w:firstColumn="1" w:lastColumn="0" w:noHBand="0" w:noVBand="1"/>
            </w:tblPr>
            <w:tblGrid>
              <w:gridCol w:w="1651"/>
              <w:gridCol w:w="1651"/>
              <w:gridCol w:w="1651"/>
              <w:gridCol w:w="1652"/>
            </w:tblGrid>
            <w:tr w:rsidR="005423FB" w:rsidRPr="000C7448" w14:paraId="6E248A6A" w14:textId="73281122" w:rsidTr="00257960">
              <w:tc>
                <w:tcPr>
                  <w:tcW w:w="1651" w:type="dxa"/>
                  <w:tcBorders>
                    <w:top w:val="nil"/>
                    <w:left w:val="nil"/>
                  </w:tcBorders>
                  <w:vAlign w:val="center"/>
                </w:tcPr>
                <w:p w14:paraId="6C4370A9" w14:textId="77777777" w:rsidR="005423FB" w:rsidRPr="000C7448" w:rsidRDefault="005423FB" w:rsidP="005423FB">
                  <w:pPr>
                    <w:pStyle w:val="TableRowCentered"/>
                    <w:ind w:left="0"/>
                    <w:rPr>
                      <w:i/>
                      <w:sz w:val="22"/>
                      <w:szCs w:val="22"/>
                    </w:rPr>
                  </w:pPr>
                </w:p>
              </w:tc>
              <w:tc>
                <w:tcPr>
                  <w:tcW w:w="1651" w:type="dxa"/>
                  <w:vAlign w:val="center"/>
                </w:tcPr>
                <w:p w14:paraId="7245EDF1" w14:textId="6253E07B" w:rsidR="005423FB" w:rsidRPr="000C7448" w:rsidRDefault="005423FB" w:rsidP="005423FB">
                  <w:pPr>
                    <w:pStyle w:val="TableRowCentered"/>
                    <w:ind w:left="0"/>
                    <w:rPr>
                      <w:b/>
                      <w:i/>
                      <w:sz w:val="22"/>
                      <w:szCs w:val="22"/>
                    </w:rPr>
                  </w:pPr>
                  <w:r w:rsidRPr="000C7448">
                    <w:rPr>
                      <w:b/>
                      <w:i/>
                      <w:sz w:val="22"/>
                      <w:szCs w:val="22"/>
                    </w:rPr>
                    <w:t>Typical funding</w:t>
                  </w:r>
                </w:p>
              </w:tc>
              <w:tc>
                <w:tcPr>
                  <w:tcW w:w="1651" w:type="dxa"/>
                  <w:vAlign w:val="center"/>
                </w:tcPr>
                <w:p w14:paraId="7FC61BC6" w14:textId="3C4DD7CC" w:rsidR="005423FB" w:rsidRPr="000C7448" w:rsidRDefault="005423FB" w:rsidP="005423FB">
                  <w:pPr>
                    <w:pStyle w:val="TableRowCentered"/>
                    <w:ind w:left="0"/>
                    <w:rPr>
                      <w:b/>
                      <w:i/>
                      <w:sz w:val="22"/>
                      <w:szCs w:val="22"/>
                    </w:rPr>
                  </w:pPr>
                  <w:r w:rsidRPr="000C7448">
                    <w:rPr>
                      <w:b/>
                      <w:i/>
                      <w:sz w:val="22"/>
                      <w:szCs w:val="22"/>
                    </w:rPr>
                    <w:t>PLAC funding</w:t>
                  </w:r>
                </w:p>
              </w:tc>
              <w:tc>
                <w:tcPr>
                  <w:tcW w:w="1652" w:type="dxa"/>
                  <w:vAlign w:val="center"/>
                </w:tcPr>
                <w:p w14:paraId="63264B8C" w14:textId="7B56786D" w:rsidR="005423FB" w:rsidRPr="000C7448" w:rsidRDefault="005423FB" w:rsidP="005423FB">
                  <w:pPr>
                    <w:pStyle w:val="TableRowCentered"/>
                    <w:ind w:left="0"/>
                    <w:rPr>
                      <w:b/>
                      <w:i/>
                      <w:sz w:val="22"/>
                      <w:szCs w:val="22"/>
                    </w:rPr>
                  </w:pPr>
                  <w:r w:rsidRPr="000C7448">
                    <w:rPr>
                      <w:b/>
                      <w:i/>
                      <w:sz w:val="22"/>
                      <w:szCs w:val="22"/>
                    </w:rPr>
                    <w:t>Remaining funding</w:t>
                  </w:r>
                </w:p>
              </w:tc>
            </w:tr>
            <w:tr w:rsidR="005423FB" w:rsidRPr="000C7448" w14:paraId="18A5DCD4" w14:textId="4F2D1FFC" w:rsidTr="005423FB">
              <w:tc>
                <w:tcPr>
                  <w:tcW w:w="1651" w:type="dxa"/>
                  <w:vAlign w:val="center"/>
                </w:tcPr>
                <w:p w14:paraId="0ADEFEB8" w14:textId="6ACD55DB" w:rsidR="005423FB" w:rsidRPr="000C7448" w:rsidRDefault="005423FB" w:rsidP="005423FB">
                  <w:pPr>
                    <w:pStyle w:val="TableRowCentered"/>
                    <w:ind w:left="0"/>
                    <w:rPr>
                      <w:b/>
                      <w:i/>
                      <w:sz w:val="22"/>
                      <w:szCs w:val="22"/>
                    </w:rPr>
                  </w:pPr>
                  <w:r w:rsidRPr="000C7448">
                    <w:rPr>
                      <w:b/>
                      <w:i/>
                      <w:sz w:val="22"/>
                      <w:szCs w:val="22"/>
                    </w:rPr>
                    <w:t>Primary</w:t>
                  </w:r>
                </w:p>
              </w:tc>
              <w:tc>
                <w:tcPr>
                  <w:tcW w:w="1651" w:type="dxa"/>
                  <w:vAlign w:val="center"/>
                </w:tcPr>
                <w:p w14:paraId="27DE9636" w14:textId="0C014DB2" w:rsidR="005423FB" w:rsidRPr="000C7448" w:rsidRDefault="005423FB" w:rsidP="005423FB">
                  <w:pPr>
                    <w:pStyle w:val="TableRowCentered"/>
                    <w:ind w:left="0"/>
                    <w:rPr>
                      <w:i/>
                      <w:sz w:val="22"/>
                      <w:szCs w:val="22"/>
                    </w:rPr>
                  </w:pPr>
                  <w:r w:rsidRPr="000C7448">
                    <w:rPr>
                      <w:i/>
                      <w:sz w:val="22"/>
                      <w:szCs w:val="22"/>
                    </w:rPr>
                    <w:t>£1455</w:t>
                  </w:r>
                </w:p>
              </w:tc>
              <w:tc>
                <w:tcPr>
                  <w:tcW w:w="1651" w:type="dxa"/>
                  <w:vMerge w:val="restart"/>
                  <w:vAlign w:val="center"/>
                </w:tcPr>
                <w:p w14:paraId="21356664" w14:textId="3A103DB0" w:rsidR="005423FB" w:rsidRPr="000C7448" w:rsidRDefault="005423FB" w:rsidP="005423FB">
                  <w:pPr>
                    <w:pStyle w:val="TableRowCentered"/>
                    <w:ind w:left="0"/>
                    <w:rPr>
                      <w:i/>
                      <w:sz w:val="22"/>
                      <w:szCs w:val="22"/>
                    </w:rPr>
                  </w:pPr>
                  <w:r w:rsidRPr="000C7448">
                    <w:rPr>
                      <w:i/>
                      <w:sz w:val="22"/>
                      <w:szCs w:val="22"/>
                    </w:rPr>
                    <w:t>£2530</w:t>
                  </w:r>
                </w:p>
              </w:tc>
              <w:tc>
                <w:tcPr>
                  <w:tcW w:w="1652" w:type="dxa"/>
                  <w:vAlign w:val="center"/>
                </w:tcPr>
                <w:p w14:paraId="1130F67E" w14:textId="1518FEC3" w:rsidR="005423FB" w:rsidRPr="000C7448" w:rsidRDefault="005423FB" w:rsidP="005423FB">
                  <w:pPr>
                    <w:pStyle w:val="TableRowCentered"/>
                    <w:ind w:left="0"/>
                    <w:rPr>
                      <w:i/>
                      <w:sz w:val="22"/>
                      <w:szCs w:val="22"/>
                    </w:rPr>
                  </w:pPr>
                  <w:r w:rsidRPr="000C7448">
                    <w:rPr>
                      <w:i/>
                      <w:sz w:val="22"/>
                      <w:szCs w:val="22"/>
                    </w:rPr>
                    <w:t>£1075</w:t>
                  </w:r>
                </w:p>
              </w:tc>
            </w:tr>
            <w:tr w:rsidR="005423FB" w:rsidRPr="000C7448" w14:paraId="17DE70A5" w14:textId="1E6D017D" w:rsidTr="005423FB">
              <w:tc>
                <w:tcPr>
                  <w:tcW w:w="1651" w:type="dxa"/>
                  <w:vAlign w:val="center"/>
                </w:tcPr>
                <w:p w14:paraId="2E1563F8" w14:textId="348A5DD7" w:rsidR="005423FB" w:rsidRPr="000C7448" w:rsidRDefault="005423FB" w:rsidP="005423FB">
                  <w:pPr>
                    <w:pStyle w:val="TableRowCentered"/>
                    <w:ind w:left="0"/>
                    <w:rPr>
                      <w:b/>
                      <w:i/>
                      <w:sz w:val="22"/>
                      <w:szCs w:val="22"/>
                    </w:rPr>
                  </w:pPr>
                  <w:r w:rsidRPr="000C7448">
                    <w:rPr>
                      <w:b/>
                      <w:i/>
                      <w:sz w:val="22"/>
                      <w:szCs w:val="22"/>
                    </w:rPr>
                    <w:t>Secondary</w:t>
                  </w:r>
                </w:p>
              </w:tc>
              <w:tc>
                <w:tcPr>
                  <w:tcW w:w="1651" w:type="dxa"/>
                  <w:vAlign w:val="center"/>
                </w:tcPr>
                <w:p w14:paraId="05A8E85B" w14:textId="2AF0CAE9" w:rsidR="005423FB" w:rsidRPr="000C7448" w:rsidRDefault="005423FB" w:rsidP="005423FB">
                  <w:pPr>
                    <w:pStyle w:val="TableRowCentered"/>
                    <w:ind w:left="0"/>
                    <w:rPr>
                      <w:i/>
                      <w:sz w:val="22"/>
                      <w:szCs w:val="22"/>
                    </w:rPr>
                  </w:pPr>
                  <w:r w:rsidRPr="000C7448">
                    <w:rPr>
                      <w:i/>
                      <w:sz w:val="22"/>
                      <w:szCs w:val="22"/>
                    </w:rPr>
                    <w:t>£1035</w:t>
                  </w:r>
                </w:p>
              </w:tc>
              <w:tc>
                <w:tcPr>
                  <w:tcW w:w="1651" w:type="dxa"/>
                  <w:vMerge/>
                  <w:vAlign w:val="center"/>
                </w:tcPr>
                <w:p w14:paraId="3BE69492" w14:textId="77777777" w:rsidR="005423FB" w:rsidRPr="000C7448" w:rsidRDefault="005423FB" w:rsidP="005423FB">
                  <w:pPr>
                    <w:pStyle w:val="TableRowCentered"/>
                    <w:ind w:left="0"/>
                    <w:rPr>
                      <w:i/>
                      <w:sz w:val="22"/>
                      <w:szCs w:val="22"/>
                    </w:rPr>
                  </w:pPr>
                </w:p>
              </w:tc>
              <w:tc>
                <w:tcPr>
                  <w:tcW w:w="1652" w:type="dxa"/>
                  <w:vAlign w:val="center"/>
                </w:tcPr>
                <w:p w14:paraId="56DED759" w14:textId="1FE33F47" w:rsidR="005423FB" w:rsidRPr="000C7448" w:rsidRDefault="005423FB" w:rsidP="005423FB">
                  <w:pPr>
                    <w:pStyle w:val="TableRowCentered"/>
                    <w:ind w:left="0"/>
                    <w:rPr>
                      <w:i/>
                      <w:sz w:val="22"/>
                      <w:szCs w:val="22"/>
                    </w:rPr>
                  </w:pPr>
                  <w:r w:rsidRPr="000C7448">
                    <w:rPr>
                      <w:i/>
                      <w:sz w:val="22"/>
                      <w:szCs w:val="22"/>
                    </w:rPr>
                    <w:t>£1495</w:t>
                  </w:r>
                </w:p>
              </w:tc>
            </w:tr>
          </w:tbl>
          <w:p w14:paraId="736131F8" w14:textId="04D9BB56" w:rsidR="00C514E1" w:rsidRPr="000C7448" w:rsidRDefault="006A7696" w:rsidP="000C7448">
            <w:pPr>
              <w:pStyle w:val="TableRowCentered"/>
              <w:jc w:val="both"/>
              <w:rPr>
                <w:i/>
                <w:sz w:val="22"/>
                <w:szCs w:val="22"/>
              </w:rPr>
            </w:pPr>
            <w:r w:rsidRPr="000C7448">
              <w:rPr>
                <w:i/>
                <w:sz w:val="22"/>
                <w:szCs w:val="22"/>
              </w:rPr>
              <w:t xml:space="preserve">Parents will be invited to contribute to </w:t>
            </w:r>
            <w:r w:rsidR="00257960" w:rsidRPr="000C7448">
              <w:rPr>
                <w:i/>
                <w:sz w:val="22"/>
                <w:szCs w:val="22"/>
              </w:rPr>
              <w:t>a plan for the remaining funding and how this can be used within school to support progress for their children. The meeting should ensure an objective is set and propose interventions which can be used to achieve this.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6E024" w14:textId="595DE664" w:rsidR="00257960" w:rsidRPr="000C7448" w:rsidRDefault="007D00F3" w:rsidP="007D00F3">
            <w:pPr>
              <w:pStyle w:val="TableRowCentered"/>
              <w:rPr>
                <w:sz w:val="22"/>
                <w:szCs w:val="22"/>
              </w:rPr>
            </w:pPr>
            <w:r>
              <w:rPr>
                <w:sz w:val="22"/>
                <w:szCs w:val="22"/>
              </w:rPr>
              <w:t>As required based on individual need</w:t>
            </w:r>
          </w:p>
        </w:tc>
      </w:tr>
      <w:tr w:rsidR="008C1E7B" w14:paraId="27845D45"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BBD" w14:textId="6F4600F1" w:rsidR="008C1E7B" w:rsidRPr="000C7448" w:rsidRDefault="008C1E7B">
            <w:pPr>
              <w:pStyle w:val="TableRow"/>
              <w:rPr>
                <w:sz w:val="22"/>
                <w:szCs w:val="22"/>
              </w:rPr>
            </w:pPr>
            <w:r w:rsidRPr="000C7448">
              <w:rPr>
                <w:sz w:val="22"/>
                <w:szCs w:val="22"/>
              </w:rPr>
              <w:t>School Uniform</w:t>
            </w:r>
            <w:r w:rsidR="00E82C21" w:rsidRPr="000C7448">
              <w:rPr>
                <w:sz w:val="22"/>
                <w:szCs w:val="22"/>
              </w:rPr>
              <w:t>, PE Kit &amp; Specialist swimwear</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BDF5" w14:textId="46C66BD5" w:rsidR="008C1E7B" w:rsidRPr="000C7448" w:rsidRDefault="008C1E7B" w:rsidP="008C1E7B">
            <w:pPr>
              <w:pStyle w:val="TableRowCentered"/>
              <w:jc w:val="both"/>
              <w:rPr>
                <w:sz w:val="22"/>
                <w:szCs w:val="22"/>
              </w:rPr>
            </w:pPr>
            <w:r w:rsidRPr="000C7448">
              <w:rPr>
                <w:sz w:val="22"/>
                <w:szCs w:val="22"/>
              </w:rPr>
              <w:t xml:space="preserve">School uniform can be an expensive </w:t>
            </w:r>
            <w:r w:rsidR="00D34B2C" w:rsidRPr="000C7448">
              <w:rPr>
                <w:sz w:val="22"/>
                <w:szCs w:val="22"/>
              </w:rPr>
              <w:t xml:space="preserve">cost at the outset of a pupil’s journey at school and each year. </w:t>
            </w:r>
            <w:r w:rsidRPr="000C7448">
              <w:rPr>
                <w:sz w:val="22"/>
                <w:szCs w:val="22"/>
              </w:rPr>
              <w:t>School uniform at Tor View School is an integral aspect of community, health and safety. Having high-quality, comfortable and safe school uniform creates consistency and predictability; this is particularly important for learners with learning difficulties who thrive with consistency and clarity</w:t>
            </w:r>
            <w:r w:rsidR="006C280A" w:rsidRPr="000C7448">
              <w:rPr>
                <w:sz w:val="22"/>
                <w:szCs w:val="22"/>
              </w:rPr>
              <w:t xml:space="preserve"> whilst contributing to a low-arousal environment</w:t>
            </w:r>
            <w:r w:rsidRPr="000C7448">
              <w:rPr>
                <w:sz w:val="22"/>
                <w:szCs w:val="22"/>
              </w:rPr>
              <w:t>.</w:t>
            </w:r>
          </w:p>
          <w:p w14:paraId="452394EF" w14:textId="77777777" w:rsidR="006C280A" w:rsidRPr="000C7448" w:rsidRDefault="006C280A" w:rsidP="008C1E7B">
            <w:pPr>
              <w:pStyle w:val="TableRowCentered"/>
              <w:jc w:val="both"/>
              <w:rPr>
                <w:i/>
                <w:sz w:val="22"/>
                <w:szCs w:val="22"/>
              </w:rPr>
            </w:pPr>
          </w:p>
          <w:p w14:paraId="0DEA8144" w14:textId="7E181757" w:rsidR="009B202D" w:rsidRPr="000C7448" w:rsidRDefault="006C280A" w:rsidP="00C514E1">
            <w:pPr>
              <w:pStyle w:val="TableRowCentered"/>
              <w:jc w:val="both"/>
              <w:rPr>
                <w:i/>
                <w:sz w:val="22"/>
                <w:szCs w:val="22"/>
              </w:rPr>
            </w:pPr>
            <w:r w:rsidRPr="000C7448">
              <w:rPr>
                <w:i/>
                <w:sz w:val="22"/>
                <w:szCs w:val="22"/>
              </w:rPr>
              <w:t>In both Primary and Secondary phases, parents will be able to purchase up to two embroidered jumpers/cardigans per pupil for the year from identified suppliers (our uniform policy allows pupils to wear non-embroidered items).</w:t>
            </w:r>
            <w:r w:rsidR="00A731FE" w:rsidRPr="000C7448">
              <w:rPr>
                <w:i/>
                <w:sz w:val="22"/>
                <w:szCs w:val="22"/>
              </w:rPr>
              <w:t xml:space="preserve"> In the Primary Department, pupils accessing hydrotherapy will be eligible to receive their </w:t>
            </w:r>
            <w:proofErr w:type="gramStart"/>
            <w:r w:rsidR="00A731FE" w:rsidRPr="000C7448">
              <w:rPr>
                <w:i/>
                <w:sz w:val="22"/>
                <w:szCs w:val="22"/>
              </w:rPr>
              <w:t>own  specialist</w:t>
            </w:r>
            <w:proofErr w:type="gramEnd"/>
            <w:r w:rsidR="00A731FE" w:rsidRPr="000C7448">
              <w:rPr>
                <w:i/>
                <w:sz w:val="22"/>
                <w:szCs w:val="22"/>
              </w:rPr>
              <w:t xml:space="preserve"> swimwear.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4C027" w14:textId="77777777" w:rsidR="006C280A" w:rsidRDefault="007D00F3" w:rsidP="007D00F3">
            <w:pPr>
              <w:pStyle w:val="TableRowCentered"/>
              <w:rPr>
                <w:sz w:val="22"/>
                <w:szCs w:val="22"/>
              </w:rPr>
            </w:pPr>
            <w:r>
              <w:rPr>
                <w:sz w:val="22"/>
                <w:szCs w:val="22"/>
              </w:rPr>
              <w:t>2</w:t>
            </w:r>
          </w:p>
          <w:p w14:paraId="49F9A53B" w14:textId="77777777" w:rsidR="007D00F3" w:rsidRDefault="007D00F3" w:rsidP="007D00F3">
            <w:pPr>
              <w:pStyle w:val="TableRowCentered"/>
              <w:rPr>
                <w:sz w:val="22"/>
                <w:szCs w:val="22"/>
              </w:rPr>
            </w:pPr>
            <w:r>
              <w:rPr>
                <w:sz w:val="22"/>
                <w:szCs w:val="22"/>
              </w:rPr>
              <w:t>3</w:t>
            </w:r>
          </w:p>
          <w:p w14:paraId="786DCDFD" w14:textId="0944A0B4" w:rsidR="007D00F3" w:rsidRPr="000C7448" w:rsidRDefault="007D00F3" w:rsidP="007D00F3">
            <w:pPr>
              <w:pStyle w:val="TableRowCentered"/>
              <w:rPr>
                <w:sz w:val="22"/>
                <w:szCs w:val="22"/>
              </w:rPr>
            </w:pPr>
            <w:r>
              <w:rPr>
                <w:sz w:val="22"/>
                <w:szCs w:val="22"/>
              </w:rPr>
              <w:t>4</w:t>
            </w:r>
          </w:p>
        </w:tc>
      </w:tr>
      <w:tr w:rsidR="00615DFD" w14:paraId="534C6F3F" w14:textId="77777777" w:rsidTr="007D00F3">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B917" w14:textId="0A02F71A" w:rsidR="00615DFD" w:rsidRPr="000C7448" w:rsidRDefault="00F66A7B">
            <w:pPr>
              <w:pStyle w:val="TableRow"/>
              <w:rPr>
                <w:sz w:val="22"/>
                <w:highlight w:val="yellow"/>
              </w:rPr>
            </w:pPr>
            <w:r w:rsidRPr="000C7448">
              <w:rPr>
                <w:sz w:val="22"/>
              </w:rPr>
              <w:t xml:space="preserve">Playscheme- </w:t>
            </w:r>
            <w:proofErr w:type="gramStart"/>
            <w:r w:rsidRPr="000C7448">
              <w:rPr>
                <w:sz w:val="22"/>
              </w:rPr>
              <w:t>1 week</w:t>
            </w:r>
            <w:proofErr w:type="gramEnd"/>
            <w:r w:rsidRPr="000C7448">
              <w:rPr>
                <w:sz w:val="22"/>
              </w:rPr>
              <w:t xml:space="preserve"> free subsidy</w:t>
            </w:r>
          </w:p>
        </w:tc>
        <w:tc>
          <w:tcPr>
            <w:tcW w:w="6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0241" w14:textId="01CA9791" w:rsidR="00F93782" w:rsidRPr="000C7448" w:rsidRDefault="00F93782">
            <w:pPr>
              <w:pStyle w:val="TableRowCentered"/>
              <w:jc w:val="left"/>
              <w:rPr>
                <w:sz w:val="22"/>
                <w:szCs w:val="22"/>
              </w:rPr>
            </w:pPr>
            <w:r w:rsidRPr="00E56589">
              <w:rPr>
                <w:sz w:val="22"/>
                <w:szCs w:val="22"/>
              </w:rPr>
              <w:t xml:space="preserve">Lancashire County Council receives funding from the Department for Education to develop Holiday and Food programmes (HAF). Research has shown that the school holidays can be pressure </w:t>
            </w:r>
            <w:r w:rsidRPr="000C7448">
              <w:rPr>
                <w:sz w:val="22"/>
                <w:szCs w:val="22"/>
              </w:rPr>
              <w:t>points for some families. For some children this can lead to a holiday experience gap, with children from low-income households being:</w:t>
            </w:r>
          </w:p>
          <w:p w14:paraId="5D73D80E" w14:textId="77777777" w:rsidR="00F93782" w:rsidRPr="000C7448" w:rsidRDefault="00F93782" w:rsidP="00F93782">
            <w:pPr>
              <w:pStyle w:val="NormalWeb"/>
              <w:numPr>
                <w:ilvl w:val="0"/>
                <w:numId w:val="15"/>
              </w:numPr>
              <w:shd w:val="clear" w:color="auto" w:fill="FFFFFF"/>
              <w:spacing w:before="0" w:beforeAutospacing="0" w:after="0" w:afterAutospacing="0"/>
              <w:rPr>
                <w:rFonts w:ascii="Arial" w:hAnsi="Arial" w:cs="Arial"/>
                <w:color w:val="0B0C0C"/>
                <w:sz w:val="22"/>
                <w:szCs w:val="22"/>
              </w:rPr>
            </w:pPr>
            <w:r w:rsidRPr="000C7448">
              <w:rPr>
                <w:rFonts w:ascii="Arial" w:hAnsi="Arial" w:cs="Arial"/>
                <w:color w:val="0B0C0C"/>
                <w:sz w:val="22"/>
                <w:szCs w:val="22"/>
              </w:rPr>
              <w:t>less likely to access organised out-of-school activities</w:t>
            </w:r>
          </w:p>
          <w:p w14:paraId="40346E4C" w14:textId="77777777" w:rsidR="00F93782" w:rsidRPr="000C7448" w:rsidRDefault="00F93782" w:rsidP="00F93782">
            <w:pPr>
              <w:pStyle w:val="NormalWeb"/>
              <w:numPr>
                <w:ilvl w:val="0"/>
                <w:numId w:val="15"/>
              </w:numPr>
              <w:shd w:val="clear" w:color="auto" w:fill="FFFFFF"/>
              <w:spacing w:before="0" w:beforeAutospacing="0" w:after="0" w:afterAutospacing="0"/>
              <w:rPr>
                <w:rFonts w:ascii="Arial" w:hAnsi="Arial" w:cs="Arial"/>
                <w:color w:val="0B0C0C"/>
                <w:sz w:val="22"/>
                <w:szCs w:val="22"/>
              </w:rPr>
            </w:pPr>
            <w:r w:rsidRPr="000C7448">
              <w:rPr>
                <w:rFonts w:ascii="Arial" w:hAnsi="Arial" w:cs="Arial"/>
                <w:color w:val="0B0C0C"/>
                <w:sz w:val="22"/>
                <w:szCs w:val="22"/>
              </w:rPr>
              <w:t>more likely to experience ‘unhealthy holidays’ in terms of nutrition and physical health</w:t>
            </w:r>
          </w:p>
          <w:p w14:paraId="54254807" w14:textId="30F36061" w:rsidR="00F93782" w:rsidRPr="000C7448" w:rsidRDefault="00F93782" w:rsidP="00F93782">
            <w:pPr>
              <w:pStyle w:val="NormalWeb"/>
              <w:numPr>
                <w:ilvl w:val="0"/>
                <w:numId w:val="15"/>
              </w:numPr>
              <w:shd w:val="clear" w:color="auto" w:fill="FFFFFF"/>
              <w:spacing w:before="0" w:beforeAutospacing="0" w:after="0" w:afterAutospacing="0"/>
              <w:rPr>
                <w:rFonts w:ascii="Arial" w:hAnsi="Arial" w:cs="Arial"/>
                <w:color w:val="0B0C0C"/>
                <w:sz w:val="22"/>
                <w:szCs w:val="22"/>
              </w:rPr>
            </w:pPr>
            <w:r w:rsidRPr="000C7448">
              <w:rPr>
                <w:rFonts w:ascii="Arial" w:hAnsi="Arial" w:cs="Arial"/>
                <w:color w:val="0B0C0C"/>
                <w:sz w:val="22"/>
                <w:szCs w:val="22"/>
              </w:rPr>
              <w:t>more likely to experience social isolation</w:t>
            </w:r>
          </w:p>
          <w:p w14:paraId="03C533CC" w14:textId="64F49EB6" w:rsidR="00F93782" w:rsidRPr="000C7448" w:rsidRDefault="00F93782" w:rsidP="00F93782">
            <w:pPr>
              <w:pStyle w:val="NormalWeb"/>
              <w:shd w:val="clear" w:color="auto" w:fill="FFFFFF"/>
              <w:spacing w:before="0" w:beforeAutospacing="0" w:after="0" w:afterAutospacing="0"/>
              <w:rPr>
                <w:rFonts w:ascii="Arial" w:hAnsi="Arial" w:cs="Arial"/>
                <w:color w:val="0B0C0C"/>
                <w:sz w:val="22"/>
                <w:szCs w:val="22"/>
              </w:rPr>
            </w:pPr>
            <w:r w:rsidRPr="000C7448">
              <w:rPr>
                <w:rFonts w:ascii="Arial" w:hAnsi="Arial" w:cs="Arial"/>
                <w:color w:val="0B0C0C"/>
                <w:sz w:val="22"/>
                <w:szCs w:val="22"/>
              </w:rPr>
              <w:t xml:space="preserve">Many </w:t>
            </w:r>
            <w:r w:rsidR="00E56589" w:rsidRPr="000C7448">
              <w:rPr>
                <w:rFonts w:ascii="Arial" w:hAnsi="Arial" w:cs="Arial"/>
                <w:color w:val="0B0C0C"/>
                <w:sz w:val="22"/>
                <w:szCs w:val="22"/>
              </w:rPr>
              <w:t xml:space="preserve">of our pupils </w:t>
            </w:r>
            <w:r w:rsidRPr="000C7448">
              <w:rPr>
                <w:rFonts w:ascii="Arial" w:hAnsi="Arial" w:cs="Arial"/>
                <w:color w:val="0B0C0C"/>
                <w:sz w:val="22"/>
                <w:szCs w:val="22"/>
              </w:rPr>
              <w:t xml:space="preserve">have previously been refused or excluded from other, more mainstream focussed, HAF programmes. </w:t>
            </w:r>
          </w:p>
          <w:p w14:paraId="66CC06B1" w14:textId="3C29982F" w:rsidR="00F93782" w:rsidRPr="000C7448" w:rsidRDefault="00F93782" w:rsidP="00F93782">
            <w:pPr>
              <w:pStyle w:val="NormalWeb"/>
              <w:shd w:val="clear" w:color="auto" w:fill="FFFFFF"/>
              <w:spacing w:before="0" w:beforeAutospacing="0" w:after="0" w:afterAutospacing="0"/>
              <w:rPr>
                <w:rFonts w:ascii="Arial" w:hAnsi="Arial" w:cs="Arial"/>
                <w:color w:val="0B0C0C"/>
                <w:sz w:val="22"/>
                <w:szCs w:val="22"/>
              </w:rPr>
            </w:pPr>
          </w:p>
          <w:p w14:paraId="60D48AB5" w14:textId="6F189095" w:rsidR="00F66A7B" w:rsidRPr="000C7448" w:rsidRDefault="00F93782" w:rsidP="00E56589">
            <w:pPr>
              <w:pStyle w:val="NormalWeb"/>
              <w:shd w:val="clear" w:color="auto" w:fill="FFFFFF"/>
              <w:spacing w:before="0" w:beforeAutospacing="0" w:after="0" w:afterAutospacing="0"/>
              <w:rPr>
                <w:rFonts w:ascii="Arial" w:hAnsi="Arial" w:cs="Arial"/>
                <w:i/>
                <w:color w:val="0B0C0C"/>
              </w:rPr>
            </w:pPr>
            <w:r w:rsidRPr="000C7448">
              <w:rPr>
                <w:rFonts w:ascii="Arial" w:hAnsi="Arial" w:cs="Arial"/>
                <w:i/>
                <w:color w:val="0B0C0C"/>
                <w:sz w:val="22"/>
                <w:szCs w:val="22"/>
              </w:rPr>
              <w:t xml:space="preserve">Tor View School utilises </w:t>
            </w:r>
            <w:r w:rsidR="00E56589" w:rsidRPr="000C7448">
              <w:rPr>
                <w:rFonts w:ascii="Arial" w:hAnsi="Arial" w:cs="Arial"/>
                <w:i/>
                <w:color w:val="0B0C0C"/>
                <w:sz w:val="22"/>
                <w:szCs w:val="22"/>
              </w:rPr>
              <w:t>onsite provision and trained staff to support a number of pupils. Those eligible for the Pupil Premium Grant may choose to access up to 1 free week subsidy of our holiday scheme.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82B5" w14:textId="77777777" w:rsidR="00E56589" w:rsidRPr="007D00F3" w:rsidRDefault="007D00F3" w:rsidP="007D00F3">
            <w:pPr>
              <w:pStyle w:val="TableRowCentered"/>
              <w:rPr>
                <w:sz w:val="22"/>
              </w:rPr>
            </w:pPr>
            <w:r w:rsidRPr="007D00F3">
              <w:rPr>
                <w:sz w:val="22"/>
              </w:rPr>
              <w:t>1</w:t>
            </w:r>
          </w:p>
          <w:p w14:paraId="5509FDD6" w14:textId="77777777" w:rsidR="007D00F3" w:rsidRPr="007D00F3" w:rsidRDefault="007D00F3" w:rsidP="007D00F3">
            <w:pPr>
              <w:pStyle w:val="TableRowCentered"/>
              <w:rPr>
                <w:sz w:val="22"/>
              </w:rPr>
            </w:pPr>
            <w:r w:rsidRPr="007D00F3">
              <w:rPr>
                <w:sz w:val="22"/>
              </w:rPr>
              <w:t>2</w:t>
            </w:r>
          </w:p>
          <w:p w14:paraId="47755B06" w14:textId="77777777" w:rsidR="007D00F3" w:rsidRPr="007D00F3" w:rsidRDefault="007D00F3" w:rsidP="007D00F3">
            <w:pPr>
              <w:pStyle w:val="TableRowCentered"/>
              <w:rPr>
                <w:sz w:val="22"/>
              </w:rPr>
            </w:pPr>
            <w:r w:rsidRPr="007D00F3">
              <w:rPr>
                <w:sz w:val="22"/>
              </w:rPr>
              <w:t>3</w:t>
            </w:r>
          </w:p>
          <w:p w14:paraId="54DA3C69" w14:textId="7C31BE28" w:rsidR="007D00F3" w:rsidRPr="005F132E" w:rsidRDefault="007D00F3" w:rsidP="007D00F3">
            <w:pPr>
              <w:pStyle w:val="TableRowCentered"/>
              <w:rPr>
                <w:sz w:val="22"/>
                <w:highlight w:val="yellow"/>
              </w:rPr>
            </w:pPr>
            <w:r w:rsidRPr="007D00F3">
              <w:rPr>
                <w:sz w:val="22"/>
              </w:rPr>
              <w:t>4</w:t>
            </w:r>
          </w:p>
        </w:tc>
      </w:tr>
    </w:tbl>
    <w:p w14:paraId="2A7D5540" w14:textId="77777777" w:rsidR="00E66558" w:rsidRDefault="00E66558">
      <w:pPr>
        <w:spacing w:before="240" w:after="0"/>
        <w:rPr>
          <w:b/>
          <w:bCs/>
          <w:color w:val="104F75"/>
          <w:sz w:val="28"/>
          <w:szCs w:val="28"/>
        </w:rPr>
      </w:pPr>
    </w:p>
    <w:p w14:paraId="2A7D5541" w14:textId="10D80590" w:rsidR="00E66558" w:rsidRDefault="009D71E8" w:rsidP="00120AB1">
      <w:r>
        <w:rPr>
          <w:b/>
          <w:bCs/>
          <w:color w:val="104F75"/>
          <w:sz w:val="28"/>
          <w:szCs w:val="28"/>
        </w:rPr>
        <w:t>Total budgeted cost: £</w:t>
      </w:r>
      <w:r w:rsidR="002755FA">
        <w:rPr>
          <w:b/>
          <w:bCs/>
          <w:color w:val="104F75"/>
          <w:sz w:val="28"/>
          <w:szCs w:val="28"/>
        </w:rPr>
        <w:t>95,000</w:t>
      </w:r>
      <w:bookmarkStart w:id="17" w:name="_GoBack"/>
      <w:bookmarkEnd w:id="17"/>
    </w:p>
    <w:p w14:paraId="2A7D5542" w14:textId="18352EC3" w:rsidR="00E66558" w:rsidRPr="00064366" w:rsidRDefault="009D71E8" w:rsidP="00064366">
      <w:pPr>
        <w:pStyle w:val="Heading1"/>
      </w:pPr>
      <w:r w:rsidRPr="00064366">
        <w:lastRenderedPageBreak/>
        <w:t>Part B: Review of the previous academic year</w:t>
      </w:r>
    </w:p>
    <w:p w14:paraId="751285B7" w14:textId="02B43845" w:rsidR="008B6404" w:rsidRDefault="00064366" w:rsidP="00173D4C">
      <w:pPr>
        <w:pStyle w:val="Heading2"/>
      </w:pPr>
      <w:r w:rsidRPr="00173D4C">
        <w:t>Outcomes for disadvantaged pupils</w:t>
      </w:r>
    </w:p>
    <w:p w14:paraId="7D53952A" w14:textId="5EC38EA5" w:rsidR="00395446" w:rsidRDefault="00395446" w:rsidP="00395446">
      <w:pPr>
        <w:rPr>
          <w:sz w:val="22"/>
        </w:rPr>
      </w:pPr>
      <w:r>
        <w:rPr>
          <w:sz w:val="22"/>
        </w:rPr>
        <w:t>At Tor View School, we monitor pupil progress throughout the year and report on End of Key Stage progress and outcomes each year.</w:t>
      </w:r>
    </w:p>
    <w:p w14:paraId="0F443B78" w14:textId="47AA10CF" w:rsidR="00395446" w:rsidRDefault="00395446" w:rsidP="00395446">
      <w:pPr>
        <w:rPr>
          <w:sz w:val="22"/>
        </w:rPr>
      </w:pPr>
    </w:p>
    <w:p w14:paraId="6253A11A" w14:textId="11840EB7" w:rsidR="00395446" w:rsidRPr="00395446" w:rsidRDefault="00395446" w:rsidP="00395446">
      <w:pPr>
        <w:rPr>
          <w:sz w:val="22"/>
        </w:rPr>
      </w:pPr>
      <w:r>
        <w:rPr>
          <w:sz w:val="22"/>
        </w:rPr>
        <w:t xml:space="preserve">To find more information about the outcomes for all of our learners, including those eligible for the Pupil Premium Grant, please follow this </w:t>
      </w:r>
      <w:hyperlink r:id="rId11" w:history="1">
        <w:r w:rsidRPr="00395446">
          <w:rPr>
            <w:rStyle w:val="Hyperlink"/>
            <w:sz w:val="22"/>
          </w:rPr>
          <w:t>link</w:t>
        </w:r>
      </w:hyperlink>
      <w:r>
        <w:rPr>
          <w:sz w:val="22"/>
        </w:rPr>
        <w:t>.</w:t>
      </w:r>
    </w:p>
    <w:p w14:paraId="2A7D5560" w14:textId="77777777" w:rsidR="00E66558" w:rsidRDefault="009D71E8">
      <w:pPr>
        <w:pStyle w:val="Heading1"/>
      </w:pPr>
      <w:r>
        <w:lastRenderedPageBreak/>
        <w:t>Further information (optional)</w:t>
      </w:r>
    </w:p>
    <w:tbl>
      <w:tblPr>
        <w:tblW w:w="10485" w:type="dxa"/>
        <w:tblCellMar>
          <w:left w:w="10" w:type="dxa"/>
          <w:right w:w="10" w:type="dxa"/>
        </w:tblCellMar>
        <w:tblLook w:val="04A0" w:firstRow="1" w:lastRow="0" w:firstColumn="1" w:lastColumn="0" w:noHBand="0" w:noVBand="1"/>
      </w:tblPr>
      <w:tblGrid>
        <w:gridCol w:w="10485"/>
      </w:tblGrid>
      <w:tr w:rsidR="00E66558" w14:paraId="2A7D5563" w14:textId="77777777" w:rsidTr="00E330FE">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380B2DB4" w:rsidR="00E66558" w:rsidRPr="00AA355B" w:rsidRDefault="00FF6DF2">
            <w:pPr>
              <w:spacing w:before="120" w:after="120"/>
              <w:rPr>
                <w:rFonts w:cs="Arial"/>
                <w:i/>
                <w:iCs/>
              </w:rPr>
            </w:pPr>
            <w:r>
              <w:t xml:space="preserve"> </w:t>
            </w:r>
          </w:p>
        </w:tc>
      </w:tr>
      <w:bookmarkEnd w:id="14"/>
      <w:bookmarkEnd w:id="15"/>
      <w:bookmarkEnd w:id="16"/>
    </w:tbl>
    <w:p w14:paraId="2A7D5564" w14:textId="77777777" w:rsidR="00E66558" w:rsidRDefault="00E66558"/>
    <w:sectPr w:rsidR="00E66558" w:rsidSect="00001FF3">
      <w:headerReference w:type="default" r:id="rId12"/>
      <w:footerReference w:type="default" r:id="rId13"/>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4DB4" w14:textId="77777777" w:rsidR="00583C25" w:rsidRDefault="00583C25">
      <w:pPr>
        <w:spacing w:after="0" w:line="240" w:lineRule="auto"/>
      </w:pPr>
      <w:r>
        <w:separator/>
      </w:r>
    </w:p>
  </w:endnote>
  <w:endnote w:type="continuationSeparator" w:id="0">
    <w:p w14:paraId="30CA0FA8" w14:textId="77777777" w:rsidR="00583C25" w:rsidRDefault="00583C25">
      <w:pPr>
        <w:spacing w:after="0" w:line="240" w:lineRule="auto"/>
      </w:pPr>
      <w:r>
        <w:continuationSeparator/>
      </w:r>
    </w:p>
  </w:endnote>
  <w:endnote w:type="continuationNotice" w:id="1">
    <w:p w14:paraId="45C13E0B" w14:textId="77777777" w:rsidR="00583C25" w:rsidRDefault="00583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E4B47" w:rsidRDefault="006E4B4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711D" w14:textId="77777777" w:rsidR="00583C25" w:rsidRDefault="00583C25">
      <w:pPr>
        <w:spacing w:after="0" w:line="240" w:lineRule="auto"/>
      </w:pPr>
      <w:r>
        <w:separator/>
      </w:r>
    </w:p>
  </w:footnote>
  <w:footnote w:type="continuationSeparator" w:id="0">
    <w:p w14:paraId="30F4315B" w14:textId="77777777" w:rsidR="00583C25" w:rsidRDefault="00583C25">
      <w:pPr>
        <w:spacing w:after="0" w:line="240" w:lineRule="auto"/>
      </w:pPr>
      <w:r>
        <w:continuationSeparator/>
      </w:r>
    </w:p>
  </w:footnote>
  <w:footnote w:type="continuationNotice" w:id="1">
    <w:p w14:paraId="29266DD7" w14:textId="77777777" w:rsidR="00583C25" w:rsidRDefault="00583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E4B47" w:rsidRDefault="006E4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339"/>
    <w:multiLevelType w:val="multilevel"/>
    <w:tmpl w:val="E1C0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484F15"/>
    <w:multiLevelType w:val="hybridMultilevel"/>
    <w:tmpl w:val="1A58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5946AD"/>
    <w:multiLevelType w:val="hybridMultilevel"/>
    <w:tmpl w:val="84C2B020"/>
    <w:lvl w:ilvl="0" w:tplc="9430892A">
      <w:start w:val="1"/>
      <w:numFmt w:val="bullet"/>
      <w:lvlText w:val="-"/>
      <w:lvlJc w:val="left"/>
      <w:pPr>
        <w:ind w:left="417" w:hanging="360"/>
      </w:pPr>
      <w:rPr>
        <w:rFonts w:ascii="Arial" w:eastAsia="Times New Roman" w:hAnsi="Arial" w:cs="Arial" w:hint="default"/>
        <w:sz w:val="24"/>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9"/>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F3"/>
    <w:rsid w:val="00003A45"/>
    <w:rsid w:val="0001083D"/>
    <w:rsid w:val="00016D96"/>
    <w:rsid w:val="00023729"/>
    <w:rsid w:val="000243B4"/>
    <w:rsid w:val="000442F3"/>
    <w:rsid w:val="000452EB"/>
    <w:rsid w:val="000463AE"/>
    <w:rsid w:val="000507A3"/>
    <w:rsid w:val="00060A62"/>
    <w:rsid w:val="000618F1"/>
    <w:rsid w:val="00062172"/>
    <w:rsid w:val="00064366"/>
    <w:rsid w:val="00066B73"/>
    <w:rsid w:val="00071481"/>
    <w:rsid w:val="00075FAE"/>
    <w:rsid w:val="00080331"/>
    <w:rsid w:val="00082F38"/>
    <w:rsid w:val="0008384B"/>
    <w:rsid w:val="000929EC"/>
    <w:rsid w:val="00093CDE"/>
    <w:rsid w:val="000A6379"/>
    <w:rsid w:val="000C4647"/>
    <w:rsid w:val="000C7448"/>
    <w:rsid w:val="000C7846"/>
    <w:rsid w:val="000D22B0"/>
    <w:rsid w:val="000D35C9"/>
    <w:rsid w:val="000D520C"/>
    <w:rsid w:val="000D6596"/>
    <w:rsid w:val="000E6DF0"/>
    <w:rsid w:val="001037CB"/>
    <w:rsid w:val="0010629E"/>
    <w:rsid w:val="00115538"/>
    <w:rsid w:val="00120AB1"/>
    <w:rsid w:val="00123A7F"/>
    <w:rsid w:val="001278D0"/>
    <w:rsid w:val="00127F72"/>
    <w:rsid w:val="0013606F"/>
    <w:rsid w:val="00140646"/>
    <w:rsid w:val="00140D66"/>
    <w:rsid w:val="00147A4B"/>
    <w:rsid w:val="00161AB2"/>
    <w:rsid w:val="001671ED"/>
    <w:rsid w:val="0016723D"/>
    <w:rsid w:val="001727FA"/>
    <w:rsid w:val="00173D4C"/>
    <w:rsid w:val="00183218"/>
    <w:rsid w:val="00185988"/>
    <w:rsid w:val="001873B6"/>
    <w:rsid w:val="00187A19"/>
    <w:rsid w:val="001901E6"/>
    <w:rsid w:val="00191305"/>
    <w:rsid w:val="00193EA0"/>
    <w:rsid w:val="00195B55"/>
    <w:rsid w:val="001A2FE8"/>
    <w:rsid w:val="001A33AC"/>
    <w:rsid w:val="001C1C51"/>
    <w:rsid w:val="001C1E49"/>
    <w:rsid w:val="001E0ECA"/>
    <w:rsid w:val="001E206F"/>
    <w:rsid w:val="001E5750"/>
    <w:rsid w:val="001E7739"/>
    <w:rsid w:val="001F36EB"/>
    <w:rsid w:val="001F3DB4"/>
    <w:rsid w:val="00204F40"/>
    <w:rsid w:val="00205DEF"/>
    <w:rsid w:val="002104E3"/>
    <w:rsid w:val="00216C8A"/>
    <w:rsid w:val="00226317"/>
    <w:rsid w:val="00231539"/>
    <w:rsid w:val="002523E3"/>
    <w:rsid w:val="00257960"/>
    <w:rsid w:val="00266F6C"/>
    <w:rsid w:val="00266FA5"/>
    <w:rsid w:val="002755FA"/>
    <w:rsid w:val="00277241"/>
    <w:rsid w:val="002920F4"/>
    <w:rsid w:val="002940F3"/>
    <w:rsid w:val="00295842"/>
    <w:rsid w:val="002A42BE"/>
    <w:rsid w:val="002B3574"/>
    <w:rsid w:val="002B6B74"/>
    <w:rsid w:val="002C6AE7"/>
    <w:rsid w:val="002D2D4B"/>
    <w:rsid w:val="002D3805"/>
    <w:rsid w:val="002E66AE"/>
    <w:rsid w:val="002E7763"/>
    <w:rsid w:val="002F5842"/>
    <w:rsid w:val="00306CB7"/>
    <w:rsid w:val="003111F5"/>
    <w:rsid w:val="00332CDF"/>
    <w:rsid w:val="00336200"/>
    <w:rsid w:val="00337418"/>
    <w:rsid w:val="00351D83"/>
    <w:rsid w:val="00353E46"/>
    <w:rsid w:val="003576C4"/>
    <w:rsid w:val="00363A13"/>
    <w:rsid w:val="00366AB0"/>
    <w:rsid w:val="0037437C"/>
    <w:rsid w:val="0038146B"/>
    <w:rsid w:val="0038340F"/>
    <w:rsid w:val="00384457"/>
    <w:rsid w:val="00384F24"/>
    <w:rsid w:val="00385378"/>
    <w:rsid w:val="00395446"/>
    <w:rsid w:val="003A0006"/>
    <w:rsid w:val="003A1049"/>
    <w:rsid w:val="003A32B2"/>
    <w:rsid w:val="003A47DD"/>
    <w:rsid w:val="003A634F"/>
    <w:rsid w:val="003B588A"/>
    <w:rsid w:val="003B621D"/>
    <w:rsid w:val="003C4388"/>
    <w:rsid w:val="003C4C27"/>
    <w:rsid w:val="003C7F7B"/>
    <w:rsid w:val="003D2EAA"/>
    <w:rsid w:val="003E054C"/>
    <w:rsid w:val="003E27A0"/>
    <w:rsid w:val="003E3872"/>
    <w:rsid w:val="003F0C54"/>
    <w:rsid w:val="004044AA"/>
    <w:rsid w:val="004044C8"/>
    <w:rsid w:val="00404F3F"/>
    <w:rsid w:val="00410B5D"/>
    <w:rsid w:val="00412211"/>
    <w:rsid w:val="00413BEC"/>
    <w:rsid w:val="0042265E"/>
    <w:rsid w:val="00424ED7"/>
    <w:rsid w:val="00425258"/>
    <w:rsid w:val="00426217"/>
    <w:rsid w:val="00431A80"/>
    <w:rsid w:val="00435A89"/>
    <w:rsid w:val="00442C58"/>
    <w:rsid w:val="00452267"/>
    <w:rsid w:val="00453307"/>
    <w:rsid w:val="00457E36"/>
    <w:rsid w:val="00462F8F"/>
    <w:rsid w:val="00481D56"/>
    <w:rsid w:val="00490408"/>
    <w:rsid w:val="004A4C45"/>
    <w:rsid w:val="004A6DA5"/>
    <w:rsid w:val="004B0485"/>
    <w:rsid w:val="004B428E"/>
    <w:rsid w:val="004B4D37"/>
    <w:rsid w:val="004B7EAB"/>
    <w:rsid w:val="004C4270"/>
    <w:rsid w:val="004C42F0"/>
    <w:rsid w:val="004C7725"/>
    <w:rsid w:val="004D6474"/>
    <w:rsid w:val="004E1D73"/>
    <w:rsid w:val="004E2E6D"/>
    <w:rsid w:val="004F7979"/>
    <w:rsid w:val="0051286E"/>
    <w:rsid w:val="00516021"/>
    <w:rsid w:val="00516457"/>
    <w:rsid w:val="00520A0C"/>
    <w:rsid w:val="00530E37"/>
    <w:rsid w:val="0053587B"/>
    <w:rsid w:val="005423FB"/>
    <w:rsid w:val="005464A1"/>
    <w:rsid w:val="00546F12"/>
    <w:rsid w:val="0055339C"/>
    <w:rsid w:val="00562B3C"/>
    <w:rsid w:val="00564E40"/>
    <w:rsid w:val="005750E2"/>
    <w:rsid w:val="0058313F"/>
    <w:rsid w:val="00583945"/>
    <w:rsid w:val="00583C25"/>
    <w:rsid w:val="00585859"/>
    <w:rsid w:val="00586FBC"/>
    <w:rsid w:val="005879C9"/>
    <w:rsid w:val="00591338"/>
    <w:rsid w:val="005A3C6B"/>
    <w:rsid w:val="005B1EA5"/>
    <w:rsid w:val="005B5DB6"/>
    <w:rsid w:val="005D7176"/>
    <w:rsid w:val="005E1F24"/>
    <w:rsid w:val="005E73F1"/>
    <w:rsid w:val="005F07EF"/>
    <w:rsid w:val="005F132E"/>
    <w:rsid w:val="00600B2E"/>
    <w:rsid w:val="00607CEB"/>
    <w:rsid w:val="00613299"/>
    <w:rsid w:val="00615DFD"/>
    <w:rsid w:val="0061762D"/>
    <w:rsid w:val="006226C9"/>
    <w:rsid w:val="00623239"/>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A7696"/>
    <w:rsid w:val="006B0A73"/>
    <w:rsid w:val="006B444F"/>
    <w:rsid w:val="006B5A6B"/>
    <w:rsid w:val="006B5F48"/>
    <w:rsid w:val="006C0F82"/>
    <w:rsid w:val="006C280A"/>
    <w:rsid w:val="006C332E"/>
    <w:rsid w:val="006C5901"/>
    <w:rsid w:val="006D6372"/>
    <w:rsid w:val="006D6E5C"/>
    <w:rsid w:val="006E02AF"/>
    <w:rsid w:val="006E0786"/>
    <w:rsid w:val="006E4B47"/>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266"/>
    <w:rsid w:val="00787DC1"/>
    <w:rsid w:val="00794070"/>
    <w:rsid w:val="007A713B"/>
    <w:rsid w:val="007B64E5"/>
    <w:rsid w:val="007C2F04"/>
    <w:rsid w:val="007D00F3"/>
    <w:rsid w:val="007D573B"/>
    <w:rsid w:val="007F5B8B"/>
    <w:rsid w:val="00817E9A"/>
    <w:rsid w:val="00830D57"/>
    <w:rsid w:val="0085139E"/>
    <w:rsid w:val="00860B07"/>
    <w:rsid w:val="00861514"/>
    <w:rsid w:val="008616F6"/>
    <w:rsid w:val="0086259C"/>
    <w:rsid w:val="00883F24"/>
    <w:rsid w:val="00897E1F"/>
    <w:rsid w:val="008B2CB4"/>
    <w:rsid w:val="008B6404"/>
    <w:rsid w:val="008C11A6"/>
    <w:rsid w:val="008C1E7B"/>
    <w:rsid w:val="008C2C21"/>
    <w:rsid w:val="008C3206"/>
    <w:rsid w:val="008C7DD3"/>
    <w:rsid w:val="008E000B"/>
    <w:rsid w:val="008E2926"/>
    <w:rsid w:val="008E2D8D"/>
    <w:rsid w:val="008E35C6"/>
    <w:rsid w:val="008E3F49"/>
    <w:rsid w:val="008F243B"/>
    <w:rsid w:val="008F4675"/>
    <w:rsid w:val="00904A66"/>
    <w:rsid w:val="0092287F"/>
    <w:rsid w:val="0092495B"/>
    <w:rsid w:val="0092660E"/>
    <w:rsid w:val="00936519"/>
    <w:rsid w:val="00941DA3"/>
    <w:rsid w:val="00942C0C"/>
    <w:rsid w:val="0094414A"/>
    <w:rsid w:val="009539E3"/>
    <w:rsid w:val="00954A5E"/>
    <w:rsid w:val="009551B2"/>
    <w:rsid w:val="00957F8F"/>
    <w:rsid w:val="00964625"/>
    <w:rsid w:val="00981C1D"/>
    <w:rsid w:val="0099109C"/>
    <w:rsid w:val="009936DB"/>
    <w:rsid w:val="00993CFC"/>
    <w:rsid w:val="009A1DC2"/>
    <w:rsid w:val="009A39DC"/>
    <w:rsid w:val="009B1CF6"/>
    <w:rsid w:val="009B202D"/>
    <w:rsid w:val="009C0914"/>
    <w:rsid w:val="009C27E5"/>
    <w:rsid w:val="009D71E8"/>
    <w:rsid w:val="009E104B"/>
    <w:rsid w:val="009E50E8"/>
    <w:rsid w:val="009E7DE4"/>
    <w:rsid w:val="009F3BBD"/>
    <w:rsid w:val="00A063DD"/>
    <w:rsid w:val="00A112B5"/>
    <w:rsid w:val="00A14EEA"/>
    <w:rsid w:val="00A21D14"/>
    <w:rsid w:val="00A23A68"/>
    <w:rsid w:val="00A30C8A"/>
    <w:rsid w:val="00A44FBB"/>
    <w:rsid w:val="00A50104"/>
    <w:rsid w:val="00A522E0"/>
    <w:rsid w:val="00A63579"/>
    <w:rsid w:val="00A638AC"/>
    <w:rsid w:val="00A727E5"/>
    <w:rsid w:val="00A731FE"/>
    <w:rsid w:val="00A748B5"/>
    <w:rsid w:val="00A74C2C"/>
    <w:rsid w:val="00A80A32"/>
    <w:rsid w:val="00A82A98"/>
    <w:rsid w:val="00A82D16"/>
    <w:rsid w:val="00A86E1F"/>
    <w:rsid w:val="00A95F75"/>
    <w:rsid w:val="00A96B83"/>
    <w:rsid w:val="00AA355B"/>
    <w:rsid w:val="00AA42E5"/>
    <w:rsid w:val="00AB24FA"/>
    <w:rsid w:val="00AB5736"/>
    <w:rsid w:val="00AD7B5A"/>
    <w:rsid w:val="00AE0A80"/>
    <w:rsid w:val="00AE229F"/>
    <w:rsid w:val="00AF5E20"/>
    <w:rsid w:val="00B002FA"/>
    <w:rsid w:val="00B00327"/>
    <w:rsid w:val="00B024B3"/>
    <w:rsid w:val="00B070F9"/>
    <w:rsid w:val="00B11DE8"/>
    <w:rsid w:val="00B120A0"/>
    <w:rsid w:val="00B179ED"/>
    <w:rsid w:val="00B20E18"/>
    <w:rsid w:val="00B4478A"/>
    <w:rsid w:val="00B572C4"/>
    <w:rsid w:val="00B60858"/>
    <w:rsid w:val="00B634F7"/>
    <w:rsid w:val="00B74D4E"/>
    <w:rsid w:val="00B80219"/>
    <w:rsid w:val="00B91F2F"/>
    <w:rsid w:val="00B924F3"/>
    <w:rsid w:val="00BA19A5"/>
    <w:rsid w:val="00BC44A4"/>
    <w:rsid w:val="00BC67F6"/>
    <w:rsid w:val="00BD2004"/>
    <w:rsid w:val="00BD4B12"/>
    <w:rsid w:val="00BE2E04"/>
    <w:rsid w:val="00BE2F92"/>
    <w:rsid w:val="00BF0D5F"/>
    <w:rsid w:val="00C05811"/>
    <w:rsid w:val="00C11EB4"/>
    <w:rsid w:val="00C12746"/>
    <w:rsid w:val="00C17E16"/>
    <w:rsid w:val="00C21A58"/>
    <w:rsid w:val="00C25827"/>
    <w:rsid w:val="00C314EF"/>
    <w:rsid w:val="00C31BB8"/>
    <w:rsid w:val="00C373EA"/>
    <w:rsid w:val="00C403DD"/>
    <w:rsid w:val="00C43BAF"/>
    <w:rsid w:val="00C514E1"/>
    <w:rsid w:val="00C621C1"/>
    <w:rsid w:val="00C62989"/>
    <w:rsid w:val="00C65CBB"/>
    <w:rsid w:val="00C80F37"/>
    <w:rsid w:val="00C97A7F"/>
    <w:rsid w:val="00CB04FD"/>
    <w:rsid w:val="00CB5B17"/>
    <w:rsid w:val="00CC0A15"/>
    <w:rsid w:val="00CC4443"/>
    <w:rsid w:val="00CC5CAF"/>
    <w:rsid w:val="00D06163"/>
    <w:rsid w:val="00D06874"/>
    <w:rsid w:val="00D173F7"/>
    <w:rsid w:val="00D20203"/>
    <w:rsid w:val="00D204E0"/>
    <w:rsid w:val="00D21354"/>
    <w:rsid w:val="00D22400"/>
    <w:rsid w:val="00D278BA"/>
    <w:rsid w:val="00D30CF5"/>
    <w:rsid w:val="00D33FE5"/>
    <w:rsid w:val="00D34B2C"/>
    <w:rsid w:val="00D3578A"/>
    <w:rsid w:val="00D4463C"/>
    <w:rsid w:val="00D501EE"/>
    <w:rsid w:val="00D517DC"/>
    <w:rsid w:val="00D5590D"/>
    <w:rsid w:val="00D618E4"/>
    <w:rsid w:val="00D61DA5"/>
    <w:rsid w:val="00D71D76"/>
    <w:rsid w:val="00D77505"/>
    <w:rsid w:val="00D875ED"/>
    <w:rsid w:val="00D877D0"/>
    <w:rsid w:val="00D90013"/>
    <w:rsid w:val="00D91B9C"/>
    <w:rsid w:val="00D92C1B"/>
    <w:rsid w:val="00D94CC7"/>
    <w:rsid w:val="00DA1AF4"/>
    <w:rsid w:val="00DB0C60"/>
    <w:rsid w:val="00DB41F8"/>
    <w:rsid w:val="00DB7F1C"/>
    <w:rsid w:val="00DC641A"/>
    <w:rsid w:val="00DD6B7D"/>
    <w:rsid w:val="00DD6E14"/>
    <w:rsid w:val="00DE15AC"/>
    <w:rsid w:val="00DE6137"/>
    <w:rsid w:val="00E061EC"/>
    <w:rsid w:val="00E13E51"/>
    <w:rsid w:val="00E330FE"/>
    <w:rsid w:val="00E43EAD"/>
    <w:rsid w:val="00E56589"/>
    <w:rsid w:val="00E62DCB"/>
    <w:rsid w:val="00E651DD"/>
    <w:rsid w:val="00E66558"/>
    <w:rsid w:val="00E70D81"/>
    <w:rsid w:val="00E726A6"/>
    <w:rsid w:val="00E8033D"/>
    <w:rsid w:val="00E82C21"/>
    <w:rsid w:val="00E86F05"/>
    <w:rsid w:val="00E8715C"/>
    <w:rsid w:val="00EA3A2A"/>
    <w:rsid w:val="00EA3C53"/>
    <w:rsid w:val="00EB4556"/>
    <w:rsid w:val="00EB64C8"/>
    <w:rsid w:val="00ED5108"/>
    <w:rsid w:val="00F012CA"/>
    <w:rsid w:val="00F01752"/>
    <w:rsid w:val="00F0355A"/>
    <w:rsid w:val="00F24A7E"/>
    <w:rsid w:val="00F3079F"/>
    <w:rsid w:val="00F33DC0"/>
    <w:rsid w:val="00F524D9"/>
    <w:rsid w:val="00F62587"/>
    <w:rsid w:val="00F63E9E"/>
    <w:rsid w:val="00F66A7B"/>
    <w:rsid w:val="00F76843"/>
    <w:rsid w:val="00F776E1"/>
    <w:rsid w:val="00F925EB"/>
    <w:rsid w:val="00F93782"/>
    <w:rsid w:val="00FA6DD0"/>
    <w:rsid w:val="00FC28DF"/>
    <w:rsid w:val="00FC37DE"/>
    <w:rsid w:val="00FD037B"/>
    <w:rsid w:val="00FE3136"/>
    <w:rsid w:val="00FE50A3"/>
    <w:rsid w:val="00FF033C"/>
    <w:rsid w:val="00FF369D"/>
    <w:rsid w:val="00FF6DF2"/>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6573C09-58D8-48AB-BC85-A1F9F9D1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083D"/>
    <w:pPr>
      <w:autoSpaceDN/>
    </w:pPr>
    <w:rPr>
      <w:rFonts w:asciiTheme="minorHAnsi" w:eastAsiaTheme="minorHAnsi" w:hAnsiTheme="minorHAnsi" w:cstheme="minorBidi"/>
      <w:sz w:val="22"/>
      <w:szCs w:val="22"/>
      <w:lang w:eastAsia="en-US"/>
    </w:rPr>
  </w:style>
  <w:style w:type="character" w:styleId="SubtleEmphasis">
    <w:name w:val="Subtle Emphasis"/>
    <w:basedOn w:val="DefaultParagraphFont"/>
    <w:uiPriority w:val="19"/>
    <w:qFormat/>
    <w:rsid w:val="0001083D"/>
    <w:rPr>
      <w:i/>
      <w:iCs/>
      <w:color w:val="808080" w:themeColor="text1" w:themeTint="7F"/>
    </w:rPr>
  </w:style>
  <w:style w:type="paragraph" w:styleId="EndnoteText">
    <w:name w:val="endnote text"/>
    <w:basedOn w:val="Normal"/>
    <w:link w:val="EndnoteTextChar"/>
    <w:uiPriority w:val="99"/>
    <w:semiHidden/>
    <w:unhideWhenUsed/>
    <w:rsid w:val="00B924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24F3"/>
    <w:rPr>
      <w:color w:val="0D0D0D"/>
    </w:rPr>
  </w:style>
  <w:style w:type="character" w:styleId="EndnoteReference">
    <w:name w:val="endnote reference"/>
    <w:basedOn w:val="DefaultParagraphFont"/>
    <w:uiPriority w:val="99"/>
    <w:semiHidden/>
    <w:unhideWhenUsed/>
    <w:rsid w:val="00B924F3"/>
    <w:rPr>
      <w:vertAlign w:val="superscript"/>
    </w:rPr>
  </w:style>
  <w:style w:type="paragraph" w:styleId="NormalWeb">
    <w:name w:val="Normal (Web)"/>
    <w:basedOn w:val="Normal"/>
    <w:uiPriority w:val="99"/>
    <w:unhideWhenUsed/>
    <w:rsid w:val="00F9378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55148948">
      <w:bodyDiv w:val="1"/>
      <w:marLeft w:val="0"/>
      <w:marRight w:val="0"/>
      <w:marTop w:val="0"/>
      <w:marBottom w:val="0"/>
      <w:divBdr>
        <w:top w:val="none" w:sz="0" w:space="0" w:color="auto"/>
        <w:left w:val="none" w:sz="0" w:space="0" w:color="auto"/>
        <w:bottom w:val="none" w:sz="0" w:space="0" w:color="auto"/>
        <w:right w:val="none" w:sz="0" w:space="0" w:color="auto"/>
      </w:divBdr>
    </w:div>
    <w:div w:id="836336858">
      <w:bodyDiv w:val="1"/>
      <w:marLeft w:val="0"/>
      <w:marRight w:val="0"/>
      <w:marTop w:val="0"/>
      <w:marBottom w:val="0"/>
      <w:divBdr>
        <w:top w:val="none" w:sz="0" w:space="0" w:color="auto"/>
        <w:left w:val="none" w:sz="0" w:space="0" w:color="auto"/>
        <w:bottom w:val="none" w:sz="0" w:space="0" w:color="auto"/>
        <w:right w:val="none" w:sz="0" w:space="0" w:color="auto"/>
      </w:divBdr>
    </w:div>
    <w:div w:id="937297408">
      <w:bodyDiv w:val="1"/>
      <w:marLeft w:val="0"/>
      <w:marRight w:val="0"/>
      <w:marTop w:val="0"/>
      <w:marBottom w:val="0"/>
      <w:divBdr>
        <w:top w:val="none" w:sz="0" w:space="0" w:color="auto"/>
        <w:left w:val="none" w:sz="0" w:space="0" w:color="auto"/>
        <w:bottom w:val="none" w:sz="0" w:space="0" w:color="auto"/>
        <w:right w:val="none" w:sz="0" w:space="0" w:color="auto"/>
      </w:divBdr>
    </w:div>
    <w:div w:id="964312767">
      <w:bodyDiv w:val="1"/>
      <w:marLeft w:val="0"/>
      <w:marRight w:val="0"/>
      <w:marTop w:val="0"/>
      <w:marBottom w:val="0"/>
      <w:divBdr>
        <w:top w:val="none" w:sz="0" w:space="0" w:color="auto"/>
        <w:left w:val="none" w:sz="0" w:space="0" w:color="auto"/>
        <w:bottom w:val="none" w:sz="0" w:space="0" w:color="auto"/>
        <w:right w:val="none" w:sz="0" w:space="0" w:color="auto"/>
      </w:divBdr>
    </w:div>
    <w:div w:id="978263130">
      <w:bodyDiv w:val="1"/>
      <w:marLeft w:val="0"/>
      <w:marRight w:val="0"/>
      <w:marTop w:val="0"/>
      <w:marBottom w:val="0"/>
      <w:divBdr>
        <w:top w:val="none" w:sz="0" w:space="0" w:color="auto"/>
        <w:left w:val="none" w:sz="0" w:space="0" w:color="auto"/>
        <w:bottom w:val="none" w:sz="0" w:space="0" w:color="auto"/>
        <w:right w:val="none" w:sz="0" w:space="0" w:color="auto"/>
      </w:divBdr>
    </w:div>
    <w:div w:id="1445883860">
      <w:bodyDiv w:val="1"/>
      <w:marLeft w:val="0"/>
      <w:marRight w:val="0"/>
      <w:marTop w:val="0"/>
      <w:marBottom w:val="0"/>
      <w:divBdr>
        <w:top w:val="none" w:sz="0" w:space="0" w:color="auto"/>
        <w:left w:val="none" w:sz="0" w:space="0" w:color="auto"/>
        <w:bottom w:val="none" w:sz="0" w:space="0" w:color="auto"/>
        <w:right w:val="none" w:sz="0" w:space="0" w:color="auto"/>
      </w:divBdr>
    </w:div>
    <w:div w:id="202080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rview.org/tor-view-school/about-the-school-organisation/performance-resul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E71B6912B09428DD08E8C755EC65C" ma:contentTypeVersion="14" ma:contentTypeDescription="Create a new document." ma:contentTypeScope="" ma:versionID="439aa9d13c740b8afdd5215e7ea92ba2">
  <xsd:schema xmlns:xsd="http://www.w3.org/2001/XMLSchema" xmlns:xs="http://www.w3.org/2001/XMLSchema" xmlns:p="http://schemas.microsoft.com/office/2006/metadata/properties" xmlns:ns3="c4d313e2-446e-428f-a896-6076a8aab027" xmlns:ns4="ebebd929-c4d8-47b5-bb7f-83b868bdc621" targetNamespace="http://schemas.microsoft.com/office/2006/metadata/properties" ma:root="true" ma:fieldsID="1757db49b1c3551708fb4994957e481e" ns3:_="" ns4:_="">
    <xsd:import namespace="c4d313e2-446e-428f-a896-6076a8aab027"/>
    <xsd:import namespace="ebebd929-c4d8-47b5-bb7f-83b868bdc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313e2-446e-428f-a896-6076a8aab0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bd929-c4d8-47b5-bb7f-83b868bdc6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Pub21</b:Tag>
    <b:SourceType>Report</b:SourceType>
    <b:Guid>{28AC4C8B-8912-4AE9-B94F-9674EDEE5DD3}</b:Guid>
    <b:Title>Promoting children and young people’s mental health and wellbeing: A whole school or college approach</b:Title>
    <b:Year>2021</b:Year>
    <b:City>London</b:City>
    <b:Publisher>Public Health England</b:Publisher>
    <b:Author>
      <b:Author>
        <b:Corporate>Public Health England &amp; the Department for Education</b:Corporate>
      </b:Author>
    </b:Author>
    <b:RefOrder>1</b:RefOrder>
  </b:Source>
</b:Sources>
</file>

<file path=customXml/itemProps1.xml><?xml version="1.0" encoding="utf-8"?>
<ds:datastoreItem xmlns:ds="http://schemas.openxmlformats.org/officeDocument/2006/customXml" ds:itemID="{A43E27C3-E3E0-438C-8087-EE90694D6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673F5-A3C2-4DC5-9241-C58EDF054479}">
  <ds:schemaRefs>
    <ds:schemaRef ds:uri="http://schemas.microsoft.com/sharepoint/v3/contenttype/forms"/>
  </ds:schemaRefs>
</ds:datastoreItem>
</file>

<file path=customXml/itemProps3.xml><?xml version="1.0" encoding="utf-8"?>
<ds:datastoreItem xmlns:ds="http://schemas.openxmlformats.org/officeDocument/2006/customXml" ds:itemID="{B2007FBF-E04A-4ACD-B7AA-ED60DDD9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313e2-446e-428f-a896-6076a8aab027"/>
    <ds:schemaRef ds:uri="ebebd929-c4d8-47b5-bb7f-83b868bdc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3A39B-41F4-4D20-AEA0-C6C71A34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Walsh, Emma</cp:lastModifiedBy>
  <cp:revision>3</cp:revision>
  <cp:lastPrinted>2014-09-17T21:26:00Z</cp:lastPrinted>
  <dcterms:created xsi:type="dcterms:W3CDTF">2024-04-30T12:16:00Z</dcterms:created>
  <dcterms:modified xsi:type="dcterms:W3CDTF">2024-05-01T19:36:00Z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0x010100A24E71B6912B09428DD08E8C755EC65C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