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0D7C" w14:textId="1E67DBB6" w:rsidR="00206330" w:rsidRDefault="00206330" w:rsidP="00206330">
      <w:pPr>
        <w:pStyle w:val="3Policytitle"/>
        <w:jc w:val="center"/>
      </w:pPr>
      <w:r>
        <w:pict w14:anchorId="319849DD">
          <v:shape id="_x0000_i1029" type="#_x0000_t75" style="width:486.75pt;height:170.25pt">
            <v:imagedata r:id="rId8" o:title="THS Logo white on navy"/>
          </v:shape>
        </w:pict>
      </w:r>
    </w:p>
    <w:p w14:paraId="1D921E02" w14:textId="74D05245" w:rsidR="00A65192" w:rsidRDefault="00A65192" w:rsidP="00206330">
      <w:pPr>
        <w:pStyle w:val="3Policytitle"/>
        <w:jc w:val="center"/>
      </w:pPr>
      <w:r>
        <w:t>Assessment policy</w:t>
      </w:r>
    </w:p>
    <w:p w14:paraId="0995FD95" w14:textId="77777777" w:rsidR="00A65192" w:rsidRDefault="00A65192" w:rsidP="00206330">
      <w:pPr>
        <w:pStyle w:val="6Abstract"/>
        <w:jc w:val="center"/>
      </w:pPr>
      <w:r>
        <w:t>Tottington High School</w:t>
      </w:r>
    </w:p>
    <w:p w14:paraId="70CEF383" w14:textId="77777777" w:rsidR="00A65192" w:rsidRDefault="00A65192">
      <w:pPr>
        <w:pStyle w:val="1bodycopy10pt"/>
      </w:pPr>
    </w:p>
    <w:p w14:paraId="4E60DBAE" w14:textId="77777777" w:rsidR="00A65192" w:rsidRDefault="00A65192">
      <w:pPr>
        <w:pStyle w:val="1bodycopy10pt"/>
      </w:pPr>
    </w:p>
    <w:p w14:paraId="74D87C0C" w14:textId="77777777" w:rsidR="00A65192" w:rsidRDefault="00A65192">
      <w:pPr>
        <w:pStyle w:val="1bodycopy10pt"/>
      </w:pPr>
    </w:p>
    <w:p w14:paraId="301BD065" w14:textId="77777777" w:rsidR="00A65192" w:rsidRDefault="00A65192">
      <w:pPr>
        <w:pStyle w:val="1bodycopy10pt"/>
      </w:pPr>
    </w:p>
    <w:p w14:paraId="36168C3B" w14:textId="77777777" w:rsidR="00A65192" w:rsidRDefault="00A65192">
      <w:pPr>
        <w:pStyle w:val="1bodycopy10pt"/>
      </w:pPr>
    </w:p>
    <w:p w14:paraId="1A0E8F99" w14:textId="77777777" w:rsidR="00A65192" w:rsidRDefault="00A65192">
      <w:pPr>
        <w:pStyle w:val="1bodycopy10pt"/>
      </w:pPr>
    </w:p>
    <w:p w14:paraId="3BA7A418" w14:textId="77777777" w:rsidR="00A65192" w:rsidRDefault="00A65192">
      <w:pPr>
        <w:pStyle w:val="1bodycopy10pt"/>
      </w:pPr>
    </w:p>
    <w:p w14:paraId="294EF972" w14:textId="77777777" w:rsidR="00A65192" w:rsidRDefault="00A65192">
      <w:pPr>
        <w:pStyle w:val="1bodycopy10pt"/>
      </w:pPr>
    </w:p>
    <w:p w14:paraId="55C46441" w14:textId="77777777" w:rsidR="00A65192" w:rsidRDefault="00A65192">
      <w:pPr>
        <w:pStyle w:val="1bodycopy10pt"/>
      </w:pPr>
    </w:p>
    <w:p w14:paraId="6A46E348" w14:textId="77777777" w:rsidR="00A65192" w:rsidRDefault="00A65192">
      <w:pPr>
        <w:pStyle w:val="1bodycopy10pt"/>
      </w:pPr>
    </w:p>
    <w:p w14:paraId="3C8A40E9" w14:textId="77777777" w:rsidR="00A65192" w:rsidRDefault="00A65192">
      <w:pPr>
        <w:pStyle w:val="1bodycopy10pt"/>
      </w:pPr>
    </w:p>
    <w:p w14:paraId="1EE8F8DF" w14:textId="77777777" w:rsidR="00A65192" w:rsidRDefault="00A65192">
      <w:pPr>
        <w:pStyle w:val="1bodycopy10pt"/>
      </w:pPr>
    </w:p>
    <w:p w14:paraId="6AA04EC3" w14:textId="77777777" w:rsidR="00A65192" w:rsidRDefault="00A65192">
      <w:pPr>
        <w:pStyle w:val="1bodycopy10pt"/>
      </w:pPr>
    </w:p>
    <w:p w14:paraId="22FA812F" w14:textId="77777777" w:rsidR="00A65192" w:rsidRDefault="00A65192">
      <w:pPr>
        <w:pStyle w:val="1bodycopy10pt"/>
      </w:pPr>
    </w:p>
    <w:p w14:paraId="7F3AA297" w14:textId="77777777" w:rsidR="00A65192" w:rsidRDefault="00A65192">
      <w:pPr>
        <w:pStyle w:val="1bodycopy10pt"/>
      </w:pPr>
    </w:p>
    <w:p w14:paraId="077C75BE" w14:textId="77777777" w:rsidR="00A65192" w:rsidRDefault="00A65192">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65192" w14:paraId="4D3C13BF" w14:textId="77777777">
        <w:tc>
          <w:tcPr>
            <w:tcW w:w="2586" w:type="dxa"/>
            <w:tcBorders>
              <w:top w:val="nil"/>
              <w:bottom w:val="single" w:sz="18" w:space="0" w:color="FFFFFF"/>
            </w:tcBorders>
            <w:shd w:val="clear" w:color="auto" w:fill="D8DFDE"/>
          </w:tcPr>
          <w:p w14:paraId="4CBDA94E" w14:textId="77777777" w:rsidR="00A65192" w:rsidRDefault="00A65192">
            <w:pPr>
              <w:pStyle w:val="1bodycopy10pt"/>
              <w:rPr>
                <w:b/>
              </w:rPr>
            </w:pPr>
            <w:r>
              <w:rPr>
                <w:b/>
              </w:rPr>
              <w:t>Approved by:</w:t>
            </w:r>
          </w:p>
        </w:tc>
        <w:tc>
          <w:tcPr>
            <w:tcW w:w="3268" w:type="dxa"/>
            <w:tcBorders>
              <w:top w:val="nil"/>
              <w:bottom w:val="single" w:sz="18" w:space="0" w:color="FFFFFF"/>
            </w:tcBorders>
            <w:shd w:val="clear" w:color="auto" w:fill="D8DFDE"/>
          </w:tcPr>
          <w:p w14:paraId="2314E06B" w14:textId="52B02220" w:rsidR="00A65192" w:rsidRDefault="00A65192" w:rsidP="000D68CB">
            <w:pPr>
              <w:pStyle w:val="1bodycopy11pt"/>
              <w:rPr>
                <w:highlight w:val="yellow"/>
              </w:rPr>
            </w:pPr>
            <w:r>
              <w:t>[</w:t>
            </w:r>
            <w:r w:rsidR="00411FBB">
              <w:t xml:space="preserve">    </w:t>
            </w:r>
            <w:r>
              <w:t>]</w:t>
            </w:r>
          </w:p>
        </w:tc>
        <w:tc>
          <w:tcPr>
            <w:tcW w:w="3866" w:type="dxa"/>
            <w:tcBorders>
              <w:top w:val="nil"/>
              <w:bottom w:val="single" w:sz="18" w:space="0" w:color="FFFFFF"/>
            </w:tcBorders>
            <w:shd w:val="clear" w:color="auto" w:fill="D8DFDE"/>
          </w:tcPr>
          <w:p w14:paraId="72F21C7E" w14:textId="4112F8BF" w:rsidR="00A65192" w:rsidRDefault="00A65192">
            <w:pPr>
              <w:pStyle w:val="1bodycopy11pt"/>
            </w:pPr>
            <w:r>
              <w:rPr>
                <w:b/>
              </w:rPr>
              <w:t>Date:</w:t>
            </w:r>
            <w:r>
              <w:t xml:space="preserve">  </w:t>
            </w:r>
            <w:r w:rsidR="00206330">
              <w:t>24</w:t>
            </w:r>
            <w:r w:rsidR="00206330" w:rsidRPr="00206330">
              <w:rPr>
                <w:vertAlign w:val="superscript"/>
              </w:rPr>
              <w:t>th</w:t>
            </w:r>
            <w:r w:rsidR="00206330">
              <w:t xml:space="preserve"> September 2023</w:t>
            </w:r>
          </w:p>
        </w:tc>
      </w:tr>
      <w:tr w:rsidR="00A65192" w14:paraId="7E46F118" w14:textId="77777777">
        <w:tc>
          <w:tcPr>
            <w:tcW w:w="2586" w:type="dxa"/>
            <w:tcBorders>
              <w:top w:val="single" w:sz="18" w:space="0" w:color="FFFFFF"/>
              <w:bottom w:val="single" w:sz="18" w:space="0" w:color="FFFFFF"/>
            </w:tcBorders>
            <w:shd w:val="clear" w:color="auto" w:fill="D8DFDE"/>
          </w:tcPr>
          <w:p w14:paraId="14CE5789" w14:textId="77777777" w:rsidR="00A65192" w:rsidRDefault="00A65192">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14:paraId="4B00F1BE" w14:textId="14EF1486" w:rsidR="00A65192" w:rsidRDefault="00206330">
            <w:pPr>
              <w:pStyle w:val="1bodycopy11pt"/>
              <w:rPr>
                <w:highlight w:val="yellow"/>
              </w:rPr>
            </w:pPr>
            <w:r>
              <w:t>24</w:t>
            </w:r>
            <w:r w:rsidRPr="00206330">
              <w:rPr>
                <w:vertAlign w:val="superscript"/>
              </w:rPr>
              <w:t>th</w:t>
            </w:r>
            <w:r>
              <w:t xml:space="preserve"> September 2023</w:t>
            </w:r>
          </w:p>
        </w:tc>
      </w:tr>
      <w:tr w:rsidR="00A65192" w14:paraId="022B518F" w14:textId="77777777">
        <w:tc>
          <w:tcPr>
            <w:tcW w:w="2586" w:type="dxa"/>
            <w:tcBorders>
              <w:top w:val="single" w:sz="18" w:space="0" w:color="FFFFFF"/>
              <w:bottom w:val="nil"/>
            </w:tcBorders>
            <w:shd w:val="clear" w:color="auto" w:fill="D8DFDE"/>
          </w:tcPr>
          <w:p w14:paraId="029C1537" w14:textId="77777777" w:rsidR="00A65192" w:rsidRDefault="00A65192">
            <w:pPr>
              <w:pStyle w:val="1bodycopy10pt"/>
              <w:rPr>
                <w:b/>
              </w:rPr>
            </w:pPr>
            <w:r>
              <w:rPr>
                <w:b/>
              </w:rPr>
              <w:t>Next review due by:</w:t>
            </w:r>
          </w:p>
        </w:tc>
        <w:tc>
          <w:tcPr>
            <w:tcW w:w="7134" w:type="dxa"/>
            <w:gridSpan w:val="2"/>
            <w:tcBorders>
              <w:top w:val="single" w:sz="18" w:space="0" w:color="FFFFFF"/>
              <w:bottom w:val="nil"/>
            </w:tcBorders>
            <w:shd w:val="clear" w:color="auto" w:fill="D8DFDE"/>
          </w:tcPr>
          <w:p w14:paraId="38E69D3F" w14:textId="0577F7BD" w:rsidR="00A65192" w:rsidRDefault="00206330">
            <w:pPr>
              <w:pStyle w:val="1bodycopy11pt"/>
              <w:rPr>
                <w:highlight w:val="yellow"/>
              </w:rPr>
            </w:pPr>
            <w:r>
              <w:t>Sept</w:t>
            </w:r>
            <w:r w:rsidR="00A65192">
              <w:t xml:space="preserve"> 202</w:t>
            </w:r>
            <w:r>
              <w:t>4</w:t>
            </w:r>
          </w:p>
        </w:tc>
      </w:tr>
    </w:tbl>
    <w:p w14:paraId="52E492FF" w14:textId="77777777" w:rsidR="00A65192" w:rsidRDefault="00A65192">
      <w:pPr>
        <w:pStyle w:val="1bodycopy10pt"/>
      </w:pPr>
    </w:p>
    <w:p w14:paraId="09E8C726" w14:textId="77777777" w:rsidR="00CE683E" w:rsidRDefault="00CE683E"/>
    <w:p w14:paraId="479EA9E3" w14:textId="77777777" w:rsidR="00CE683E" w:rsidRDefault="00CE683E"/>
    <w:p w14:paraId="25E81563" w14:textId="7229D003" w:rsidR="00A65192" w:rsidRDefault="00CE683E">
      <w:r>
        <w:pict w14:anchorId="4F426B89">
          <v:shape id="_x0000_i1030" type="#_x0000_t75" style="width:486.75pt;height:16.5pt">
            <v:imagedata r:id="rId9" o:title="Bottom Banner"/>
          </v:shape>
        </w:pict>
      </w:r>
      <w:r w:rsidR="00A65192">
        <w:br w:type="page"/>
      </w:r>
    </w:p>
    <w:p w14:paraId="53892BCA" w14:textId="77777777" w:rsidR="00A65192" w:rsidRDefault="00A65192">
      <w:pPr>
        <w:pStyle w:val="TOCHeading"/>
        <w:spacing w:before="0" w:after="120"/>
        <w:rPr>
          <w:rFonts w:ascii="Arial" w:hAnsi="Arial" w:cs="Arial"/>
          <w:b/>
          <w:sz w:val="22"/>
          <w:szCs w:val="22"/>
        </w:rPr>
      </w:pPr>
      <w:r>
        <w:rPr>
          <w:rFonts w:ascii="Arial" w:hAnsi="Arial" w:cs="Arial"/>
          <w:b/>
          <w:sz w:val="22"/>
          <w:szCs w:val="22"/>
        </w:rPr>
        <w:t>Contents</w:t>
      </w:r>
    </w:p>
    <w:p w14:paraId="5061C065" w14:textId="77777777" w:rsidR="00A65192" w:rsidRDefault="00A65192">
      <w:pPr>
        <w:pStyle w:val="TOC1"/>
        <w:tabs>
          <w:tab w:val="right" w:leader="dot" w:pos="9736"/>
        </w:tabs>
        <w:rPr>
          <w:rFonts w:eastAsia="Times New Roman" w:cs="Arial"/>
          <w:noProof/>
          <w:sz w:val="22"/>
          <w:szCs w:val="22"/>
          <w:lang w:val="en-GB" w:eastAsia="en-GB"/>
        </w:rPr>
      </w:pPr>
      <w:r>
        <w:rPr>
          <w:rFonts w:cs="Arial"/>
          <w:bCs/>
          <w:noProof/>
          <w:sz w:val="22"/>
          <w:szCs w:val="22"/>
        </w:rPr>
        <w:fldChar w:fldCharType="begin"/>
      </w:r>
      <w:r>
        <w:rPr>
          <w:rFonts w:cs="Arial"/>
          <w:bCs/>
          <w:noProof/>
          <w:sz w:val="22"/>
          <w:szCs w:val="22"/>
        </w:rPr>
        <w:instrText xml:space="preserve"> TOC \o "1-3" \h \z \u </w:instrText>
      </w:r>
      <w:r>
        <w:rPr>
          <w:rFonts w:cs="Arial"/>
          <w:bCs/>
          <w:noProof/>
          <w:sz w:val="22"/>
          <w:szCs w:val="22"/>
        </w:rPr>
        <w:fldChar w:fldCharType="separate"/>
      </w:r>
      <w:hyperlink w:anchor="_Toc67419125" w:history="1">
        <w:r>
          <w:rPr>
            <w:rStyle w:val="Hyperlink"/>
            <w:rFonts w:cs="Arial"/>
            <w:noProof/>
            <w:sz w:val="22"/>
            <w:szCs w:val="22"/>
          </w:rPr>
          <w:t>1. Aims</w:t>
        </w:r>
        <w:r>
          <w:rPr>
            <w:rFonts w:cs="Arial"/>
            <w:noProof/>
            <w:webHidden/>
            <w:sz w:val="22"/>
            <w:szCs w:val="22"/>
          </w:rPr>
          <w:tab/>
          <w:t>2</w:t>
        </w:r>
      </w:hyperlink>
    </w:p>
    <w:p w14:paraId="511EBEA1" w14:textId="77777777" w:rsidR="00A65192" w:rsidRDefault="00000000">
      <w:pPr>
        <w:pStyle w:val="TOC1"/>
        <w:tabs>
          <w:tab w:val="right" w:leader="dot" w:pos="9736"/>
        </w:tabs>
        <w:rPr>
          <w:rFonts w:eastAsia="Times New Roman" w:cs="Arial"/>
          <w:noProof/>
          <w:sz w:val="22"/>
          <w:szCs w:val="22"/>
          <w:lang w:val="en-GB" w:eastAsia="en-GB"/>
        </w:rPr>
      </w:pPr>
      <w:hyperlink w:anchor="_Toc67419128" w:history="1">
        <w:r w:rsidR="00A65192">
          <w:rPr>
            <w:rStyle w:val="Hyperlink"/>
            <w:rFonts w:cs="Arial"/>
            <w:noProof/>
            <w:sz w:val="22"/>
            <w:szCs w:val="22"/>
          </w:rPr>
          <w:t>2. Assessment approaches</w:t>
        </w:r>
        <w:r w:rsidR="00A65192">
          <w:rPr>
            <w:rFonts w:cs="Arial"/>
            <w:noProof/>
            <w:webHidden/>
            <w:sz w:val="22"/>
            <w:szCs w:val="22"/>
          </w:rPr>
          <w:tab/>
        </w:r>
      </w:hyperlink>
      <w:r w:rsidR="00A65192">
        <w:rPr>
          <w:rStyle w:val="Hyperlink"/>
          <w:rFonts w:cs="Arial"/>
          <w:noProof/>
          <w:color w:val="auto"/>
          <w:sz w:val="22"/>
          <w:szCs w:val="22"/>
          <w:u w:val="none"/>
        </w:rPr>
        <w:t>2-4</w:t>
      </w:r>
    </w:p>
    <w:p w14:paraId="2383FB76" w14:textId="77777777" w:rsidR="00A65192" w:rsidRDefault="00000000">
      <w:pPr>
        <w:pStyle w:val="TOC1"/>
        <w:tabs>
          <w:tab w:val="right" w:leader="dot" w:pos="9736"/>
        </w:tabs>
        <w:rPr>
          <w:rFonts w:eastAsia="Times New Roman" w:cs="Arial"/>
          <w:noProof/>
          <w:sz w:val="22"/>
          <w:szCs w:val="22"/>
          <w:lang w:val="en-GB" w:eastAsia="en-GB"/>
        </w:rPr>
      </w:pPr>
      <w:hyperlink w:anchor="_Toc67419129" w:history="1">
        <w:r w:rsidR="00A65192">
          <w:rPr>
            <w:rStyle w:val="Hyperlink"/>
            <w:rFonts w:cs="Arial"/>
            <w:noProof/>
            <w:sz w:val="22"/>
            <w:szCs w:val="22"/>
          </w:rPr>
          <w:t>3. Collecting and using data</w:t>
        </w:r>
        <w:r w:rsidR="00A65192">
          <w:rPr>
            <w:rFonts w:cs="Arial"/>
            <w:noProof/>
            <w:webHidden/>
            <w:sz w:val="22"/>
            <w:szCs w:val="22"/>
          </w:rPr>
          <w:tab/>
          <w:t>4</w:t>
        </w:r>
      </w:hyperlink>
    </w:p>
    <w:p w14:paraId="19529099" w14:textId="77777777" w:rsidR="00A65192" w:rsidRDefault="00000000">
      <w:pPr>
        <w:pStyle w:val="TOC1"/>
        <w:tabs>
          <w:tab w:val="right" w:leader="dot" w:pos="9736"/>
        </w:tabs>
        <w:rPr>
          <w:rFonts w:eastAsia="Times New Roman" w:cs="Arial"/>
          <w:noProof/>
          <w:sz w:val="22"/>
          <w:szCs w:val="22"/>
          <w:lang w:val="en-GB" w:eastAsia="en-GB"/>
        </w:rPr>
      </w:pPr>
      <w:hyperlink w:anchor="_Toc67419130" w:history="1">
        <w:r w:rsidR="00A65192">
          <w:rPr>
            <w:rStyle w:val="Hyperlink"/>
            <w:rFonts w:cs="Arial"/>
            <w:noProof/>
            <w:sz w:val="22"/>
            <w:szCs w:val="22"/>
          </w:rPr>
          <w:t>4. Recording and reporting</w:t>
        </w:r>
        <w:r w:rsidR="00A65192">
          <w:rPr>
            <w:rFonts w:cs="Arial"/>
            <w:noProof/>
            <w:webHidden/>
            <w:sz w:val="22"/>
            <w:szCs w:val="22"/>
          </w:rPr>
          <w:tab/>
          <w:t>4</w:t>
        </w:r>
      </w:hyperlink>
    </w:p>
    <w:p w14:paraId="0F81EFF0" w14:textId="77777777" w:rsidR="00A65192" w:rsidRDefault="00000000">
      <w:pPr>
        <w:pStyle w:val="TOC1"/>
        <w:tabs>
          <w:tab w:val="right" w:leader="dot" w:pos="9736"/>
        </w:tabs>
        <w:rPr>
          <w:rFonts w:eastAsia="Times New Roman" w:cs="Arial"/>
          <w:noProof/>
          <w:sz w:val="22"/>
          <w:szCs w:val="22"/>
          <w:lang w:val="en-GB" w:eastAsia="en-GB"/>
        </w:rPr>
      </w:pPr>
      <w:hyperlink w:anchor="_Toc67419131" w:history="1">
        <w:r w:rsidR="00A65192">
          <w:rPr>
            <w:rStyle w:val="Hyperlink"/>
            <w:rFonts w:cs="Arial"/>
            <w:noProof/>
            <w:sz w:val="22"/>
            <w:szCs w:val="22"/>
          </w:rPr>
          <w:t>5. Inclusion</w:t>
        </w:r>
        <w:r w:rsidR="00A65192">
          <w:rPr>
            <w:rFonts w:cs="Arial"/>
            <w:noProof/>
            <w:webHidden/>
            <w:sz w:val="22"/>
            <w:szCs w:val="22"/>
          </w:rPr>
          <w:tab/>
          <w:t>5</w:t>
        </w:r>
      </w:hyperlink>
    </w:p>
    <w:p w14:paraId="06DE8011" w14:textId="77777777" w:rsidR="00A65192" w:rsidRDefault="00000000">
      <w:pPr>
        <w:pStyle w:val="TOC1"/>
        <w:tabs>
          <w:tab w:val="right" w:leader="dot" w:pos="9736"/>
        </w:tabs>
        <w:rPr>
          <w:rFonts w:eastAsia="Times New Roman" w:cs="Arial"/>
          <w:noProof/>
          <w:sz w:val="22"/>
          <w:szCs w:val="22"/>
          <w:lang w:val="en-GB" w:eastAsia="en-GB"/>
        </w:rPr>
      </w:pPr>
      <w:hyperlink w:anchor="_Toc67419132" w:history="1">
        <w:r w:rsidR="00A65192">
          <w:rPr>
            <w:rStyle w:val="Hyperlink"/>
            <w:rFonts w:cs="Arial"/>
            <w:noProof/>
            <w:sz w:val="22"/>
            <w:szCs w:val="22"/>
          </w:rPr>
          <w:t>6. Training</w:t>
        </w:r>
        <w:r w:rsidR="00A65192">
          <w:rPr>
            <w:rFonts w:cs="Arial"/>
            <w:noProof/>
            <w:webHidden/>
            <w:sz w:val="22"/>
            <w:szCs w:val="22"/>
          </w:rPr>
          <w:tab/>
          <w:t>5</w:t>
        </w:r>
      </w:hyperlink>
    </w:p>
    <w:p w14:paraId="20E3B04B" w14:textId="77777777" w:rsidR="00A65192" w:rsidRDefault="00000000">
      <w:pPr>
        <w:pStyle w:val="TOC1"/>
        <w:tabs>
          <w:tab w:val="right" w:leader="dot" w:pos="9736"/>
        </w:tabs>
        <w:rPr>
          <w:rFonts w:eastAsia="Times New Roman" w:cs="Arial"/>
          <w:noProof/>
          <w:sz w:val="22"/>
          <w:szCs w:val="22"/>
          <w:lang w:val="en-GB" w:eastAsia="en-GB"/>
        </w:rPr>
      </w:pPr>
      <w:hyperlink w:anchor="_Toc67419133" w:history="1">
        <w:r w:rsidR="00A65192">
          <w:rPr>
            <w:rStyle w:val="Hyperlink"/>
            <w:rFonts w:cs="Arial"/>
            <w:noProof/>
            <w:sz w:val="22"/>
            <w:szCs w:val="22"/>
          </w:rPr>
          <w:t>7. Roles and responsibilities</w:t>
        </w:r>
        <w:r w:rsidR="00A65192">
          <w:rPr>
            <w:rFonts w:cs="Arial"/>
            <w:noProof/>
            <w:webHidden/>
            <w:sz w:val="22"/>
            <w:szCs w:val="22"/>
          </w:rPr>
          <w:tab/>
          <w:t>5-6</w:t>
        </w:r>
      </w:hyperlink>
    </w:p>
    <w:p w14:paraId="59EEF5DA" w14:textId="77777777" w:rsidR="00A65192" w:rsidRDefault="00000000">
      <w:pPr>
        <w:pStyle w:val="TOC1"/>
        <w:tabs>
          <w:tab w:val="right" w:leader="dot" w:pos="9736"/>
        </w:tabs>
        <w:rPr>
          <w:rFonts w:eastAsia="Times New Roman" w:cs="Arial"/>
          <w:noProof/>
          <w:sz w:val="22"/>
          <w:szCs w:val="22"/>
          <w:lang w:val="en-GB" w:eastAsia="en-GB"/>
        </w:rPr>
      </w:pPr>
      <w:hyperlink w:anchor="_Toc67419134" w:history="1">
        <w:r w:rsidR="00A65192">
          <w:rPr>
            <w:rStyle w:val="Hyperlink"/>
            <w:rFonts w:cs="Arial"/>
            <w:noProof/>
            <w:sz w:val="22"/>
            <w:szCs w:val="22"/>
          </w:rPr>
          <w:t>8. Monitoring</w:t>
        </w:r>
        <w:r w:rsidR="00A65192">
          <w:rPr>
            <w:rFonts w:cs="Arial"/>
            <w:noProof/>
            <w:webHidden/>
            <w:sz w:val="22"/>
            <w:szCs w:val="22"/>
          </w:rPr>
          <w:tab/>
          <w:t>6</w:t>
        </w:r>
      </w:hyperlink>
    </w:p>
    <w:p w14:paraId="3F5A8669" w14:textId="77777777" w:rsidR="00A65192" w:rsidRDefault="00A65192">
      <w:pPr>
        <w:pStyle w:val="TOC1"/>
        <w:tabs>
          <w:tab w:val="right" w:leader="dot" w:pos="9736"/>
        </w:tabs>
        <w:rPr>
          <w:rFonts w:eastAsia="Times New Roman" w:cs="Arial"/>
          <w:noProof/>
          <w:sz w:val="22"/>
          <w:szCs w:val="22"/>
          <w:lang w:val="en-GB" w:eastAsia="en-GB"/>
        </w:rPr>
      </w:pPr>
    </w:p>
    <w:p w14:paraId="0EE3384C" w14:textId="77777777" w:rsidR="00A65192" w:rsidRDefault="00A65192">
      <w:pPr>
        <w:pStyle w:val="1bodycopy10pt"/>
        <w:rPr>
          <w:rFonts w:cs="Arial"/>
          <w:noProof/>
          <w:sz w:val="22"/>
          <w:szCs w:val="22"/>
        </w:rPr>
      </w:pPr>
      <w:r>
        <w:rPr>
          <w:rFonts w:cs="Arial"/>
          <w:noProof/>
          <w:sz w:val="22"/>
          <w:szCs w:val="22"/>
        </w:rPr>
        <w:fldChar w:fldCharType="end"/>
      </w:r>
    </w:p>
    <w:p w14:paraId="3DF38065" w14:textId="77777777" w:rsidR="00A65192" w:rsidRDefault="00000000">
      <w:pPr>
        <w:pStyle w:val="1bodycopy10pt"/>
        <w:rPr>
          <w:rFonts w:cs="Arial"/>
          <w:noProof/>
          <w:sz w:val="22"/>
          <w:szCs w:val="22"/>
        </w:rPr>
      </w:pPr>
      <w:r>
        <w:rPr>
          <w:rFonts w:cs="Arial"/>
          <w:noProof/>
          <w:sz w:val="22"/>
          <w:szCs w:val="22"/>
        </w:rPr>
        <w:pict w14:anchorId="6AFD5FD7">
          <v:line id="Straight Connector 5" o:spid="_x0000_s2054" style="position:absolute;flip:y;z-index:1;visibility:visible;mso-wrap-distance-top:-3e-5mm;mso-wrap-distance-bottom:-3e-5mm;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w:r>
    </w:p>
    <w:p w14:paraId="419172CA" w14:textId="77777777" w:rsidR="00A65192" w:rsidRDefault="00A65192">
      <w:pPr>
        <w:pStyle w:val="Heading1"/>
        <w:rPr>
          <w:color w:val="auto"/>
          <w:sz w:val="22"/>
          <w:szCs w:val="22"/>
        </w:rPr>
      </w:pPr>
      <w:bookmarkStart w:id="0" w:name="_Toc67419125"/>
      <w:r>
        <w:rPr>
          <w:color w:val="auto"/>
          <w:sz w:val="22"/>
          <w:szCs w:val="22"/>
        </w:rPr>
        <w:t>1. Aims</w:t>
      </w:r>
      <w:bookmarkEnd w:id="0"/>
    </w:p>
    <w:p w14:paraId="03ED8FE5" w14:textId="77777777" w:rsidR="00A65192" w:rsidRDefault="00A65192">
      <w:pPr>
        <w:pStyle w:val="1bodycopy10pt"/>
        <w:rPr>
          <w:rFonts w:cs="Arial"/>
          <w:sz w:val="22"/>
          <w:szCs w:val="22"/>
        </w:rPr>
      </w:pPr>
      <w:r>
        <w:rPr>
          <w:rFonts w:cs="Arial"/>
          <w:sz w:val="22"/>
          <w:szCs w:val="22"/>
        </w:rPr>
        <w:t>This policy aims to:</w:t>
      </w:r>
    </w:p>
    <w:p w14:paraId="4BB5F5DE" w14:textId="77777777" w:rsidR="00A65192" w:rsidRDefault="00A65192">
      <w:pPr>
        <w:pStyle w:val="4Bulletedcopyblue"/>
        <w:rPr>
          <w:sz w:val="22"/>
          <w:szCs w:val="22"/>
          <w:lang w:val="en-GB"/>
        </w:rPr>
      </w:pPr>
      <w:r>
        <w:rPr>
          <w:sz w:val="22"/>
          <w:szCs w:val="22"/>
          <w:lang w:val="en-GB"/>
        </w:rPr>
        <w:t xml:space="preserve">Provide clear guidelines on our approach to formative and summative </w:t>
      </w:r>
      <w:proofErr w:type="gramStart"/>
      <w:r>
        <w:rPr>
          <w:sz w:val="22"/>
          <w:szCs w:val="22"/>
          <w:lang w:val="en-GB"/>
        </w:rPr>
        <w:t>assessment</w:t>
      </w:r>
      <w:proofErr w:type="gramEnd"/>
    </w:p>
    <w:p w14:paraId="1EA62FE6" w14:textId="77777777" w:rsidR="00A65192" w:rsidRDefault="00A65192">
      <w:pPr>
        <w:pStyle w:val="4Bulletedcopyblue"/>
        <w:rPr>
          <w:sz w:val="22"/>
          <w:szCs w:val="22"/>
          <w:lang w:val="en-GB"/>
        </w:rPr>
      </w:pPr>
      <w:r>
        <w:rPr>
          <w:sz w:val="22"/>
          <w:szCs w:val="22"/>
          <w:lang w:val="en-GB"/>
        </w:rPr>
        <w:t xml:space="preserve">Establish a consistent and coherent approach to recording summative assessment outcomes and reporting to </w:t>
      </w:r>
      <w:proofErr w:type="gramStart"/>
      <w:r>
        <w:rPr>
          <w:sz w:val="22"/>
          <w:szCs w:val="22"/>
          <w:lang w:val="en-GB"/>
        </w:rPr>
        <w:t>parents</w:t>
      </w:r>
      <w:proofErr w:type="gramEnd"/>
    </w:p>
    <w:p w14:paraId="688853C2" w14:textId="77777777" w:rsidR="00A65192" w:rsidRDefault="00A65192">
      <w:pPr>
        <w:pStyle w:val="4Bulletedcopyblue"/>
        <w:rPr>
          <w:sz w:val="22"/>
          <w:szCs w:val="22"/>
          <w:lang w:val="en-GB"/>
        </w:rPr>
      </w:pPr>
      <w:r>
        <w:rPr>
          <w:sz w:val="22"/>
          <w:szCs w:val="22"/>
          <w:lang w:val="en-GB"/>
        </w:rPr>
        <w:t xml:space="preserve">Clearly set out how and when assessment practice will be monitored and </w:t>
      </w:r>
      <w:proofErr w:type="gramStart"/>
      <w:r>
        <w:rPr>
          <w:sz w:val="22"/>
          <w:szCs w:val="22"/>
          <w:lang w:val="en-GB"/>
        </w:rPr>
        <w:t>evaluated</w:t>
      </w:r>
      <w:proofErr w:type="gramEnd"/>
    </w:p>
    <w:p w14:paraId="51022513" w14:textId="77777777" w:rsidR="00A65192" w:rsidRDefault="00A65192">
      <w:pPr>
        <w:pStyle w:val="1bodycopy10pt"/>
        <w:rPr>
          <w:rFonts w:cs="Arial"/>
          <w:sz w:val="22"/>
          <w:szCs w:val="22"/>
        </w:rPr>
      </w:pPr>
    </w:p>
    <w:p w14:paraId="5A551D72" w14:textId="77777777" w:rsidR="00A65192" w:rsidRDefault="00A65192">
      <w:pPr>
        <w:pStyle w:val="Heading1"/>
        <w:rPr>
          <w:color w:val="auto"/>
          <w:sz w:val="22"/>
          <w:szCs w:val="22"/>
        </w:rPr>
      </w:pPr>
      <w:bookmarkStart w:id="1" w:name="_Toc531168964"/>
      <w:bookmarkStart w:id="2" w:name="_Toc67419128"/>
      <w:r>
        <w:rPr>
          <w:color w:val="auto"/>
          <w:sz w:val="22"/>
          <w:szCs w:val="22"/>
        </w:rPr>
        <w:t xml:space="preserve">2. </w:t>
      </w:r>
      <w:bookmarkEnd w:id="1"/>
      <w:r>
        <w:rPr>
          <w:color w:val="auto"/>
          <w:sz w:val="22"/>
          <w:szCs w:val="22"/>
        </w:rPr>
        <w:t>Assessment approaches</w:t>
      </w:r>
      <w:bookmarkEnd w:id="2"/>
    </w:p>
    <w:p w14:paraId="0E578C90" w14:textId="77777777" w:rsidR="00A65192" w:rsidRDefault="00A65192">
      <w:pPr>
        <w:pStyle w:val="1bodycopy10pt"/>
        <w:rPr>
          <w:rFonts w:cs="Arial"/>
          <w:sz w:val="22"/>
          <w:szCs w:val="22"/>
          <w:lang w:val="en-GB"/>
        </w:rPr>
      </w:pPr>
      <w:r>
        <w:rPr>
          <w:rFonts w:cs="Arial"/>
          <w:sz w:val="22"/>
          <w:szCs w:val="22"/>
          <w:lang w:val="en-GB"/>
        </w:rPr>
        <w:t xml:space="preserve">At </w:t>
      </w:r>
      <w:r>
        <w:rPr>
          <w:rFonts w:cs="Arial"/>
          <w:sz w:val="22"/>
          <w:szCs w:val="22"/>
          <w:shd w:val="clear" w:color="auto" w:fill="FFFFFF"/>
          <w:lang w:val="en-GB"/>
        </w:rPr>
        <w:t>Tottington High School</w:t>
      </w:r>
      <w:r>
        <w:rPr>
          <w:rFonts w:cs="Arial"/>
          <w:sz w:val="22"/>
          <w:szCs w:val="22"/>
          <w:lang w:val="en-GB"/>
        </w:rPr>
        <w:t xml:space="preserve"> we</w:t>
      </w:r>
      <w:r>
        <w:rPr>
          <w:rFonts w:cs="Arial"/>
          <w:sz w:val="22"/>
          <w:szCs w:val="22"/>
        </w:rPr>
        <w:t xml:space="preserve"> see assessment as an integral part of teaching and learning, and it is inextricably linked to our curriculum.</w:t>
      </w:r>
    </w:p>
    <w:p w14:paraId="4FB8243D" w14:textId="77777777" w:rsidR="00A65192" w:rsidRDefault="00A65192">
      <w:pPr>
        <w:pStyle w:val="1bodycopy10pt"/>
        <w:rPr>
          <w:rFonts w:cs="Arial"/>
          <w:sz w:val="22"/>
          <w:szCs w:val="22"/>
          <w:lang w:val="en-GB"/>
        </w:rPr>
      </w:pPr>
      <w:r>
        <w:rPr>
          <w:rFonts w:cs="Arial"/>
          <w:sz w:val="22"/>
          <w:szCs w:val="22"/>
          <w:lang w:val="en-GB"/>
        </w:rPr>
        <w:t>We use 3 broad overarching forms of assessment: day-to-day in-school formative assessment, in-school summative assessment and nationally standardised summative assessment.</w:t>
      </w:r>
    </w:p>
    <w:p w14:paraId="66530D47" w14:textId="77777777" w:rsidR="00A65192" w:rsidRDefault="00A65192">
      <w:pPr>
        <w:pStyle w:val="Subhead2"/>
        <w:rPr>
          <w:rFonts w:cs="Arial"/>
          <w:sz w:val="22"/>
          <w:szCs w:val="22"/>
        </w:rPr>
      </w:pPr>
      <w:r>
        <w:rPr>
          <w:rFonts w:cs="Arial"/>
          <w:sz w:val="22"/>
          <w:szCs w:val="22"/>
        </w:rPr>
        <w:t>2.1 In-school formative assessment</w:t>
      </w:r>
    </w:p>
    <w:p w14:paraId="1B3143D2" w14:textId="77777777" w:rsidR="00A65192" w:rsidRDefault="00A65192">
      <w:pPr>
        <w:pStyle w:val="1bodycopy10pt"/>
        <w:rPr>
          <w:rFonts w:cs="Arial"/>
          <w:sz w:val="22"/>
          <w:szCs w:val="22"/>
          <w:lang w:val="en-GB"/>
        </w:rPr>
      </w:pPr>
      <w:r>
        <w:rPr>
          <w:rFonts w:cs="Arial"/>
          <w:sz w:val="22"/>
          <w:szCs w:val="22"/>
          <w:lang w:val="en-GB"/>
        </w:rPr>
        <w:t>Effective in-school formative assessment enables:</w:t>
      </w:r>
    </w:p>
    <w:p w14:paraId="4C039FC3" w14:textId="77777777" w:rsidR="00A65192" w:rsidRDefault="00A65192">
      <w:pPr>
        <w:pStyle w:val="4Bulletedcopyblue"/>
        <w:rPr>
          <w:sz w:val="22"/>
          <w:szCs w:val="22"/>
          <w:lang w:val="en-GB"/>
        </w:rPr>
      </w:pPr>
      <w:r>
        <w:rPr>
          <w:b/>
          <w:sz w:val="22"/>
          <w:szCs w:val="22"/>
          <w:lang w:val="en-GB"/>
        </w:rPr>
        <w:t>Teachers</w:t>
      </w:r>
      <w:r>
        <w:rPr>
          <w:sz w:val="22"/>
          <w:szCs w:val="22"/>
          <w:lang w:val="en-GB"/>
        </w:rPr>
        <w:t xml:space="preserve"> to identify how students are performing on a continuing basis and to use this information to provide appropriate support or extension, evaluate teaching and plan future </w:t>
      </w:r>
      <w:proofErr w:type="gramStart"/>
      <w:r>
        <w:rPr>
          <w:sz w:val="22"/>
          <w:szCs w:val="22"/>
          <w:lang w:val="en-GB"/>
        </w:rPr>
        <w:t>lessons</w:t>
      </w:r>
      <w:proofErr w:type="gramEnd"/>
    </w:p>
    <w:p w14:paraId="4214D8D3" w14:textId="77777777" w:rsidR="00A65192" w:rsidRDefault="00A65192">
      <w:pPr>
        <w:pStyle w:val="4Bulletedcopyblue"/>
        <w:rPr>
          <w:sz w:val="22"/>
          <w:szCs w:val="22"/>
          <w:lang w:val="en-GB"/>
        </w:rPr>
      </w:pPr>
      <w:r>
        <w:rPr>
          <w:b/>
          <w:sz w:val="22"/>
          <w:szCs w:val="22"/>
          <w:lang w:val="en-GB"/>
        </w:rPr>
        <w:t>Students</w:t>
      </w:r>
      <w:r>
        <w:rPr>
          <w:sz w:val="22"/>
          <w:szCs w:val="22"/>
          <w:lang w:val="en-GB"/>
        </w:rPr>
        <w:t xml:space="preserve"> to measure their knowledge and understanding against learning objectives, and identify areas in which they need to </w:t>
      </w:r>
      <w:proofErr w:type="gramStart"/>
      <w:r>
        <w:rPr>
          <w:sz w:val="22"/>
          <w:szCs w:val="22"/>
          <w:lang w:val="en-GB"/>
        </w:rPr>
        <w:t>improve</w:t>
      </w:r>
      <w:proofErr w:type="gramEnd"/>
    </w:p>
    <w:p w14:paraId="34CF0074" w14:textId="77777777" w:rsidR="00A65192" w:rsidRDefault="00A65192">
      <w:pPr>
        <w:pStyle w:val="4Bulletedcopyblue"/>
        <w:rPr>
          <w:sz w:val="22"/>
          <w:szCs w:val="22"/>
          <w:lang w:val="en-GB"/>
        </w:rPr>
      </w:pPr>
      <w:r>
        <w:rPr>
          <w:b/>
          <w:sz w:val="22"/>
          <w:szCs w:val="22"/>
          <w:lang w:val="en-GB"/>
        </w:rPr>
        <w:t>Parents</w:t>
      </w:r>
      <w:r>
        <w:rPr>
          <w:sz w:val="22"/>
          <w:szCs w:val="22"/>
          <w:lang w:val="en-GB"/>
        </w:rPr>
        <w:t xml:space="preserve"> to gain a broad picture of where their child’s strengths and weaknesses lie, and what they need to do to </w:t>
      </w:r>
      <w:proofErr w:type="gramStart"/>
      <w:r>
        <w:rPr>
          <w:sz w:val="22"/>
          <w:szCs w:val="22"/>
          <w:lang w:val="en-GB"/>
        </w:rPr>
        <w:t>improve</w:t>
      </w:r>
      <w:proofErr w:type="gramEnd"/>
    </w:p>
    <w:p w14:paraId="045127E7" w14:textId="77777777" w:rsidR="00A65192" w:rsidRDefault="00A65192">
      <w:pPr>
        <w:pStyle w:val="4Bulletedcopyblue"/>
        <w:numPr>
          <w:ilvl w:val="0"/>
          <w:numId w:val="0"/>
        </w:numPr>
        <w:ind w:left="170"/>
        <w:rPr>
          <w:b/>
          <w:sz w:val="22"/>
          <w:szCs w:val="22"/>
          <w:lang w:val="en-GB"/>
        </w:rPr>
      </w:pPr>
    </w:p>
    <w:p w14:paraId="38748084" w14:textId="5C68032C" w:rsidR="00A65192" w:rsidRDefault="0FD2B956">
      <w:pPr>
        <w:pStyle w:val="4Bulletedcopyblue"/>
        <w:numPr>
          <w:ilvl w:val="0"/>
          <w:numId w:val="0"/>
        </w:numPr>
        <w:ind w:left="170"/>
        <w:rPr>
          <w:sz w:val="22"/>
          <w:szCs w:val="22"/>
          <w:lang w:val="en-GB"/>
        </w:rPr>
      </w:pPr>
      <w:r w:rsidRPr="45FED910">
        <w:rPr>
          <w:sz w:val="22"/>
          <w:szCs w:val="22"/>
          <w:lang w:val="en-GB"/>
        </w:rPr>
        <w:t>Formative Assessment involves the ongoing monitoring of student progress that shapes future lesson planning and intervention. This is not graded, with the focus instead on positive actionable feedback to help students “close the gap” between their current and potential attainment (or challenge their learning further). Examples include, but are not limited to; verbal feedback,</w:t>
      </w:r>
      <w:r w:rsidR="2950E65C" w:rsidRPr="45FED910">
        <w:rPr>
          <w:sz w:val="22"/>
          <w:szCs w:val="22"/>
          <w:lang w:val="en-GB"/>
        </w:rPr>
        <w:t xml:space="preserve"> retrieval practice, quizzing,</w:t>
      </w:r>
      <w:r w:rsidRPr="45FED910">
        <w:rPr>
          <w:sz w:val="22"/>
          <w:szCs w:val="22"/>
          <w:lang w:val="en-GB"/>
        </w:rPr>
        <w:t xml:space="preserve"> questioning, self and peer-assessment, targeted skills/subject specific </w:t>
      </w:r>
      <w:r w:rsidRPr="45FED910">
        <w:rPr>
          <w:sz w:val="22"/>
          <w:szCs w:val="22"/>
          <w:lang w:val="en-GB"/>
        </w:rPr>
        <w:lastRenderedPageBreak/>
        <w:t xml:space="preserve">content, observations. Recommended formative assessment strategies are identified in each subject’s Schemes of Learning.  Students in Key Stage 3 </w:t>
      </w:r>
      <w:proofErr w:type="gramStart"/>
      <w:r w:rsidRPr="45FED910">
        <w:rPr>
          <w:sz w:val="22"/>
          <w:szCs w:val="22"/>
          <w:lang w:val="en-GB"/>
        </w:rPr>
        <w:t>are able to</w:t>
      </w:r>
      <w:proofErr w:type="gramEnd"/>
      <w:r w:rsidRPr="45FED910">
        <w:rPr>
          <w:sz w:val="22"/>
          <w:szCs w:val="22"/>
          <w:lang w:val="en-GB"/>
        </w:rPr>
        <w:t xml:space="preserve"> track their individual progress with the use of their </w:t>
      </w:r>
      <w:r w:rsidRPr="45FED910">
        <w:rPr>
          <w:b/>
          <w:bCs/>
          <w:sz w:val="22"/>
          <w:szCs w:val="22"/>
          <w:lang w:val="en-GB"/>
        </w:rPr>
        <w:t xml:space="preserve">Progress Trackers.  </w:t>
      </w:r>
      <w:r w:rsidRPr="45FED910">
        <w:rPr>
          <w:sz w:val="22"/>
          <w:szCs w:val="22"/>
          <w:lang w:val="en-GB"/>
        </w:rPr>
        <w:t xml:space="preserve">Every student will have a different </w:t>
      </w:r>
      <w:r w:rsidRPr="45FED910">
        <w:rPr>
          <w:b/>
          <w:bCs/>
          <w:sz w:val="22"/>
          <w:szCs w:val="22"/>
          <w:lang w:val="en-GB"/>
        </w:rPr>
        <w:t>Progress Tracker</w:t>
      </w:r>
      <w:r w:rsidRPr="45FED910">
        <w:rPr>
          <w:sz w:val="22"/>
          <w:szCs w:val="22"/>
          <w:lang w:val="en-GB"/>
        </w:rPr>
        <w:t xml:space="preserve"> for each subject area and will use this to identify areas that they need to improve</w:t>
      </w:r>
      <w:r w:rsidR="08BA8F2A" w:rsidRPr="45FED910">
        <w:rPr>
          <w:sz w:val="22"/>
          <w:szCs w:val="22"/>
          <w:lang w:val="en-GB"/>
        </w:rPr>
        <w:t>.</w:t>
      </w:r>
    </w:p>
    <w:p w14:paraId="68731940" w14:textId="77777777" w:rsidR="00A65192" w:rsidRDefault="00A65192">
      <w:pPr>
        <w:pStyle w:val="Subhead2"/>
        <w:rPr>
          <w:rFonts w:cs="Arial"/>
          <w:sz w:val="22"/>
          <w:szCs w:val="22"/>
        </w:rPr>
      </w:pPr>
      <w:r>
        <w:rPr>
          <w:rFonts w:cs="Arial"/>
          <w:sz w:val="22"/>
          <w:szCs w:val="22"/>
        </w:rPr>
        <w:t>2.2 In-school summative assessment</w:t>
      </w:r>
    </w:p>
    <w:p w14:paraId="229C892A" w14:textId="77777777" w:rsidR="00A65192" w:rsidRDefault="00A65192">
      <w:pPr>
        <w:pStyle w:val="1bodycopy10pt"/>
        <w:rPr>
          <w:rFonts w:cs="Arial"/>
          <w:sz w:val="22"/>
          <w:szCs w:val="22"/>
          <w:lang w:val="en-GB"/>
        </w:rPr>
      </w:pPr>
      <w:r>
        <w:rPr>
          <w:rFonts w:cs="Arial"/>
          <w:sz w:val="22"/>
          <w:szCs w:val="22"/>
          <w:lang w:val="en-GB"/>
        </w:rPr>
        <w:t>Effective in-school summative assessment enables:</w:t>
      </w:r>
    </w:p>
    <w:p w14:paraId="6A46CCB9" w14:textId="77777777" w:rsidR="00A65192" w:rsidRDefault="00A65192">
      <w:pPr>
        <w:pStyle w:val="4Bulletedcopyblue"/>
        <w:rPr>
          <w:b/>
          <w:sz w:val="22"/>
          <w:szCs w:val="22"/>
          <w:lang w:val="en-GB"/>
        </w:rPr>
      </w:pPr>
      <w:r>
        <w:rPr>
          <w:b/>
          <w:sz w:val="22"/>
          <w:szCs w:val="22"/>
          <w:lang w:val="en-GB"/>
        </w:rPr>
        <w:t xml:space="preserve">School leaders </w:t>
      </w:r>
      <w:r>
        <w:rPr>
          <w:sz w:val="22"/>
          <w:szCs w:val="22"/>
          <w:lang w:val="en-GB"/>
        </w:rPr>
        <w:t xml:space="preserve">to monitor the performance of student cohorts, identify where interventions may be required, and work with teachers to ensure students are supported to achieve sufficient progress and </w:t>
      </w:r>
      <w:proofErr w:type="gramStart"/>
      <w:r>
        <w:rPr>
          <w:sz w:val="22"/>
          <w:szCs w:val="22"/>
          <w:lang w:val="en-GB"/>
        </w:rPr>
        <w:t>attainment</w:t>
      </w:r>
      <w:proofErr w:type="gramEnd"/>
    </w:p>
    <w:p w14:paraId="3928C573" w14:textId="77777777" w:rsidR="00A65192" w:rsidRDefault="00A65192">
      <w:pPr>
        <w:pStyle w:val="4Bulletedcopyblue"/>
        <w:rPr>
          <w:b/>
          <w:sz w:val="22"/>
          <w:szCs w:val="22"/>
          <w:lang w:val="en-GB"/>
        </w:rPr>
      </w:pPr>
      <w:r>
        <w:rPr>
          <w:b/>
          <w:sz w:val="22"/>
          <w:szCs w:val="22"/>
          <w:lang w:val="en-GB"/>
        </w:rPr>
        <w:t xml:space="preserve">Teachers </w:t>
      </w:r>
      <w:r>
        <w:rPr>
          <w:sz w:val="22"/>
          <w:szCs w:val="22"/>
          <w:lang w:val="en-GB"/>
        </w:rPr>
        <w:t xml:space="preserve">to evaluate learning at the end of a unit or period and the impact of their own </w:t>
      </w:r>
      <w:proofErr w:type="gramStart"/>
      <w:r>
        <w:rPr>
          <w:sz w:val="22"/>
          <w:szCs w:val="22"/>
          <w:lang w:val="en-GB"/>
        </w:rPr>
        <w:t>teaching</w:t>
      </w:r>
      <w:proofErr w:type="gramEnd"/>
    </w:p>
    <w:p w14:paraId="6C2BAA5C" w14:textId="77777777" w:rsidR="00A65192" w:rsidRDefault="00A65192">
      <w:pPr>
        <w:pStyle w:val="4Bulletedcopyblue"/>
        <w:rPr>
          <w:b/>
          <w:sz w:val="22"/>
          <w:szCs w:val="22"/>
          <w:lang w:val="en-GB"/>
        </w:rPr>
      </w:pPr>
      <w:r>
        <w:rPr>
          <w:b/>
          <w:sz w:val="22"/>
          <w:szCs w:val="22"/>
          <w:lang w:val="en-GB"/>
        </w:rPr>
        <w:t xml:space="preserve">Students </w:t>
      </w:r>
      <w:r>
        <w:rPr>
          <w:sz w:val="22"/>
          <w:szCs w:val="22"/>
          <w:lang w:val="en-GB"/>
        </w:rPr>
        <w:t xml:space="preserve">to understand how well they have learned and understood a topic or course of work taught over </w:t>
      </w:r>
      <w:proofErr w:type="gramStart"/>
      <w:r>
        <w:rPr>
          <w:sz w:val="22"/>
          <w:szCs w:val="22"/>
          <w:lang w:val="en-GB"/>
        </w:rPr>
        <w:t>a period of time</w:t>
      </w:r>
      <w:proofErr w:type="gramEnd"/>
      <w:r>
        <w:rPr>
          <w:sz w:val="22"/>
          <w:szCs w:val="22"/>
          <w:lang w:val="en-GB"/>
        </w:rPr>
        <w:t xml:space="preserve">. It should be used to provide feedback on how they can </w:t>
      </w:r>
      <w:proofErr w:type="gramStart"/>
      <w:r>
        <w:rPr>
          <w:sz w:val="22"/>
          <w:szCs w:val="22"/>
          <w:lang w:val="en-GB"/>
        </w:rPr>
        <w:t>improve</w:t>
      </w:r>
      <w:proofErr w:type="gramEnd"/>
    </w:p>
    <w:p w14:paraId="6233869A" w14:textId="77777777" w:rsidR="00A65192" w:rsidRDefault="00A65192">
      <w:pPr>
        <w:pStyle w:val="4Bulletedcopyblue"/>
        <w:rPr>
          <w:sz w:val="22"/>
          <w:szCs w:val="22"/>
          <w:lang w:val="en-GB"/>
        </w:rPr>
      </w:pPr>
      <w:r>
        <w:rPr>
          <w:b/>
          <w:sz w:val="22"/>
          <w:szCs w:val="22"/>
          <w:lang w:val="en-GB"/>
        </w:rPr>
        <w:t xml:space="preserve">Parents </w:t>
      </w:r>
      <w:r>
        <w:rPr>
          <w:sz w:val="22"/>
          <w:szCs w:val="22"/>
          <w:lang w:val="en-GB"/>
        </w:rPr>
        <w:t xml:space="preserve">to stay informed about the achievement, progress and wider outcomes of their child across a </w:t>
      </w:r>
      <w:proofErr w:type="gramStart"/>
      <w:r>
        <w:rPr>
          <w:sz w:val="22"/>
          <w:szCs w:val="22"/>
          <w:lang w:val="en-GB"/>
        </w:rPr>
        <w:t>period</w:t>
      </w:r>
      <w:proofErr w:type="gramEnd"/>
    </w:p>
    <w:p w14:paraId="6DBFB376" w14:textId="77777777" w:rsidR="00A65192" w:rsidRDefault="00A65192">
      <w:pPr>
        <w:pStyle w:val="4Bulletedcopyblue"/>
        <w:numPr>
          <w:ilvl w:val="0"/>
          <w:numId w:val="0"/>
        </w:numPr>
        <w:ind w:left="340"/>
        <w:rPr>
          <w:sz w:val="22"/>
          <w:szCs w:val="22"/>
          <w:lang w:val="en-GB"/>
        </w:rPr>
      </w:pPr>
    </w:p>
    <w:p w14:paraId="6E5496D2" w14:textId="77777777" w:rsidR="00A65192" w:rsidRDefault="00A65192">
      <w:pPr>
        <w:pStyle w:val="4Bulletedcopyblue"/>
        <w:numPr>
          <w:ilvl w:val="0"/>
          <w:numId w:val="0"/>
        </w:numPr>
        <w:ind w:left="170"/>
        <w:rPr>
          <w:sz w:val="22"/>
          <w:szCs w:val="22"/>
          <w:lang w:val="en-GB"/>
        </w:rPr>
      </w:pPr>
      <w:r>
        <w:rPr>
          <w:sz w:val="22"/>
          <w:szCs w:val="22"/>
          <w:lang w:val="en-GB"/>
        </w:rPr>
        <w:t xml:space="preserve">Summative Assessment involves designated graded assessment and often comes at the end of a topic or course including, but not limited to; end of topic/course tests, end of Year exams in Year 7, 8 &amp; 9, Pre-Public Exams (PPE’s) in Year 10 &amp; 11 and will form the basis of termly Teacher Assessment Data reports that follow the data assessment Calendar. </w:t>
      </w:r>
    </w:p>
    <w:p w14:paraId="3E2AF84A" w14:textId="77777777" w:rsidR="00A65192" w:rsidRDefault="00A65192">
      <w:pPr>
        <w:pStyle w:val="4Bulletedcopyblue"/>
        <w:numPr>
          <w:ilvl w:val="0"/>
          <w:numId w:val="0"/>
        </w:numPr>
        <w:rPr>
          <w:sz w:val="22"/>
          <w:szCs w:val="22"/>
          <w:lang w:val="en-GB"/>
        </w:rPr>
      </w:pPr>
    </w:p>
    <w:p w14:paraId="11840E6B" w14:textId="77777777" w:rsidR="00A65192" w:rsidRDefault="00A65192">
      <w:pPr>
        <w:pStyle w:val="4Bulletedcopyblue"/>
        <w:numPr>
          <w:ilvl w:val="0"/>
          <w:numId w:val="0"/>
        </w:numPr>
        <w:rPr>
          <w:sz w:val="22"/>
          <w:szCs w:val="22"/>
          <w:lang w:val="en-GB"/>
        </w:rPr>
      </w:pPr>
      <w:r>
        <w:rPr>
          <w:sz w:val="22"/>
          <w:szCs w:val="22"/>
          <w:lang w:val="en-GB"/>
        </w:rPr>
        <w:t xml:space="preserve">Summative assessments could include, but is not limited to any of the following: </w:t>
      </w:r>
    </w:p>
    <w:p w14:paraId="1229E90E" w14:textId="77777777" w:rsidR="00A65192" w:rsidRDefault="00A65192">
      <w:pPr>
        <w:pStyle w:val="4Bulletedcopyblue"/>
        <w:numPr>
          <w:ilvl w:val="0"/>
          <w:numId w:val="0"/>
        </w:numPr>
        <w:ind w:left="170"/>
        <w:rPr>
          <w:sz w:val="22"/>
          <w:szCs w:val="22"/>
          <w:lang w:val="en-GB"/>
        </w:rPr>
      </w:pPr>
      <w:r>
        <w:rPr>
          <w:sz w:val="22"/>
          <w:szCs w:val="22"/>
          <w:lang w:val="en-GB"/>
        </w:rPr>
        <w:t>• sample examination question(s)</w:t>
      </w:r>
    </w:p>
    <w:p w14:paraId="6CDE6AD1" w14:textId="77777777" w:rsidR="00A65192" w:rsidRDefault="00A65192">
      <w:pPr>
        <w:pStyle w:val="4Bulletedcopyblue"/>
        <w:numPr>
          <w:ilvl w:val="0"/>
          <w:numId w:val="0"/>
        </w:numPr>
        <w:ind w:left="170"/>
        <w:rPr>
          <w:sz w:val="22"/>
          <w:szCs w:val="22"/>
          <w:lang w:val="en-GB"/>
        </w:rPr>
      </w:pPr>
      <w:r>
        <w:rPr>
          <w:sz w:val="22"/>
          <w:szCs w:val="22"/>
          <w:lang w:val="en-GB"/>
        </w:rPr>
        <w:t xml:space="preserve">• extended writing tasks </w:t>
      </w:r>
    </w:p>
    <w:p w14:paraId="2BB4BEA0" w14:textId="77777777" w:rsidR="00A65192" w:rsidRDefault="00A65192">
      <w:pPr>
        <w:pStyle w:val="4Bulletedcopyblue"/>
        <w:numPr>
          <w:ilvl w:val="0"/>
          <w:numId w:val="0"/>
        </w:numPr>
        <w:ind w:left="170"/>
        <w:rPr>
          <w:sz w:val="22"/>
          <w:szCs w:val="22"/>
          <w:lang w:val="en-GB"/>
        </w:rPr>
      </w:pPr>
      <w:r>
        <w:rPr>
          <w:sz w:val="22"/>
          <w:szCs w:val="22"/>
          <w:lang w:val="en-GB"/>
        </w:rPr>
        <w:t>• speaking or listening tests</w:t>
      </w:r>
    </w:p>
    <w:p w14:paraId="5001CCC7" w14:textId="77777777" w:rsidR="00A65192" w:rsidRDefault="00A65192">
      <w:pPr>
        <w:pStyle w:val="4Bulletedcopyblue"/>
        <w:numPr>
          <w:ilvl w:val="0"/>
          <w:numId w:val="0"/>
        </w:numPr>
        <w:ind w:left="170"/>
        <w:rPr>
          <w:sz w:val="22"/>
          <w:szCs w:val="22"/>
          <w:lang w:val="en-GB"/>
        </w:rPr>
      </w:pPr>
      <w:r>
        <w:rPr>
          <w:sz w:val="22"/>
          <w:szCs w:val="22"/>
          <w:lang w:val="en-GB"/>
        </w:rPr>
        <w:t xml:space="preserve">• activity or projects to demonstrate skills recently learnt </w:t>
      </w:r>
    </w:p>
    <w:p w14:paraId="7019C129" w14:textId="77777777" w:rsidR="00A65192" w:rsidRDefault="00A65192">
      <w:pPr>
        <w:pStyle w:val="4Bulletedcopyblue"/>
        <w:numPr>
          <w:ilvl w:val="0"/>
          <w:numId w:val="0"/>
        </w:numPr>
        <w:ind w:left="170"/>
        <w:rPr>
          <w:sz w:val="22"/>
          <w:szCs w:val="22"/>
          <w:lang w:val="en-GB"/>
        </w:rPr>
      </w:pPr>
    </w:p>
    <w:p w14:paraId="27143E0D" w14:textId="64638AFD" w:rsidR="00A65192" w:rsidRDefault="0FD2B956">
      <w:pPr>
        <w:pStyle w:val="4Bulletedcopyblue"/>
        <w:numPr>
          <w:ilvl w:val="0"/>
          <w:numId w:val="0"/>
        </w:numPr>
        <w:ind w:left="340" w:hanging="170"/>
        <w:rPr>
          <w:sz w:val="22"/>
          <w:szCs w:val="22"/>
          <w:lang w:val="en-GB"/>
        </w:rPr>
      </w:pPr>
      <w:r w:rsidRPr="45FED910">
        <w:rPr>
          <w:sz w:val="22"/>
          <w:szCs w:val="22"/>
          <w:lang w:val="en-GB"/>
        </w:rPr>
        <w:t xml:space="preserve">Each subject’s Scheme of Learning has specific detail on the nature of each Summative Assessment delivered.  The outcomes of these assessments inform both in year progress and accumulative progress across the student’s career at Tottington.  In Key Stage 3 this is fed back to both students and parents via </w:t>
      </w:r>
      <w:r w:rsidR="5BC7A1FA" w:rsidRPr="45FED910">
        <w:rPr>
          <w:sz w:val="22"/>
          <w:szCs w:val="22"/>
          <w:lang w:val="en-GB"/>
        </w:rPr>
        <w:t>marking and feedback linked to their Progress Trackers and through reports</w:t>
      </w:r>
      <w:r w:rsidRPr="45FED910">
        <w:rPr>
          <w:b/>
          <w:bCs/>
          <w:sz w:val="22"/>
          <w:szCs w:val="22"/>
          <w:lang w:val="en-GB"/>
        </w:rPr>
        <w:t xml:space="preserve">.  </w:t>
      </w:r>
      <w:r w:rsidRPr="45FED910">
        <w:rPr>
          <w:sz w:val="22"/>
          <w:szCs w:val="22"/>
          <w:lang w:val="en-GB"/>
        </w:rPr>
        <w:t xml:space="preserve"> </w:t>
      </w:r>
    </w:p>
    <w:p w14:paraId="4E9D51D0" w14:textId="16A92AF0" w:rsidR="00A65192" w:rsidRDefault="0FD2B956">
      <w:pPr>
        <w:pStyle w:val="4Bulletedcopyblue"/>
        <w:numPr>
          <w:ilvl w:val="0"/>
          <w:numId w:val="0"/>
        </w:numPr>
        <w:ind w:left="340" w:hanging="170"/>
        <w:rPr>
          <w:sz w:val="22"/>
          <w:szCs w:val="22"/>
          <w:lang w:val="en-GB"/>
        </w:rPr>
      </w:pPr>
      <w:r w:rsidRPr="45FED910">
        <w:rPr>
          <w:sz w:val="22"/>
          <w:szCs w:val="22"/>
          <w:lang w:val="en-GB"/>
        </w:rPr>
        <w:t xml:space="preserve">In-school </w:t>
      </w:r>
      <w:r w:rsidR="47630F39" w:rsidRPr="45FED910">
        <w:rPr>
          <w:sz w:val="22"/>
          <w:szCs w:val="22"/>
          <w:lang w:val="en-GB"/>
        </w:rPr>
        <w:t xml:space="preserve">KS4 </w:t>
      </w:r>
      <w:r w:rsidRPr="45FED910">
        <w:rPr>
          <w:sz w:val="22"/>
          <w:szCs w:val="22"/>
          <w:lang w:val="en-GB"/>
        </w:rPr>
        <w:t xml:space="preserve">Summative Assessments are designed by </w:t>
      </w:r>
      <w:r w:rsidR="415C02A6" w:rsidRPr="45FED910">
        <w:rPr>
          <w:sz w:val="22"/>
          <w:szCs w:val="22"/>
          <w:lang w:val="en-GB"/>
        </w:rPr>
        <w:t>Subject Leads</w:t>
      </w:r>
      <w:r w:rsidRPr="45FED910">
        <w:rPr>
          <w:sz w:val="22"/>
          <w:szCs w:val="22"/>
          <w:lang w:val="en-GB"/>
        </w:rPr>
        <w:t xml:space="preserve"> using their GCSE specification material as a basis to ensure that all students will have the knowledge/skills to access their GCSE courses.  </w:t>
      </w:r>
      <w:r w:rsidR="59747B54" w:rsidRPr="45FED910">
        <w:rPr>
          <w:sz w:val="22"/>
          <w:szCs w:val="22"/>
          <w:lang w:val="en-GB"/>
        </w:rPr>
        <w:t xml:space="preserve">At </w:t>
      </w:r>
      <w:r w:rsidRPr="45FED910">
        <w:rPr>
          <w:sz w:val="22"/>
          <w:szCs w:val="22"/>
          <w:lang w:val="en-GB"/>
        </w:rPr>
        <w:t>Key Stage 3</w:t>
      </w:r>
      <w:r w:rsidR="6D92AA70" w:rsidRPr="45FED910">
        <w:rPr>
          <w:sz w:val="22"/>
          <w:szCs w:val="22"/>
          <w:lang w:val="en-GB"/>
        </w:rPr>
        <w:t xml:space="preserve">, summative assessments assess the taught curriculum, </w:t>
      </w:r>
      <w:r w:rsidRPr="45FED910">
        <w:rPr>
          <w:sz w:val="22"/>
          <w:szCs w:val="22"/>
          <w:lang w:val="en-GB"/>
        </w:rPr>
        <w:t>and reflect each subject’s scheme of learning. In-school Summative Assessments are standardised and moderated internally by departments and the Senior Leadership Team.</w:t>
      </w:r>
    </w:p>
    <w:p w14:paraId="04587148" w14:textId="77777777" w:rsidR="00A65192" w:rsidRDefault="00A65192">
      <w:pPr>
        <w:pStyle w:val="Subhead2"/>
        <w:rPr>
          <w:rFonts w:cs="Arial"/>
          <w:sz w:val="22"/>
          <w:szCs w:val="22"/>
          <w:lang w:val="en-GB"/>
        </w:rPr>
      </w:pPr>
      <w:r>
        <w:rPr>
          <w:rFonts w:cs="Arial"/>
          <w:sz w:val="22"/>
          <w:szCs w:val="22"/>
          <w:lang w:val="en-GB"/>
        </w:rPr>
        <w:t>2.3 Nationally standardised summative assessment</w:t>
      </w:r>
    </w:p>
    <w:p w14:paraId="4FFE8D07" w14:textId="77777777" w:rsidR="00A65192" w:rsidRDefault="00A65192">
      <w:pPr>
        <w:pStyle w:val="1bodycopy10pt"/>
        <w:rPr>
          <w:rFonts w:cs="Arial"/>
          <w:sz w:val="22"/>
          <w:szCs w:val="22"/>
          <w:lang w:val="en-GB"/>
        </w:rPr>
      </w:pPr>
      <w:r>
        <w:rPr>
          <w:rFonts w:cs="Arial"/>
          <w:sz w:val="22"/>
          <w:szCs w:val="22"/>
          <w:lang w:val="en-GB"/>
        </w:rPr>
        <w:t>Nationally standardised summative assessment enables:</w:t>
      </w:r>
    </w:p>
    <w:p w14:paraId="73753662" w14:textId="77777777" w:rsidR="00A65192" w:rsidRDefault="00A65192">
      <w:pPr>
        <w:pStyle w:val="4Bulletedcopyblue"/>
        <w:rPr>
          <w:b/>
          <w:sz w:val="22"/>
          <w:szCs w:val="22"/>
          <w:lang w:val="en-GB"/>
        </w:rPr>
      </w:pPr>
      <w:r>
        <w:rPr>
          <w:b/>
          <w:sz w:val="22"/>
          <w:szCs w:val="22"/>
          <w:lang w:val="en-GB"/>
        </w:rPr>
        <w:t xml:space="preserve">School leaders </w:t>
      </w:r>
      <w:r>
        <w:rPr>
          <w:sz w:val="22"/>
          <w:szCs w:val="22"/>
          <w:lang w:val="en-GB"/>
        </w:rPr>
        <w:t xml:space="preserve">to monitor the performance of student cohorts, identify where interventions may be required, and work with teachers to ensure students are supported to achieve sufficient progress and </w:t>
      </w:r>
      <w:proofErr w:type="gramStart"/>
      <w:r>
        <w:rPr>
          <w:sz w:val="22"/>
          <w:szCs w:val="22"/>
          <w:lang w:val="en-GB"/>
        </w:rPr>
        <w:t>attainment</w:t>
      </w:r>
      <w:proofErr w:type="gramEnd"/>
    </w:p>
    <w:p w14:paraId="72B43C91" w14:textId="77777777" w:rsidR="00A65192" w:rsidRDefault="00A65192">
      <w:pPr>
        <w:pStyle w:val="4Bulletedcopyblue"/>
        <w:rPr>
          <w:b/>
          <w:sz w:val="22"/>
          <w:szCs w:val="22"/>
          <w:lang w:val="en-GB"/>
        </w:rPr>
      </w:pPr>
      <w:r>
        <w:rPr>
          <w:b/>
          <w:sz w:val="22"/>
          <w:szCs w:val="22"/>
          <w:lang w:val="en-GB"/>
        </w:rPr>
        <w:lastRenderedPageBreak/>
        <w:t xml:space="preserve">Teachers </w:t>
      </w:r>
      <w:r>
        <w:rPr>
          <w:sz w:val="22"/>
          <w:szCs w:val="22"/>
          <w:lang w:val="en-GB"/>
        </w:rPr>
        <w:t xml:space="preserve">to understand national expectations and assess their own performance in the broader national </w:t>
      </w:r>
      <w:proofErr w:type="gramStart"/>
      <w:r>
        <w:rPr>
          <w:sz w:val="22"/>
          <w:szCs w:val="22"/>
          <w:lang w:val="en-GB"/>
        </w:rPr>
        <w:t>context</w:t>
      </w:r>
      <w:proofErr w:type="gramEnd"/>
    </w:p>
    <w:p w14:paraId="07848755" w14:textId="77777777" w:rsidR="00A65192" w:rsidRDefault="00A65192">
      <w:pPr>
        <w:pStyle w:val="4Bulletedcopyblue"/>
        <w:rPr>
          <w:b/>
          <w:sz w:val="22"/>
          <w:szCs w:val="22"/>
          <w:lang w:val="en-GB"/>
        </w:rPr>
      </w:pPr>
      <w:r>
        <w:rPr>
          <w:b/>
          <w:sz w:val="22"/>
          <w:szCs w:val="22"/>
          <w:lang w:val="en-GB"/>
        </w:rPr>
        <w:t xml:space="preserve">Students and parents </w:t>
      </w:r>
      <w:r>
        <w:rPr>
          <w:sz w:val="22"/>
          <w:szCs w:val="22"/>
          <w:lang w:val="en-GB"/>
        </w:rPr>
        <w:t xml:space="preserve">to understand how students are performing in comparison to students </w:t>
      </w:r>
      <w:proofErr w:type="gramStart"/>
      <w:r>
        <w:rPr>
          <w:sz w:val="22"/>
          <w:szCs w:val="22"/>
          <w:lang w:val="en-GB"/>
        </w:rPr>
        <w:t>nationally</w:t>
      </w:r>
      <w:proofErr w:type="gramEnd"/>
    </w:p>
    <w:p w14:paraId="024876B7" w14:textId="77777777" w:rsidR="00A65192" w:rsidRDefault="00A65192">
      <w:pPr>
        <w:pStyle w:val="1bodycopy10pt"/>
        <w:rPr>
          <w:rFonts w:cs="Arial"/>
          <w:sz w:val="22"/>
          <w:szCs w:val="22"/>
          <w:lang w:val="en-GB"/>
        </w:rPr>
      </w:pPr>
      <w:r>
        <w:rPr>
          <w:rFonts w:cs="Arial"/>
          <w:sz w:val="22"/>
          <w:szCs w:val="22"/>
          <w:lang w:val="en-GB"/>
        </w:rPr>
        <w:t xml:space="preserve">Nationally standardised summative assessments take the form of GCSEs and vocational qualifications at the end of Key Stage </w:t>
      </w:r>
      <w:bookmarkStart w:id="3" w:name="_Toc491427507"/>
      <w:bookmarkStart w:id="4" w:name="_Toc67419129"/>
      <w:r>
        <w:rPr>
          <w:rFonts w:cs="Arial"/>
          <w:sz w:val="22"/>
          <w:szCs w:val="22"/>
          <w:lang w:val="en-GB"/>
        </w:rPr>
        <w:t>4.</w:t>
      </w:r>
    </w:p>
    <w:p w14:paraId="30FEEBC0" w14:textId="77777777" w:rsidR="00A65192" w:rsidRDefault="00A65192">
      <w:pPr>
        <w:pStyle w:val="1bodycopy10pt"/>
        <w:rPr>
          <w:rFonts w:cs="Arial"/>
          <w:sz w:val="22"/>
          <w:szCs w:val="22"/>
          <w:lang w:val="en-GB"/>
        </w:rPr>
      </w:pPr>
    </w:p>
    <w:p w14:paraId="3EA6F11B" w14:textId="77777777" w:rsidR="00A65192" w:rsidRDefault="00A65192">
      <w:pPr>
        <w:pStyle w:val="1bodycopy10pt"/>
        <w:rPr>
          <w:rFonts w:cs="Arial"/>
          <w:b/>
          <w:sz w:val="22"/>
          <w:szCs w:val="22"/>
        </w:rPr>
      </w:pPr>
      <w:r>
        <w:rPr>
          <w:rFonts w:cs="Arial"/>
          <w:b/>
          <w:sz w:val="22"/>
          <w:szCs w:val="22"/>
        </w:rPr>
        <w:t>3. Collecting and using data</w:t>
      </w:r>
      <w:bookmarkEnd w:id="3"/>
      <w:bookmarkEnd w:id="4"/>
    </w:p>
    <w:p w14:paraId="257C66D0" w14:textId="77777777" w:rsidR="00A65192" w:rsidRDefault="00A65192">
      <w:pPr>
        <w:pStyle w:val="1bodycopy10pt"/>
        <w:rPr>
          <w:rFonts w:cs="Arial"/>
          <w:sz w:val="22"/>
          <w:szCs w:val="22"/>
        </w:rPr>
      </w:pPr>
    </w:p>
    <w:p w14:paraId="3080F069" w14:textId="77777777" w:rsidR="00A65192" w:rsidRDefault="00A65192">
      <w:pPr>
        <w:pStyle w:val="4Bulletedcopyblue"/>
        <w:numPr>
          <w:ilvl w:val="0"/>
          <w:numId w:val="0"/>
        </w:numPr>
        <w:ind w:left="170"/>
        <w:rPr>
          <w:sz w:val="22"/>
          <w:szCs w:val="22"/>
          <w:lang w:val="en-GB"/>
        </w:rPr>
      </w:pPr>
      <w:r>
        <w:rPr>
          <w:sz w:val="22"/>
          <w:szCs w:val="22"/>
        </w:rPr>
        <w:t xml:space="preserve">All subjects collect data as part of Tottington High School’s data cycle.  Data will be collected by departments for both formative and summative assessments. Teachers will use the formative data collection </w:t>
      </w:r>
      <w:r>
        <w:rPr>
          <w:sz w:val="22"/>
          <w:szCs w:val="22"/>
          <w:lang w:val="en-GB"/>
        </w:rPr>
        <w:t>to identify how students are performing on a continuing basis and use this information to provide appropriate support or extension, evaluate teaching and plan future lessons.  The summative data collections will be collected departmentally after each end of topic/course test.  These will be used to monitor the performance of the students departmentally and used to identify any interventions that are required – this will be monitored by the senior leadership team and the department’s intervention plans. All subjects will be asked to collate their cumulative summative data for each student and input into the shared school system, three times a year, for each year group and this will then be quality assured by the senior leadership team.  This will then be shared with Shaw Education Trust for further quality assurance.</w:t>
      </w:r>
    </w:p>
    <w:p w14:paraId="5D93C47C" w14:textId="77777777" w:rsidR="00A65192" w:rsidRDefault="00A65192">
      <w:pPr>
        <w:pStyle w:val="1bodycopy10pt"/>
        <w:rPr>
          <w:rFonts w:cs="Arial"/>
          <w:sz w:val="22"/>
          <w:szCs w:val="22"/>
        </w:rPr>
      </w:pPr>
    </w:p>
    <w:p w14:paraId="08E5A8CF" w14:textId="77777777" w:rsidR="00A65192" w:rsidRDefault="00A65192">
      <w:pPr>
        <w:pStyle w:val="Heading1"/>
        <w:rPr>
          <w:color w:val="auto"/>
          <w:sz w:val="22"/>
          <w:szCs w:val="22"/>
        </w:rPr>
      </w:pPr>
      <w:bookmarkStart w:id="5" w:name="_Toc491427508"/>
      <w:bookmarkStart w:id="6" w:name="_Toc67419130"/>
      <w:r>
        <w:rPr>
          <w:color w:val="auto"/>
          <w:sz w:val="22"/>
          <w:szCs w:val="22"/>
        </w:rPr>
        <w:t>4. Re</w:t>
      </w:r>
      <w:bookmarkEnd w:id="5"/>
      <w:bookmarkEnd w:id="6"/>
      <w:r>
        <w:rPr>
          <w:color w:val="auto"/>
          <w:sz w:val="22"/>
          <w:szCs w:val="22"/>
        </w:rPr>
        <w:t>cording and Reporting</w:t>
      </w:r>
    </w:p>
    <w:p w14:paraId="6D89C5EB" w14:textId="77777777" w:rsidR="00A65192" w:rsidRDefault="00A65192">
      <w:pPr>
        <w:pStyle w:val="6Abstract"/>
        <w:rPr>
          <w:lang w:val="en-GB"/>
        </w:rPr>
      </w:pPr>
    </w:p>
    <w:p w14:paraId="597AB577" w14:textId="77777777" w:rsidR="00A65192" w:rsidRDefault="00A65192">
      <w:pPr>
        <w:pStyle w:val="6Abstract"/>
        <w:rPr>
          <w:rFonts w:cs="Arial"/>
          <w:sz w:val="22"/>
          <w:szCs w:val="22"/>
        </w:rPr>
      </w:pPr>
      <w:r>
        <w:rPr>
          <w:rFonts w:cs="Arial"/>
          <w:sz w:val="22"/>
          <w:szCs w:val="22"/>
        </w:rPr>
        <w:t xml:space="preserve">Recording and reporting ensures regular and relevant communication and progress to students, teachers, parents and other appropriate external audiences. It is linked to both formative and summative methods of assessment and the recording of individual student assessment outcomes, measured against agreed and shared assessment criteria, is the responsibility of each teacher, within the context of agreed departmental and whole school assessments policies. </w:t>
      </w:r>
    </w:p>
    <w:p w14:paraId="5390820D" w14:textId="77777777" w:rsidR="00A65192" w:rsidRDefault="00A65192">
      <w:pPr>
        <w:pStyle w:val="6Abstract"/>
        <w:rPr>
          <w:rFonts w:cs="Arial"/>
          <w:b/>
          <w:sz w:val="22"/>
          <w:szCs w:val="22"/>
        </w:rPr>
      </w:pPr>
      <w:r>
        <w:rPr>
          <w:rFonts w:cs="Arial"/>
          <w:b/>
          <w:sz w:val="22"/>
          <w:szCs w:val="22"/>
        </w:rPr>
        <w:t>Recording</w:t>
      </w:r>
    </w:p>
    <w:p w14:paraId="69DA152C" w14:textId="77777777" w:rsidR="00A65192" w:rsidRDefault="00A65192">
      <w:pPr>
        <w:pStyle w:val="6Abstract"/>
        <w:rPr>
          <w:rFonts w:cs="Arial"/>
          <w:sz w:val="22"/>
          <w:szCs w:val="22"/>
        </w:rPr>
      </w:pPr>
      <w:r>
        <w:rPr>
          <w:rFonts w:cs="Arial"/>
          <w:sz w:val="22"/>
          <w:szCs w:val="22"/>
        </w:rPr>
        <w:t xml:space="preserve">Consistent record keeping by all teachers allows the effective monitoring of student progress and the regular evaluation of teaching content/styles/methods: </w:t>
      </w:r>
    </w:p>
    <w:p w14:paraId="6E6B1AC3" w14:textId="77777777" w:rsidR="00A65192" w:rsidRDefault="00A65192">
      <w:pPr>
        <w:pStyle w:val="6Abstract"/>
        <w:rPr>
          <w:rFonts w:cs="Arial"/>
          <w:sz w:val="22"/>
          <w:szCs w:val="22"/>
        </w:rPr>
      </w:pPr>
      <w:r>
        <w:rPr>
          <w:rFonts w:cs="Arial"/>
          <w:sz w:val="22"/>
          <w:szCs w:val="22"/>
        </w:rPr>
        <w:t xml:space="preserve">Good practice includes but is not limited to: </w:t>
      </w:r>
    </w:p>
    <w:p w14:paraId="1DEEAC9E" w14:textId="77777777" w:rsidR="00A65192" w:rsidRDefault="00A65192">
      <w:pPr>
        <w:pStyle w:val="4Bulletedcopyblue"/>
        <w:rPr>
          <w:sz w:val="22"/>
          <w:szCs w:val="22"/>
        </w:rPr>
      </w:pPr>
      <w:r>
        <w:rPr>
          <w:sz w:val="22"/>
          <w:szCs w:val="22"/>
        </w:rPr>
        <w:t xml:space="preserve">Formative/summative assessment marks recorded in teacher mark </w:t>
      </w:r>
      <w:proofErr w:type="gramStart"/>
      <w:r>
        <w:rPr>
          <w:sz w:val="22"/>
          <w:szCs w:val="22"/>
        </w:rPr>
        <w:t>books</w:t>
      </w:r>
      <w:proofErr w:type="gramEnd"/>
    </w:p>
    <w:p w14:paraId="6860F3F3" w14:textId="568748E5" w:rsidR="00A65192" w:rsidRDefault="0FD2B956">
      <w:pPr>
        <w:pStyle w:val="4Bulletedcopyblue"/>
        <w:rPr>
          <w:sz w:val="22"/>
          <w:szCs w:val="22"/>
        </w:rPr>
      </w:pPr>
      <w:r w:rsidRPr="45FED910">
        <w:rPr>
          <w:sz w:val="22"/>
          <w:szCs w:val="22"/>
        </w:rPr>
        <w:t xml:space="preserve">Formative assessment highlighted on student progress </w:t>
      </w:r>
      <w:proofErr w:type="gramStart"/>
      <w:r w:rsidRPr="45FED910">
        <w:rPr>
          <w:sz w:val="22"/>
          <w:szCs w:val="22"/>
        </w:rPr>
        <w:t>trackers</w:t>
      </w:r>
      <w:proofErr w:type="gramEnd"/>
    </w:p>
    <w:p w14:paraId="6A7BA736" w14:textId="77777777" w:rsidR="00A65192" w:rsidRDefault="00A65192">
      <w:pPr>
        <w:pStyle w:val="4Bulletedcopyblue"/>
        <w:rPr>
          <w:sz w:val="22"/>
          <w:szCs w:val="22"/>
        </w:rPr>
      </w:pPr>
      <w:r>
        <w:rPr>
          <w:sz w:val="22"/>
          <w:szCs w:val="22"/>
        </w:rPr>
        <w:t>Summative assessments recorded in departmental shared area.</w:t>
      </w:r>
    </w:p>
    <w:p w14:paraId="24CABF13" w14:textId="77777777" w:rsidR="00A65192" w:rsidRDefault="00A65192">
      <w:pPr>
        <w:pStyle w:val="4Bulletedcopyblue"/>
        <w:numPr>
          <w:ilvl w:val="0"/>
          <w:numId w:val="0"/>
        </w:numPr>
        <w:ind w:left="340"/>
        <w:rPr>
          <w:sz w:val="22"/>
          <w:szCs w:val="22"/>
        </w:rPr>
      </w:pPr>
    </w:p>
    <w:p w14:paraId="1FE1E624" w14:textId="4C6F5E47" w:rsidR="45FED910" w:rsidRDefault="45FED910" w:rsidP="45FED910">
      <w:pPr>
        <w:pStyle w:val="4Bulletedcopyblue"/>
        <w:numPr>
          <w:ilvl w:val="0"/>
          <w:numId w:val="0"/>
        </w:numPr>
        <w:rPr>
          <w:sz w:val="22"/>
          <w:szCs w:val="22"/>
        </w:rPr>
      </w:pPr>
    </w:p>
    <w:p w14:paraId="11110A6E" w14:textId="77777777" w:rsidR="00A65192" w:rsidRDefault="00A65192">
      <w:pPr>
        <w:pStyle w:val="6Abstract"/>
        <w:rPr>
          <w:rFonts w:cs="Arial"/>
          <w:b/>
          <w:sz w:val="22"/>
          <w:szCs w:val="22"/>
        </w:rPr>
      </w:pPr>
      <w:r>
        <w:rPr>
          <w:rFonts w:cs="Arial"/>
          <w:b/>
          <w:sz w:val="22"/>
          <w:szCs w:val="22"/>
        </w:rPr>
        <w:t xml:space="preserve">Reporting </w:t>
      </w:r>
    </w:p>
    <w:p w14:paraId="55C9DF39" w14:textId="77777777" w:rsidR="00A65192" w:rsidRDefault="00A65192">
      <w:pPr>
        <w:pStyle w:val="6Abstract"/>
        <w:rPr>
          <w:rFonts w:cs="Arial"/>
          <w:sz w:val="22"/>
          <w:szCs w:val="22"/>
        </w:rPr>
      </w:pPr>
      <w:r>
        <w:rPr>
          <w:rFonts w:cs="Arial"/>
          <w:sz w:val="22"/>
          <w:szCs w:val="22"/>
        </w:rPr>
        <w:t xml:space="preserve">Formal Termly Reports – Years 7 to 11: </w:t>
      </w:r>
    </w:p>
    <w:p w14:paraId="3C856F90" w14:textId="77777777" w:rsidR="00A65192" w:rsidRDefault="00A65192">
      <w:pPr>
        <w:pStyle w:val="4Bulletedcopyblue"/>
        <w:rPr>
          <w:sz w:val="22"/>
          <w:szCs w:val="22"/>
          <w:lang w:val="en-GB"/>
        </w:rPr>
      </w:pPr>
      <w:r>
        <w:rPr>
          <w:sz w:val="22"/>
          <w:szCs w:val="22"/>
        </w:rPr>
        <w:lastRenderedPageBreak/>
        <w:t>Single page computer generated reports given to parents at the end each term.  These reports will include:</w:t>
      </w:r>
    </w:p>
    <w:p w14:paraId="6615C9B1" w14:textId="77777777" w:rsidR="00A65192" w:rsidRDefault="00A65192">
      <w:pPr>
        <w:pStyle w:val="4Bulletedcopyblue"/>
        <w:numPr>
          <w:ilvl w:val="1"/>
          <w:numId w:val="12"/>
        </w:numPr>
        <w:rPr>
          <w:sz w:val="22"/>
          <w:szCs w:val="22"/>
          <w:lang w:val="en-GB"/>
        </w:rPr>
      </w:pPr>
      <w:r>
        <w:rPr>
          <w:sz w:val="22"/>
          <w:szCs w:val="22"/>
        </w:rPr>
        <w:t>Attendance</w:t>
      </w:r>
    </w:p>
    <w:p w14:paraId="6CE77818" w14:textId="77777777" w:rsidR="00A65192" w:rsidRDefault="00A65192">
      <w:pPr>
        <w:pStyle w:val="4Bulletedcopyblue"/>
        <w:numPr>
          <w:ilvl w:val="1"/>
          <w:numId w:val="12"/>
        </w:numPr>
        <w:rPr>
          <w:sz w:val="22"/>
          <w:szCs w:val="22"/>
          <w:lang w:val="en-GB"/>
        </w:rPr>
      </w:pPr>
      <w:r>
        <w:rPr>
          <w:sz w:val="22"/>
          <w:szCs w:val="22"/>
          <w:lang w:val="en-GB"/>
        </w:rPr>
        <w:t>Number of late sessions</w:t>
      </w:r>
    </w:p>
    <w:p w14:paraId="52A1308D" w14:textId="7262960B" w:rsidR="00A65192" w:rsidRDefault="0FD2B956">
      <w:pPr>
        <w:pStyle w:val="4Bulletedcopyblue"/>
        <w:numPr>
          <w:ilvl w:val="1"/>
          <w:numId w:val="12"/>
        </w:numPr>
        <w:rPr>
          <w:sz w:val="22"/>
          <w:szCs w:val="22"/>
          <w:lang w:val="en-GB"/>
        </w:rPr>
      </w:pPr>
      <w:r w:rsidRPr="45FED910">
        <w:rPr>
          <w:sz w:val="22"/>
          <w:szCs w:val="22"/>
          <w:lang w:val="en-GB"/>
        </w:rPr>
        <w:t>Positive and negative behaviour points</w:t>
      </w:r>
    </w:p>
    <w:p w14:paraId="0CD0787A" w14:textId="77777777" w:rsidR="00A65192" w:rsidRDefault="0FD2B956">
      <w:pPr>
        <w:pStyle w:val="4Bulletedcopyblue"/>
        <w:numPr>
          <w:ilvl w:val="1"/>
          <w:numId w:val="12"/>
        </w:numPr>
        <w:rPr>
          <w:sz w:val="22"/>
          <w:szCs w:val="22"/>
          <w:lang w:val="en-GB"/>
        </w:rPr>
      </w:pPr>
      <w:r w:rsidRPr="45FED910">
        <w:rPr>
          <w:sz w:val="22"/>
          <w:szCs w:val="22"/>
          <w:lang w:val="en-GB"/>
        </w:rPr>
        <w:t xml:space="preserve">An attitude to learning grade for each subject </w:t>
      </w:r>
      <w:proofErr w:type="gramStart"/>
      <w:r w:rsidRPr="45FED910">
        <w:rPr>
          <w:sz w:val="22"/>
          <w:szCs w:val="22"/>
          <w:lang w:val="en-GB"/>
        </w:rPr>
        <w:t>studied</w:t>
      </w:r>
      <w:proofErr w:type="gramEnd"/>
    </w:p>
    <w:p w14:paraId="34AA9F56" w14:textId="77777777" w:rsidR="00A65192" w:rsidRDefault="0FD2B956">
      <w:pPr>
        <w:pStyle w:val="4Bulletedcopyblue"/>
        <w:numPr>
          <w:ilvl w:val="1"/>
          <w:numId w:val="12"/>
        </w:numPr>
        <w:rPr>
          <w:sz w:val="22"/>
          <w:szCs w:val="22"/>
          <w:lang w:val="en-GB"/>
        </w:rPr>
      </w:pPr>
      <w:r w:rsidRPr="45FED910">
        <w:rPr>
          <w:sz w:val="22"/>
          <w:szCs w:val="22"/>
          <w:lang w:val="en-GB"/>
        </w:rPr>
        <w:t xml:space="preserve">An area of the subject to </w:t>
      </w:r>
      <w:proofErr w:type="gramStart"/>
      <w:r w:rsidRPr="45FED910">
        <w:rPr>
          <w:sz w:val="22"/>
          <w:szCs w:val="22"/>
          <w:lang w:val="en-GB"/>
        </w:rPr>
        <w:t>develop</w:t>
      </w:r>
      <w:proofErr w:type="gramEnd"/>
    </w:p>
    <w:p w14:paraId="10AF76DE" w14:textId="5246F5B5" w:rsidR="00A65192" w:rsidRDefault="0FD2B956">
      <w:pPr>
        <w:pStyle w:val="4Bulletedcopyblue"/>
        <w:numPr>
          <w:ilvl w:val="1"/>
          <w:numId w:val="12"/>
        </w:numPr>
        <w:rPr>
          <w:sz w:val="22"/>
          <w:szCs w:val="22"/>
          <w:lang w:val="en-GB"/>
        </w:rPr>
      </w:pPr>
      <w:r w:rsidRPr="45FED910">
        <w:rPr>
          <w:sz w:val="22"/>
          <w:szCs w:val="22"/>
          <w:lang w:val="en-GB"/>
        </w:rPr>
        <w:t>For Key Stage 3, it will identify if the student is ON/ABOVE/BELOW</w:t>
      </w:r>
      <w:r w:rsidR="23E25C48" w:rsidRPr="45FED910">
        <w:rPr>
          <w:sz w:val="22"/>
          <w:szCs w:val="22"/>
          <w:lang w:val="en-GB"/>
        </w:rPr>
        <w:t xml:space="preserve">/CAUSE FOR CONCERN based on their knowledge of the curriculum at the age-appropriate </w:t>
      </w:r>
      <w:proofErr w:type="gramStart"/>
      <w:r w:rsidR="23E25C48" w:rsidRPr="45FED910">
        <w:rPr>
          <w:sz w:val="22"/>
          <w:szCs w:val="22"/>
          <w:lang w:val="en-GB"/>
        </w:rPr>
        <w:t>standard</w:t>
      </w:r>
      <w:proofErr w:type="gramEnd"/>
    </w:p>
    <w:p w14:paraId="366FE735" w14:textId="3AA97C99" w:rsidR="00A65192" w:rsidRDefault="0FD2B956">
      <w:pPr>
        <w:pStyle w:val="4Bulletedcopyblue"/>
        <w:numPr>
          <w:ilvl w:val="1"/>
          <w:numId w:val="12"/>
        </w:numPr>
        <w:rPr>
          <w:sz w:val="22"/>
          <w:szCs w:val="22"/>
          <w:lang w:val="en-GB"/>
        </w:rPr>
      </w:pPr>
      <w:r w:rsidRPr="45FED910">
        <w:rPr>
          <w:sz w:val="22"/>
          <w:szCs w:val="22"/>
          <w:lang w:val="en-GB"/>
        </w:rPr>
        <w:t xml:space="preserve">For Key Stage 4, it will identify their GCSE </w:t>
      </w:r>
      <w:r w:rsidR="515D1677" w:rsidRPr="45FED910">
        <w:rPr>
          <w:sz w:val="22"/>
          <w:szCs w:val="22"/>
          <w:lang w:val="en-GB"/>
        </w:rPr>
        <w:t>forecast</w:t>
      </w:r>
      <w:r w:rsidRPr="45FED910">
        <w:rPr>
          <w:sz w:val="22"/>
          <w:szCs w:val="22"/>
          <w:lang w:val="en-GB"/>
        </w:rPr>
        <w:t xml:space="preserve"> and target grade.</w:t>
      </w:r>
    </w:p>
    <w:p w14:paraId="7E05BDCF" w14:textId="77777777" w:rsidR="00A65192" w:rsidRDefault="00A65192">
      <w:pPr>
        <w:pStyle w:val="4Bulletedcopyblue"/>
        <w:numPr>
          <w:ilvl w:val="0"/>
          <w:numId w:val="0"/>
        </w:numPr>
        <w:ind w:left="340" w:hanging="170"/>
      </w:pPr>
    </w:p>
    <w:p w14:paraId="3D4F9B12" w14:textId="77777777" w:rsidR="00A65192" w:rsidRDefault="00A65192">
      <w:pPr>
        <w:pStyle w:val="4Bulletedcopyblue"/>
        <w:numPr>
          <w:ilvl w:val="0"/>
          <w:numId w:val="0"/>
        </w:numPr>
        <w:ind w:left="170"/>
        <w:rPr>
          <w:lang w:val="en-GB"/>
        </w:rPr>
      </w:pPr>
    </w:p>
    <w:p w14:paraId="31FCD888" w14:textId="77777777" w:rsidR="00A65192" w:rsidRDefault="00A65192">
      <w:pPr>
        <w:pStyle w:val="Heading1"/>
        <w:rPr>
          <w:color w:val="auto"/>
          <w:sz w:val="22"/>
          <w:szCs w:val="22"/>
        </w:rPr>
      </w:pPr>
      <w:bookmarkStart w:id="7" w:name="_Toc491427509"/>
      <w:bookmarkStart w:id="8" w:name="_Toc67419131"/>
      <w:r>
        <w:rPr>
          <w:color w:val="auto"/>
          <w:sz w:val="22"/>
          <w:szCs w:val="22"/>
        </w:rPr>
        <w:t>5. Inclusion</w:t>
      </w:r>
      <w:bookmarkEnd w:id="7"/>
      <w:bookmarkEnd w:id="8"/>
    </w:p>
    <w:p w14:paraId="4C0BAED3" w14:textId="77777777" w:rsidR="00A65192" w:rsidRDefault="00A65192">
      <w:pPr>
        <w:pStyle w:val="1bodycopy10pt"/>
        <w:rPr>
          <w:rFonts w:cs="Arial"/>
          <w:sz w:val="22"/>
          <w:szCs w:val="22"/>
          <w:lang w:val="en-GB"/>
        </w:rPr>
      </w:pPr>
      <w:r>
        <w:rPr>
          <w:rFonts w:cs="Arial"/>
          <w:sz w:val="22"/>
          <w:szCs w:val="22"/>
          <w:lang w:val="en-GB"/>
        </w:rPr>
        <w:t>The principles of this assessment policy apply to all students, including those with special educational needs or disabilities.</w:t>
      </w:r>
    </w:p>
    <w:p w14:paraId="773EB130" w14:textId="77777777" w:rsidR="00A65192" w:rsidRDefault="00A65192">
      <w:pPr>
        <w:pStyle w:val="1bodycopy10pt"/>
        <w:rPr>
          <w:rFonts w:cs="Arial"/>
          <w:sz w:val="22"/>
          <w:szCs w:val="22"/>
          <w:lang w:val="en-GB"/>
        </w:rPr>
      </w:pPr>
      <w:r>
        <w:rPr>
          <w:rFonts w:cs="Arial"/>
          <w:sz w:val="22"/>
          <w:szCs w:val="22"/>
          <w:lang w:val="en-GB"/>
        </w:rPr>
        <w:t>Assessment will be used diagnostically to contribute to the early and accurate identification of students’ special educational needs and any requirements for support and intervention.</w:t>
      </w:r>
    </w:p>
    <w:p w14:paraId="3B2064CA" w14:textId="77777777" w:rsidR="00A65192" w:rsidRDefault="00A65192">
      <w:pPr>
        <w:pStyle w:val="1bodycopy10pt"/>
        <w:rPr>
          <w:rFonts w:cs="Arial"/>
          <w:sz w:val="22"/>
          <w:szCs w:val="22"/>
          <w:lang w:val="en-GB"/>
        </w:rPr>
      </w:pPr>
      <w:r>
        <w:rPr>
          <w:rFonts w:cs="Arial"/>
          <w:sz w:val="22"/>
          <w:szCs w:val="22"/>
          <w:lang w:val="en-GB"/>
        </w:rPr>
        <w:t xml:space="preserve">We will use meaningful ways of measuring all aspects of progress, including communication, social skills, physical development, resilience and independence. We will have the same high expectations of all students. However, this should account </w:t>
      </w:r>
      <w:proofErr w:type="gramStart"/>
      <w:r>
        <w:rPr>
          <w:rFonts w:cs="Arial"/>
          <w:sz w:val="22"/>
          <w:szCs w:val="22"/>
          <w:lang w:val="en-GB"/>
        </w:rPr>
        <w:t>for the amount of</w:t>
      </w:r>
      <w:proofErr w:type="gramEnd"/>
      <w:r>
        <w:rPr>
          <w:rFonts w:cs="Arial"/>
          <w:sz w:val="22"/>
          <w:szCs w:val="22"/>
          <w:lang w:val="en-GB"/>
        </w:rPr>
        <w:t xml:space="preserve"> effort the student puts in as well as the outcomes achieved.</w:t>
      </w:r>
    </w:p>
    <w:p w14:paraId="64C77804" w14:textId="77777777" w:rsidR="00A65192" w:rsidRDefault="00A65192">
      <w:pPr>
        <w:pStyle w:val="1bodycopy10pt"/>
        <w:rPr>
          <w:rFonts w:cs="Arial"/>
          <w:sz w:val="22"/>
          <w:szCs w:val="22"/>
          <w:lang w:val="en-GB"/>
        </w:rPr>
      </w:pPr>
      <w:r>
        <w:rPr>
          <w:rFonts w:cs="Arial"/>
          <w:sz w:val="22"/>
          <w:szCs w:val="22"/>
          <w:lang w:val="en-GB"/>
        </w:rPr>
        <w:t xml:space="preserve">For students working below the national expected level of attainment, our assessment arrangements will consider progress relative to student starting </w:t>
      </w:r>
      <w:proofErr w:type="gramStart"/>
      <w:r>
        <w:rPr>
          <w:rFonts w:cs="Arial"/>
          <w:sz w:val="22"/>
          <w:szCs w:val="22"/>
          <w:lang w:val="en-GB"/>
        </w:rPr>
        <w:t>points, and</w:t>
      </w:r>
      <w:proofErr w:type="gramEnd"/>
      <w:r>
        <w:rPr>
          <w:rFonts w:cs="Arial"/>
          <w:sz w:val="22"/>
          <w:szCs w:val="22"/>
          <w:lang w:val="en-GB"/>
        </w:rPr>
        <w:t xml:space="preserve"> take this into account alongside the nature of students’ learning difficulties. </w:t>
      </w:r>
    </w:p>
    <w:p w14:paraId="53541B1A" w14:textId="77777777" w:rsidR="00A65192" w:rsidRDefault="00A65192">
      <w:pPr>
        <w:pStyle w:val="1bodycopy10pt"/>
        <w:rPr>
          <w:rFonts w:cs="Arial"/>
          <w:sz w:val="22"/>
          <w:szCs w:val="22"/>
          <w:lang w:val="en-GB"/>
        </w:rPr>
      </w:pPr>
    </w:p>
    <w:p w14:paraId="5CA092A1" w14:textId="77777777" w:rsidR="00A65192" w:rsidRDefault="00A65192">
      <w:pPr>
        <w:pStyle w:val="Heading1"/>
        <w:rPr>
          <w:color w:val="auto"/>
          <w:sz w:val="22"/>
          <w:szCs w:val="22"/>
        </w:rPr>
      </w:pPr>
      <w:bookmarkStart w:id="9" w:name="_Toc491427510"/>
      <w:bookmarkStart w:id="10" w:name="_Toc67419132"/>
      <w:r>
        <w:rPr>
          <w:color w:val="auto"/>
          <w:sz w:val="22"/>
          <w:szCs w:val="22"/>
        </w:rPr>
        <w:t>6. Training</w:t>
      </w:r>
      <w:bookmarkEnd w:id="9"/>
      <w:bookmarkEnd w:id="10"/>
    </w:p>
    <w:p w14:paraId="172610B1" w14:textId="77777777" w:rsidR="00A65192" w:rsidRDefault="00A65192">
      <w:pPr>
        <w:pStyle w:val="6Abstract"/>
        <w:rPr>
          <w:sz w:val="22"/>
          <w:szCs w:val="22"/>
          <w:lang w:val="en-GB"/>
        </w:rPr>
      </w:pPr>
      <w:r>
        <w:rPr>
          <w:sz w:val="22"/>
          <w:szCs w:val="22"/>
          <w:lang w:val="en-GB"/>
        </w:rPr>
        <w:t xml:space="preserve">Tottington staff receive a rigorous CPD program across the academic year. The CPD program includes keeping staff up to date with developments in assessment practice through internal sessions including, CPD Twilight Sessions, Teaching &amp; Learning briefings, Middle Leader Meetings, Faculty Meetings, Faculty Data Meetings and whole school INSET days. </w:t>
      </w:r>
    </w:p>
    <w:p w14:paraId="2A5B26DA" w14:textId="77777777" w:rsidR="00A65192" w:rsidRDefault="00A65192">
      <w:pPr>
        <w:pStyle w:val="6Abstract"/>
        <w:spacing w:after="0"/>
        <w:rPr>
          <w:sz w:val="22"/>
          <w:szCs w:val="22"/>
          <w:lang w:val="en-GB"/>
        </w:rPr>
      </w:pPr>
      <w:r>
        <w:rPr>
          <w:sz w:val="22"/>
          <w:szCs w:val="22"/>
          <w:lang w:val="en-GB"/>
        </w:rPr>
        <w:t xml:space="preserve">Activities include but are not limited to: </w:t>
      </w:r>
    </w:p>
    <w:p w14:paraId="05EE36CA" w14:textId="77777777" w:rsidR="00A65192" w:rsidRDefault="00A65192">
      <w:pPr>
        <w:pStyle w:val="6Abstract"/>
        <w:spacing w:after="0"/>
        <w:rPr>
          <w:sz w:val="22"/>
          <w:szCs w:val="22"/>
          <w:lang w:val="en-GB"/>
        </w:rPr>
      </w:pPr>
    </w:p>
    <w:p w14:paraId="1EB8A2B3" w14:textId="77777777" w:rsidR="00A65192" w:rsidRDefault="00A65192">
      <w:pPr>
        <w:pStyle w:val="4Bulletedcopyblue"/>
        <w:rPr>
          <w:sz w:val="22"/>
          <w:szCs w:val="22"/>
          <w:lang w:val="en-GB"/>
        </w:rPr>
      </w:pPr>
      <w:r>
        <w:rPr>
          <w:sz w:val="22"/>
          <w:szCs w:val="22"/>
          <w:lang w:val="en-GB"/>
        </w:rPr>
        <w:t xml:space="preserve">moderation of assessment both within school and across local </w:t>
      </w:r>
      <w:proofErr w:type="gramStart"/>
      <w:r>
        <w:rPr>
          <w:sz w:val="22"/>
          <w:szCs w:val="22"/>
          <w:lang w:val="en-GB"/>
        </w:rPr>
        <w:t>schools;</w:t>
      </w:r>
      <w:proofErr w:type="gramEnd"/>
      <w:r>
        <w:rPr>
          <w:sz w:val="22"/>
          <w:szCs w:val="22"/>
          <w:lang w:val="en-GB"/>
        </w:rPr>
        <w:t xml:space="preserve"> </w:t>
      </w:r>
    </w:p>
    <w:p w14:paraId="2C467329" w14:textId="77777777" w:rsidR="00A65192" w:rsidRDefault="00A65192">
      <w:pPr>
        <w:pStyle w:val="4Bulletedcopyblue"/>
        <w:rPr>
          <w:sz w:val="22"/>
          <w:szCs w:val="22"/>
          <w:lang w:val="en-GB"/>
        </w:rPr>
      </w:pPr>
      <w:r>
        <w:rPr>
          <w:sz w:val="22"/>
          <w:szCs w:val="22"/>
          <w:lang w:val="en-GB"/>
        </w:rPr>
        <w:t xml:space="preserve">sharing of best practice across </w:t>
      </w:r>
      <w:proofErr w:type="gramStart"/>
      <w:r>
        <w:rPr>
          <w:sz w:val="22"/>
          <w:szCs w:val="22"/>
          <w:lang w:val="en-GB"/>
        </w:rPr>
        <w:t>departments;</w:t>
      </w:r>
      <w:proofErr w:type="gramEnd"/>
      <w:r>
        <w:rPr>
          <w:sz w:val="22"/>
          <w:szCs w:val="22"/>
          <w:lang w:val="en-GB"/>
        </w:rPr>
        <w:t xml:space="preserve"> </w:t>
      </w:r>
    </w:p>
    <w:p w14:paraId="25BCC656" w14:textId="77777777" w:rsidR="00A65192" w:rsidRDefault="00A65192">
      <w:pPr>
        <w:pStyle w:val="4Bulletedcopyblue"/>
        <w:rPr>
          <w:sz w:val="22"/>
          <w:szCs w:val="22"/>
          <w:lang w:val="en-GB"/>
        </w:rPr>
      </w:pPr>
      <w:r>
        <w:rPr>
          <w:sz w:val="22"/>
          <w:szCs w:val="22"/>
          <w:lang w:val="en-GB"/>
        </w:rPr>
        <w:t xml:space="preserve">standardisation using progress trackers and exam board </w:t>
      </w:r>
      <w:proofErr w:type="gramStart"/>
      <w:r>
        <w:rPr>
          <w:sz w:val="22"/>
          <w:szCs w:val="22"/>
          <w:lang w:val="en-GB"/>
        </w:rPr>
        <w:t>materials;</w:t>
      </w:r>
      <w:proofErr w:type="gramEnd"/>
      <w:r>
        <w:rPr>
          <w:sz w:val="22"/>
          <w:szCs w:val="22"/>
          <w:lang w:val="en-GB"/>
        </w:rPr>
        <w:t xml:space="preserve"> </w:t>
      </w:r>
    </w:p>
    <w:p w14:paraId="56118DEF" w14:textId="77777777" w:rsidR="00A65192" w:rsidRDefault="00A65192">
      <w:pPr>
        <w:pStyle w:val="4Bulletedcopyblue"/>
        <w:rPr>
          <w:sz w:val="22"/>
          <w:szCs w:val="22"/>
          <w:lang w:val="en-GB"/>
        </w:rPr>
      </w:pPr>
      <w:r>
        <w:rPr>
          <w:sz w:val="22"/>
          <w:szCs w:val="22"/>
          <w:lang w:val="en-GB"/>
        </w:rPr>
        <w:t>reflecting on effective use of pedagogical assessment practices to boost student progress.</w:t>
      </w:r>
    </w:p>
    <w:p w14:paraId="7A7EE89B" w14:textId="77777777" w:rsidR="00A65192" w:rsidRDefault="00A65192">
      <w:pPr>
        <w:pStyle w:val="4Bulletedcopyblue"/>
        <w:numPr>
          <w:ilvl w:val="0"/>
          <w:numId w:val="0"/>
        </w:numPr>
        <w:rPr>
          <w:rFonts w:cs="Times New Roman"/>
          <w:sz w:val="28"/>
          <w:szCs w:val="28"/>
          <w:lang w:val="en-GB"/>
        </w:rPr>
      </w:pPr>
    </w:p>
    <w:p w14:paraId="71AE79E4" w14:textId="77777777" w:rsidR="00A65192" w:rsidRDefault="00A65192">
      <w:pPr>
        <w:pStyle w:val="4Bulletedcopyblue"/>
        <w:numPr>
          <w:ilvl w:val="0"/>
          <w:numId w:val="0"/>
        </w:numPr>
        <w:rPr>
          <w:sz w:val="22"/>
          <w:szCs w:val="22"/>
          <w:highlight w:val="yellow"/>
          <w:lang w:val="en-GB"/>
        </w:rPr>
      </w:pPr>
    </w:p>
    <w:p w14:paraId="4D871C22" w14:textId="77777777" w:rsidR="00A65192" w:rsidRDefault="00A65192">
      <w:pPr>
        <w:pStyle w:val="Heading1"/>
        <w:rPr>
          <w:color w:val="auto"/>
          <w:sz w:val="22"/>
          <w:szCs w:val="22"/>
        </w:rPr>
      </w:pPr>
      <w:bookmarkStart w:id="11" w:name="_Toc491427511"/>
      <w:bookmarkStart w:id="12" w:name="_Toc67419133"/>
      <w:r>
        <w:rPr>
          <w:color w:val="auto"/>
          <w:sz w:val="22"/>
          <w:szCs w:val="22"/>
        </w:rPr>
        <w:t>7. Roles and responsibilities</w:t>
      </w:r>
      <w:bookmarkEnd w:id="11"/>
      <w:bookmarkEnd w:id="12"/>
    </w:p>
    <w:p w14:paraId="534F2B61" w14:textId="77777777" w:rsidR="00A65192" w:rsidRDefault="00A65192">
      <w:pPr>
        <w:pStyle w:val="Subhead2"/>
        <w:rPr>
          <w:rFonts w:cs="Arial"/>
          <w:sz w:val="22"/>
          <w:szCs w:val="22"/>
          <w:lang w:val="en-GB"/>
        </w:rPr>
      </w:pPr>
      <w:r>
        <w:rPr>
          <w:rFonts w:cs="Arial"/>
          <w:sz w:val="22"/>
          <w:szCs w:val="22"/>
          <w:lang w:val="en-GB"/>
        </w:rPr>
        <w:lastRenderedPageBreak/>
        <w:t>7.1 Governors</w:t>
      </w:r>
    </w:p>
    <w:p w14:paraId="1F3FF8B7" w14:textId="77777777" w:rsidR="00A65192" w:rsidRDefault="00A65192">
      <w:pPr>
        <w:pStyle w:val="1bodycopy10pt"/>
        <w:rPr>
          <w:rFonts w:cs="Arial"/>
          <w:sz w:val="22"/>
          <w:szCs w:val="22"/>
          <w:lang w:val="en-GB"/>
        </w:rPr>
      </w:pPr>
      <w:r>
        <w:rPr>
          <w:rFonts w:cs="Arial"/>
          <w:sz w:val="22"/>
          <w:szCs w:val="22"/>
          <w:lang w:val="en-GB"/>
        </w:rPr>
        <w:t>Governors are responsible for:</w:t>
      </w:r>
    </w:p>
    <w:p w14:paraId="74353B1A" w14:textId="77777777" w:rsidR="00A65192" w:rsidRDefault="00A65192">
      <w:pPr>
        <w:pStyle w:val="4Bulletedcopyblue"/>
        <w:rPr>
          <w:sz w:val="22"/>
          <w:szCs w:val="22"/>
          <w:lang w:val="en-GB"/>
        </w:rPr>
      </w:pPr>
      <w:r>
        <w:rPr>
          <w:sz w:val="22"/>
          <w:szCs w:val="22"/>
          <w:lang w:val="en-GB"/>
        </w:rPr>
        <w:t xml:space="preserve">Being familiar with statutory assessment systems as well as how the school’s own system of non-statutory assessment captures the attainment and progress of all </w:t>
      </w:r>
      <w:proofErr w:type="gramStart"/>
      <w:r>
        <w:rPr>
          <w:sz w:val="22"/>
          <w:szCs w:val="22"/>
          <w:lang w:val="en-GB"/>
        </w:rPr>
        <w:t>students</w:t>
      </w:r>
      <w:proofErr w:type="gramEnd"/>
    </w:p>
    <w:p w14:paraId="39293E3F" w14:textId="77777777" w:rsidR="00A65192" w:rsidRDefault="00A65192">
      <w:pPr>
        <w:pStyle w:val="4Bulletedcopyblue"/>
        <w:rPr>
          <w:sz w:val="22"/>
          <w:szCs w:val="22"/>
          <w:lang w:val="en-GB"/>
        </w:rPr>
      </w:pPr>
      <w:r>
        <w:rPr>
          <w:sz w:val="22"/>
          <w:szCs w:val="22"/>
          <w:lang w:val="en-GB"/>
        </w:rPr>
        <w:t>Holding school leaders to account for improving student and staff performance by rigorously analysing assessment data</w:t>
      </w:r>
    </w:p>
    <w:p w14:paraId="7E45BCA4" w14:textId="77777777" w:rsidR="00A65192" w:rsidRDefault="00A65192">
      <w:pPr>
        <w:pStyle w:val="Subhead2"/>
        <w:rPr>
          <w:rFonts w:cs="Arial"/>
          <w:sz w:val="22"/>
          <w:szCs w:val="22"/>
          <w:lang w:val="en-GB"/>
        </w:rPr>
      </w:pPr>
      <w:r>
        <w:rPr>
          <w:rFonts w:cs="Arial"/>
          <w:sz w:val="22"/>
          <w:szCs w:val="22"/>
          <w:lang w:val="en-GB"/>
        </w:rPr>
        <w:t>7.2 Headteacher</w:t>
      </w:r>
    </w:p>
    <w:p w14:paraId="5462E3E7" w14:textId="77777777" w:rsidR="00A65192" w:rsidRDefault="00A65192">
      <w:pPr>
        <w:pStyle w:val="1bodycopy10pt"/>
        <w:rPr>
          <w:rFonts w:cs="Arial"/>
          <w:sz w:val="22"/>
          <w:szCs w:val="22"/>
          <w:lang w:val="en-GB"/>
        </w:rPr>
      </w:pPr>
      <w:r>
        <w:rPr>
          <w:rFonts w:cs="Arial"/>
          <w:sz w:val="22"/>
          <w:szCs w:val="22"/>
          <w:lang w:val="en-GB"/>
        </w:rPr>
        <w:t>The headteacher is responsible for:</w:t>
      </w:r>
    </w:p>
    <w:p w14:paraId="70CDE65D" w14:textId="77777777" w:rsidR="00A65192" w:rsidRDefault="00A65192">
      <w:pPr>
        <w:pStyle w:val="4Bulletedcopyblue"/>
        <w:rPr>
          <w:b/>
          <w:sz w:val="22"/>
          <w:szCs w:val="22"/>
          <w:lang w:val="en-GB"/>
        </w:rPr>
      </w:pPr>
      <w:r>
        <w:rPr>
          <w:sz w:val="22"/>
          <w:szCs w:val="22"/>
          <w:lang w:val="en-GB"/>
        </w:rPr>
        <w:t xml:space="preserve">Ensuring that the policy is adhered </w:t>
      </w:r>
      <w:proofErr w:type="gramStart"/>
      <w:r>
        <w:rPr>
          <w:sz w:val="22"/>
          <w:szCs w:val="22"/>
          <w:lang w:val="en-GB"/>
        </w:rPr>
        <w:t>to</w:t>
      </w:r>
      <w:proofErr w:type="gramEnd"/>
    </w:p>
    <w:p w14:paraId="260B68A3" w14:textId="77777777" w:rsidR="00A65192" w:rsidRDefault="00A65192">
      <w:pPr>
        <w:pStyle w:val="4Bulletedcopyblue"/>
        <w:rPr>
          <w:b/>
          <w:sz w:val="22"/>
          <w:szCs w:val="22"/>
          <w:lang w:val="en-GB"/>
        </w:rPr>
      </w:pPr>
      <w:r>
        <w:rPr>
          <w:sz w:val="22"/>
          <w:szCs w:val="22"/>
          <w:lang w:val="en-GB"/>
        </w:rPr>
        <w:t>Monitoring standards in core and foundation subjects</w:t>
      </w:r>
    </w:p>
    <w:p w14:paraId="1EB9E998" w14:textId="77777777" w:rsidR="00A65192" w:rsidRDefault="00A65192">
      <w:pPr>
        <w:pStyle w:val="4Bulletedcopyblue"/>
        <w:rPr>
          <w:b/>
          <w:sz w:val="22"/>
          <w:szCs w:val="22"/>
          <w:lang w:val="en-GB"/>
        </w:rPr>
      </w:pPr>
      <w:r>
        <w:rPr>
          <w:sz w:val="22"/>
          <w:szCs w:val="22"/>
          <w:lang w:val="en-GB"/>
        </w:rPr>
        <w:t>Analysing student progress and attainment, including individual students and specific groups</w:t>
      </w:r>
    </w:p>
    <w:p w14:paraId="5D431E6B" w14:textId="77777777" w:rsidR="00A65192" w:rsidRDefault="00A65192">
      <w:pPr>
        <w:pStyle w:val="4Bulletedcopyblue"/>
        <w:rPr>
          <w:b/>
          <w:sz w:val="22"/>
          <w:szCs w:val="22"/>
          <w:lang w:val="en-GB"/>
        </w:rPr>
      </w:pPr>
      <w:r>
        <w:rPr>
          <w:sz w:val="22"/>
          <w:szCs w:val="22"/>
          <w:lang w:val="en-GB"/>
        </w:rPr>
        <w:t xml:space="preserve">Prioritising key actions to address </w:t>
      </w:r>
      <w:proofErr w:type="gramStart"/>
      <w:r>
        <w:rPr>
          <w:sz w:val="22"/>
          <w:szCs w:val="22"/>
          <w:lang w:val="en-GB"/>
        </w:rPr>
        <w:t>underachievement</w:t>
      </w:r>
      <w:proofErr w:type="gramEnd"/>
    </w:p>
    <w:p w14:paraId="72F2E388" w14:textId="77777777" w:rsidR="00A65192" w:rsidRDefault="00A65192">
      <w:pPr>
        <w:pStyle w:val="4Bulletedcopyblue"/>
        <w:rPr>
          <w:b/>
          <w:sz w:val="22"/>
          <w:szCs w:val="22"/>
          <w:lang w:val="en-GB"/>
        </w:rPr>
      </w:pPr>
      <w:r>
        <w:rPr>
          <w:sz w:val="22"/>
          <w:szCs w:val="22"/>
          <w:lang w:val="en-GB"/>
        </w:rPr>
        <w:t>Reporting to governors on all key aspects of student progress and attainment, including current standards and trends over previous years</w:t>
      </w:r>
    </w:p>
    <w:p w14:paraId="6B0FD17D" w14:textId="77777777" w:rsidR="00A65192" w:rsidRDefault="00A65192">
      <w:pPr>
        <w:pStyle w:val="Subhead2"/>
        <w:rPr>
          <w:rFonts w:cs="Arial"/>
          <w:sz w:val="22"/>
          <w:szCs w:val="22"/>
        </w:rPr>
      </w:pPr>
      <w:r>
        <w:rPr>
          <w:rFonts w:cs="Arial"/>
          <w:sz w:val="22"/>
          <w:szCs w:val="22"/>
        </w:rPr>
        <w:t>7.3 Teachers</w:t>
      </w:r>
    </w:p>
    <w:p w14:paraId="58E496A1" w14:textId="77777777" w:rsidR="00A65192" w:rsidRDefault="00A65192">
      <w:pPr>
        <w:pStyle w:val="1bodycopy10pt"/>
        <w:rPr>
          <w:rFonts w:cs="Arial"/>
          <w:sz w:val="22"/>
          <w:szCs w:val="22"/>
          <w:lang w:val="en-GB"/>
        </w:rPr>
      </w:pPr>
      <w:r>
        <w:rPr>
          <w:rFonts w:cs="Arial"/>
          <w:sz w:val="22"/>
          <w:szCs w:val="22"/>
          <w:lang w:val="en-GB"/>
        </w:rPr>
        <w:t>Teachers are responsible for following the assessment procedures outlined in this policy.</w:t>
      </w:r>
    </w:p>
    <w:p w14:paraId="54737FD2" w14:textId="77777777" w:rsidR="00A65192" w:rsidRDefault="00A65192">
      <w:pPr>
        <w:pStyle w:val="1bodycopy10pt"/>
        <w:rPr>
          <w:rFonts w:cs="Arial"/>
          <w:sz w:val="22"/>
          <w:szCs w:val="22"/>
          <w:lang w:val="en-GB"/>
        </w:rPr>
      </w:pPr>
    </w:p>
    <w:p w14:paraId="6DFB7341" w14:textId="77777777" w:rsidR="00A65192" w:rsidRDefault="00A65192">
      <w:pPr>
        <w:pStyle w:val="Heading1"/>
        <w:rPr>
          <w:color w:val="auto"/>
          <w:sz w:val="22"/>
          <w:szCs w:val="22"/>
        </w:rPr>
      </w:pPr>
      <w:bookmarkStart w:id="13" w:name="_Toc491427512"/>
      <w:bookmarkStart w:id="14" w:name="_Toc67419134"/>
      <w:r>
        <w:rPr>
          <w:color w:val="auto"/>
          <w:sz w:val="22"/>
          <w:szCs w:val="22"/>
        </w:rPr>
        <w:t>8. Monitoring</w:t>
      </w:r>
      <w:bookmarkEnd w:id="13"/>
      <w:bookmarkEnd w:id="14"/>
    </w:p>
    <w:p w14:paraId="628167E4" w14:textId="0E52B035" w:rsidR="00A65192" w:rsidRDefault="0FD2B956">
      <w:pPr>
        <w:pStyle w:val="1bodycopy10pt"/>
        <w:rPr>
          <w:rFonts w:cs="Arial"/>
          <w:sz w:val="22"/>
          <w:szCs w:val="22"/>
        </w:rPr>
      </w:pPr>
      <w:r w:rsidRPr="45FED910">
        <w:rPr>
          <w:rFonts w:cs="Arial"/>
          <w:sz w:val="22"/>
          <w:szCs w:val="22"/>
        </w:rPr>
        <w:t>This policy will be reviewed yearly by Kr</w:t>
      </w:r>
      <w:r w:rsidR="75E0E08B" w:rsidRPr="45FED910">
        <w:rPr>
          <w:rFonts w:cs="Arial"/>
          <w:sz w:val="22"/>
          <w:szCs w:val="22"/>
        </w:rPr>
        <w:t>isty Gardner</w:t>
      </w:r>
      <w:r w:rsidRPr="45FED910">
        <w:rPr>
          <w:rFonts w:cs="Arial"/>
          <w:sz w:val="22"/>
          <w:szCs w:val="22"/>
        </w:rPr>
        <w:t>. At every review, the policy will be shared with the governing board.</w:t>
      </w:r>
    </w:p>
    <w:p w14:paraId="197B8998" w14:textId="77777777" w:rsidR="00A65192" w:rsidRDefault="00A65192">
      <w:pPr>
        <w:pStyle w:val="1bodycopy10pt"/>
        <w:rPr>
          <w:rFonts w:cs="Arial"/>
          <w:sz w:val="22"/>
          <w:szCs w:val="22"/>
        </w:rPr>
      </w:pPr>
      <w:r>
        <w:rPr>
          <w:rFonts w:cs="Arial"/>
          <w:sz w:val="22"/>
          <w:szCs w:val="22"/>
        </w:rPr>
        <w:t>All teaching staff are expected to read and follow this policy. The senior leadership team are responsible for ensuring that the policy is followed.</w:t>
      </w:r>
    </w:p>
    <w:p w14:paraId="335A580C" w14:textId="77777777" w:rsidR="00A65192" w:rsidRDefault="00A65192">
      <w:pPr>
        <w:pStyle w:val="1bodycopy10pt"/>
        <w:rPr>
          <w:rFonts w:cs="Arial"/>
          <w:sz w:val="22"/>
          <w:szCs w:val="22"/>
        </w:rPr>
      </w:pPr>
      <w:r>
        <w:rPr>
          <w:rFonts w:cs="Arial"/>
          <w:sz w:val="22"/>
          <w:szCs w:val="22"/>
        </w:rPr>
        <w:t>The senior leadership team will monitor the effectiveness of assessment practices across the school, through:</w:t>
      </w:r>
    </w:p>
    <w:p w14:paraId="2BF0974E" w14:textId="77777777" w:rsidR="00A65192" w:rsidRDefault="00A65192">
      <w:pPr>
        <w:pStyle w:val="1bodycopy10pt"/>
        <w:rPr>
          <w:rFonts w:cs="Arial"/>
          <w:sz w:val="22"/>
          <w:szCs w:val="22"/>
        </w:rPr>
      </w:pPr>
    </w:p>
    <w:p w14:paraId="47E96819" w14:textId="77777777" w:rsidR="00A65192" w:rsidRDefault="00A65192">
      <w:pPr>
        <w:pStyle w:val="4Bulletedcopyblue"/>
        <w:rPr>
          <w:sz w:val="22"/>
          <w:szCs w:val="22"/>
        </w:rPr>
      </w:pPr>
      <w:r>
        <w:rPr>
          <w:sz w:val="22"/>
          <w:szCs w:val="22"/>
        </w:rPr>
        <w:t xml:space="preserve">moderation of both formative and summative </w:t>
      </w:r>
      <w:proofErr w:type="gramStart"/>
      <w:r>
        <w:rPr>
          <w:sz w:val="22"/>
          <w:szCs w:val="22"/>
        </w:rPr>
        <w:t>assessment;</w:t>
      </w:r>
      <w:proofErr w:type="gramEnd"/>
      <w:r>
        <w:rPr>
          <w:sz w:val="22"/>
          <w:szCs w:val="22"/>
        </w:rPr>
        <w:t xml:space="preserve"> </w:t>
      </w:r>
    </w:p>
    <w:p w14:paraId="604B5BF9" w14:textId="77777777" w:rsidR="00A65192" w:rsidRDefault="00A65192">
      <w:pPr>
        <w:pStyle w:val="4Bulletedcopyblue"/>
        <w:rPr>
          <w:sz w:val="22"/>
          <w:szCs w:val="22"/>
        </w:rPr>
      </w:pPr>
      <w:r>
        <w:rPr>
          <w:sz w:val="22"/>
          <w:szCs w:val="22"/>
        </w:rPr>
        <w:t xml:space="preserve">lesson </w:t>
      </w:r>
      <w:proofErr w:type="gramStart"/>
      <w:r>
        <w:rPr>
          <w:sz w:val="22"/>
          <w:szCs w:val="22"/>
        </w:rPr>
        <w:t>observations;</w:t>
      </w:r>
      <w:proofErr w:type="gramEnd"/>
      <w:r>
        <w:rPr>
          <w:sz w:val="22"/>
          <w:szCs w:val="22"/>
        </w:rPr>
        <w:t xml:space="preserve"> </w:t>
      </w:r>
    </w:p>
    <w:p w14:paraId="461457F1" w14:textId="77777777" w:rsidR="00A65192" w:rsidRDefault="00A65192">
      <w:pPr>
        <w:pStyle w:val="4Bulletedcopyblue"/>
        <w:rPr>
          <w:sz w:val="22"/>
          <w:szCs w:val="22"/>
        </w:rPr>
      </w:pPr>
      <w:r>
        <w:rPr>
          <w:sz w:val="22"/>
          <w:szCs w:val="22"/>
        </w:rPr>
        <w:t xml:space="preserve">work </w:t>
      </w:r>
      <w:proofErr w:type="spellStart"/>
      <w:proofErr w:type="gramStart"/>
      <w:r>
        <w:rPr>
          <w:sz w:val="22"/>
          <w:szCs w:val="22"/>
        </w:rPr>
        <w:t>scrutinies</w:t>
      </w:r>
      <w:proofErr w:type="spellEnd"/>
      <w:r>
        <w:rPr>
          <w:sz w:val="22"/>
          <w:szCs w:val="22"/>
        </w:rPr>
        <w:t>;</w:t>
      </w:r>
      <w:proofErr w:type="gramEnd"/>
      <w:r>
        <w:rPr>
          <w:sz w:val="22"/>
          <w:szCs w:val="22"/>
        </w:rPr>
        <w:t xml:space="preserve"> </w:t>
      </w:r>
    </w:p>
    <w:p w14:paraId="157E9564" w14:textId="77777777" w:rsidR="00A65192" w:rsidRDefault="00A65192">
      <w:pPr>
        <w:pStyle w:val="4Bulletedcopyblue"/>
        <w:rPr>
          <w:sz w:val="22"/>
          <w:szCs w:val="22"/>
        </w:rPr>
      </w:pPr>
      <w:r>
        <w:rPr>
          <w:sz w:val="22"/>
          <w:szCs w:val="22"/>
        </w:rPr>
        <w:t xml:space="preserve">data progress </w:t>
      </w:r>
      <w:proofErr w:type="gramStart"/>
      <w:r>
        <w:rPr>
          <w:sz w:val="22"/>
          <w:szCs w:val="22"/>
        </w:rPr>
        <w:t>meetings;</w:t>
      </w:r>
      <w:proofErr w:type="gramEnd"/>
    </w:p>
    <w:p w14:paraId="3435D2D4" w14:textId="77777777" w:rsidR="00A65192" w:rsidRDefault="00A65192">
      <w:pPr>
        <w:pStyle w:val="4Bulletedcopyblue"/>
        <w:rPr>
          <w:sz w:val="22"/>
          <w:szCs w:val="22"/>
        </w:rPr>
      </w:pPr>
      <w:r>
        <w:rPr>
          <w:sz w:val="22"/>
          <w:szCs w:val="22"/>
        </w:rPr>
        <w:t>departmental health checks.</w:t>
      </w:r>
    </w:p>
    <w:p w14:paraId="0FE5DD05" w14:textId="77777777" w:rsidR="00A65192" w:rsidRDefault="00A65192">
      <w:pPr>
        <w:pStyle w:val="1bodycopy10pt"/>
        <w:rPr>
          <w:rFonts w:cs="Arial"/>
          <w:sz w:val="22"/>
          <w:szCs w:val="22"/>
        </w:rPr>
      </w:pPr>
    </w:p>
    <w:p w14:paraId="005CBFAB" w14:textId="77777777" w:rsidR="00A65192" w:rsidRDefault="00A65192">
      <w:pPr>
        <w:rPr>
          <w:rFonts w:cs="Arial"/>
          <w:sz w:val="22"/>
          <w:szCs w:val="22"/>
        </w:rPr>
      </w:pPr>
    </w:p>
    <w:sectPr w:rsidR="00A65192">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E9B7" w14:textId="77777777" w:rsidR="00903EF6" w:rsidRDefault="00903EF6">
      <w:r>
        <w:separator/>
      </w:r>
    </w:p>
  </w:endnote>
  <w:endnote w:type="continuationSeparator" w:id="0">
    <w:p w14:paraId="083F5D62" w14:textId="77777777" w:rsidR="00903EF6" w:rsidRDefault="009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35E7" w14:textId="77777777" w:rsidR="00A65192" w:rsidRDefault="00A6519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D4D2" w14:textId="77777777" w:rsidR="00A65192" w:rsidRDefault="00A65192">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6121" w14:textId="77777777" w:rsidR="00903EF6" w:rsidRDefault="00903EF6">
      <w:r>
        <w:separator/>
      </w:r>
    </w:p>
  </w:footnote>
  <w:footnote w:type="continuationSeparator" w:id="0">
    <w:p w14:paraId="3C24FC0C" w14:textId="77777777" w:rsidR="00903EF6" w:rsidRDefault="0090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4673" w14:textId="77777777" w:rsidR="00A65192" w:rsidRDefault="00000000">
    <w:r>
      <w:rPr>
        <w:noProof/>
      </w:rPr>
      <w:pict w14:anchorId="629AB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w10:wrap anchorx="margin" anchory="margin"/>
        </v:shape>
      </w:pict>
    </w:r>
    <w:r>
      <w:rPr>
        <w:noProof/>
      </w:rPr>
      <w:pict w14:anchorId="64AB76F9">
        <v:shape id="WordPictureWatermark2" o:spid="_x0000_s1025" type="#_x0000_t75" alt="keydocs-background" style="position:absolute;margin-left:0;margin-top:0;width:595.15pt;height:842.2pt;z-index:-1;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394" w14:textId="77777777" w:rsidR="00A65192" w:rsidRDefault="00A65192"/>
  <w:p w14:paraId="431CB04B" w14:textId="77777777" w:rsidR="00A65192" w:rsidRDefault="00A65192"/>
  <w:p w14:paraId="3EA40AAF" w14:textId="77777777" w:rsidR="00A65192" w:rsidRDefault="00A6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35F" w14:textId="77777777" w:rsidR="00A65192" w:rsidRDefault="00A65192"/>
  <w:p w14:paraId="4A8B4EE2" w14:textId="77777777" w:rsidR="00A65192" w:rsidRDefault="00A65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30pt" o:bullet="t">
        <v:imagedata r:id="rId1" o:title="Tick"/>
      </v:shape>
    </w:pict>
  </w:numPicBullet>
  <w:numPicBullet w:numPicBulletId="1">
    <w:pict>
      <v:shape id="_x0000_i1047" type="#_x0000_t75" style="width:30pt;height:30pt" o:bullet="t">
        <v:imagedata r:id="rId2" o:title="Cross"/>
      </v:shape>
    </w:pict>
  </w:numPicBullet>
  <w:numPicBullet w:numPicBulletId="2">
    <w:pict>
      <v:shape id="_x0000_i1048" type="#_x0000_t75" style="width:209.25pt;height:332.25pt" o:bullet="t">
        <v:imagedata r:id="rId3" o:title="art1EF6"/>
      </v:shape>
    </w:pict>
  </w:numPicBullet>
  <w:numPicBullet w:numPicBulletId="3">
    <w:pict>
      <v:shape id="_x0000_i1049" type="#_x0000_t75" style="width:209.25pt;height:332.25pt" o:bullet="t">
        <v:imagedata r:id="rId4" o:title="TK_LOGO_POINTER_RGB_bullet_blue"/>
      </v:shape>
    </w:pict>
  </w:numPicBullet>
  <w:abstractNum w:abstractNumId="0" w15:restartNumberingAfterBreak="0">
    <w:nsid w:val="0178076B"/>
    <w:multiLevelType w:val="hybridMultilevel"/>
    <w:tmpl w:val="8BB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D3722"/>
    <w:multiLevelType w:val="hybridMultilevel"/>
    <w:tmpl w:val="0D444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55C0"/>
    <w:multiLevelType w:val="hybridMultilevel"/>
    <w:tmpl w:val="F158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20772"/>
    <w:multiLevelType w:val="hybridMultilevel"/>
    <w:tmpl w:val="956E3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E01DA1"/>
    <w:multiLevelType w:val="hybridMultilevel"/>
    <w:tmpl w:val="D8EC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DBC1A0D"/>
    <w:multiLevelType w:val="hybridMultilevel"/>
    <w:tmpl w:val="04940F70"/>
    <w:lvl w:ilvl="0" w:tplc="BD3E95DA">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76805640">
    <w:abstractNumId w:val="19"/>
  </w:num>
  <w:num w:numId="2" w16cid:durableId="1748847251">
    <w:abstractNumId w:val="4"/>
  </w:num>
  <w:num w:numId="3" w16cid:durableId="1049652565">
    <w:abstractNumId w:val="12"/>
  </w:num>
  <w:num w:numId="4" w16cid:durableId="431513187">
    <w:abstractNumId w:val="20"/>
  </w:num>
  <w:num w:numId="5" w16cid:durableId="1131627330">
    <w:abstractNumId w:val="1"/>
  </w:num>
  <w:num w:numId="6" w16cid:durableId="1814593054">
    <w:abstractNumId w:val="9"/>
  </w:num>
  <w:num w:numId="7" w16cid:durableId="685402193">
    <w:abstractNumId w:val="3"/>
  </w:num>
  <w:num w:numId="8" w16cid:durableId="1195927059">
    <w:abstractNumId w:val="5"/>
  </w:num>
  <w:num w:numId="9" w16cid:durableId="1031495965">
    <w:abstractNumId w:val="21"/>
  </w:num>
  <w:num w:numId="10" w16cid:durableId="1753769264">
    <w:abstractNumId w:val="12"/>
  </w:num>
  <w:num w:numId="11" w16cid:durableId="961960902">
    <w:abstractNumId w:val="4"/>
  </w:num>
  <w:num w:numId="12" w16cid:durableId="384135685">
    <w:abstractNumId w:val="21"/>
  </w:num>
  <w:num w:numId="13" w16cid:durableId="1990478991">
    <w:abstractNumId w:val="19"/>
  </w:num>
  <w:num w:numId="14" w16cid:durableId="1572690442">
    <w:abstractNumId w:val="20"/>
  </w:num>
  <w:num w:numId="15" w16cid:durableId="1892307479">
    <w:abstractNumId w:val="3"/>
  </w:num>
  <w:num w:numId="16" w16cid:durableId="2131898573">
    <w:abstractNumId w:val="5"/>
  </w:num>
  <w:num w:numId="17" w16cid:durableId="1433666904">
    <w:abstractNumId w:val="20"/>
  </w:num>
  <w:num w:numId="18" w16cid:durableId="812985638">
    <w:abstractNumId w:val="11"/>
  </w:num>
  <w:num w:numId="19" w16cid:durableId="1152405687">
    <w:abstractNumId w:val="15"/>
  </w:num>
  <w:num w:numId="20" w16cid:durableId="1240601342">
    <w:abstractNumId w:val="18"/>
  </w:num>
  <w:num w:numId="21" w16cid:durableId="1571234054">
    <w:abstractNumId w:val="2"/>
  </w:num>
  <w:num w:numId="22" w16cid:durableId="609971795">
    <w:abstractNumId w:val="8"/>
  </w:num>
  <w:num w:numId="23" w16cid:durableId="907688709">
    <w:abstractNumId w:val="0"/>
  </w:num>
  <w:num w:numId="24" w16cid:durableId="2140957326">
    <w:abstractNumId w:val="6"/>
  </w:num>
  <w:num w:numId="25" w16cid:durableId="559291710">
    <w:abstractNumId w:val="16"/>
  </w:num>
  <w:num w:numId="26" w16cid:durableId="411782379">
    <w:abstractNumId w:val="7"/>
  </w:num>
  <w:num w:numId="27" w16cid:durableId="244262520">
    <w:abstractNumId w:val="17"/>
  </w:num>
  <w:num w:numId="28" w16cid:durableId="354040966">
    <w:abstractNumId w:val="13"/>
  </w:num>
  <w:num w:numId="29" w16cid:durableId="523597029">
    <w:abstractNumId w:val="10"/>
  </w:num>
  <w:num w:numId="30" w16cid:durableId="135496268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8CB"/>
    <w:rsid w:val="000D68CB"/>
    <w:rsid w:val="00206330"/>
    <w:rsid w:val="00411FBB"/>
    <w:rsid w:val="00903EF6"/>
    <w:rsid w:val="00A65192"/>
    <w:rsid w:val="00CE683E"/>
    <w:rsid w:val="08BA8F2A"/>
    <w:rsid w:val="0FD2B956"/>
    <w:rsid w:val="1394DF6E"/>
    <w:rsid w:val="23E25C48"/>
    <w:rsid w:val="25372C59"/>
    <w:rsid w:val="2950E65C"/>
    <w:rsid w:val="2E2C8014"/>
    <w:rsid w:val="415C02A6"/>
    <w:rsid w:val="45FED910"/>
    <w:rsid w:val="47630F39"/>
    <w:rsid w:val="4AF85749"/>
    <w:rsid w:val="515D1677"/>
    <w:rsid w:val="59747B54"/>
    <w:rsid w:val="5BC7A1FA"/>
    <w:rsid w:val="5CB238FA"/>
    <w:rsid w:val="6D92AA70"/>
    <w:rsid w:val="70E76B32"/>
    <w:rsid w:val="75E0E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C44DB03"/>
  <w15:chartTrackingRefBased/>
  <w15:docId w15:val="{BA9EEB24-21D8-4BFB-BE8E-96E70F5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paragraph" w:styleId="Header">
    <w:name w:val="header"/>
    <w:basedOn w:val="Normal"/>
    <w:link w:val="HeaderChar"/>
    <w:pPr>
      <w:tabs>
        <w:tab w:val="center" w:pos="4320"/>
        <w:tab w:val="right" w:pos="8640"/>
      </w:tabs>
      <w:spacing w:after="0"/>
    </w:pPr>
    <w:rPr>
      <w:rFonts w:ascii="Times New Roman" w:eastAsia="Times New Roman" w:hAnsi="Times New Roman"/>
      <w:sz w:val="24"/>
      <w:lang w:val="en-GB"/>
    </w:rPr>
  </w:style>
  <w:style w:type="character" w:customStyle="1" w:styleId="HeaderChar">
    <w:name w:val="Header Char"/>
    <w:link w:val="Heade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22007386">
      <w:bodyDiv w:val="1"/>
      <w:marLeft w:val="0"/>
      <w:marRight w:val="0"/>
      <w:marTop w:val="0"/>
      <w:marBottom w:val="0"/>
      <w:divBdr>
        <w:top w:val="none" w:sz="0" w:space="0" w:color="auto"/>
        <w:left w:val="none" w:sz="0" w:space="0" w:color="auto"/>
        <w:bottom w:val="none" w:sz="0" w:space="0" w:color="auto"/>
        <w:right w:val="none" w:sz="0" w:space="0" w:color="auto"/>
      </w:divBdr>
    </w:div>
    <w:div w:id="426464202">
      <w:bodyDiv w:val="1"/>
      <w:marLeft w:val="0"/>
      <w:marRight w:val="0"/>
      <w:marTop w:val="0"/>
      <w:marBottom w:val="0"/>
      <w:divBdr>
        <w:top w:val="none" w:sz="0" w:space="0" w:color="auto"/>
        <w:left w:val="none" w:sz="0" w:space="0" w:color="auto"/>
        <w:bottom w:val="none" w:sz="0" w:space="0" w:color="auto"/>
        <w:right w:val="none" w:sz="0" w:space="0" w:color="auto"/>
      </w:divBdr>
    </w:div>
    <w:div w:id="643588405">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126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20Fowl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E799E05-6D6D-4A81-B3B7-111D37A5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1</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Fowler</dc:creator>
  <cp:keywords/>
  <dc:description/>
  <cp:lastModifiedBy>J Atkinson (Tottington Staff)</cp:lastModifiedBy>
  <cp:revision>2</cp:revision>
  <cp:lastPrinted>2018-10-02T14:43:00Z</cp:lastPrinted>
  <dcterms:created xsi:type="dcterms:W3CDTF">2023-10-02T14:43:00Z</dcterms:created>
  <dcterms:modified xsi:type="dcterms:W3CDTF">2023-10-02T14:43:00Z</dcterms:modified>
</cp:coreProperties>
</file>