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D337A" w14:textId="2489666C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CC1CF8">
        <w:rPr>
          <w:rFonts w:ascii="Century Gothic" w:hAnsi="Century Gothic"/>
          <w:sz w:val="32"/>
          <w:szCs w:val="32"/>
        </w:rPr>
        <w:t xml:space="preserve">4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CA4394">
        <w:rPr>
          <w:rFonts w:ascii="Century Gothic" w:hAnsi="Century Gothic"/>
          <w:sz w:val="32"/>
          <w:szCs w:val="32"/>
        </w:rPr>
        <w:t>5-26</w:t>
      </w:r>
    </w:p>
    <w:p w14:paraId="4C4C735C" w14:textId="071A33D7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2E8EC" wp14:editId="3DAE80D9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3BAF0" w14:textId="1FB776F9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1C0AE2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02E8EC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" fillcolor="#090" strokecolor="#09101d [484]" strokeweight="1pt">
                <v:textbox>
                  <w:txbxContent>
                    <w:p w14:paraId="0803BAF0" w14:textId="1FB776F9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1C0AE2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1C0AE2">
        <w:rPr>
          <w:rFonts w:ascii="Century Gothic" w:hAnsi="Century Gothic"/>
          <w:b/>
          <w:bCs/>
          <w:sz w:val="36"/>
          <w:szCs w:val="36"/>
        </w:rPr>
        <w:t>GEOGRAPHY</w:t>
      </w:r>
    </w:p>
    <w:tbl>
      <w:tblPr>
        <w:tblStyle w:val="TableGrid"/>
        <w:tblpPr w:leftFromText="180" w:rightFromText="180" w:vertAnchor="page" w:horzAnchor="margin" w:tblpY="4621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231"/>
        <w:gridCol w:w="3260"/>
        <w:gridCol w:w="3177"/>
        <w:gridCol w:w="2708"/>
      </w:tblGrid>
      <w:tr w:rsidR="001C0AE2" w14:paraId="751FB59B" w14:textId="77777777" w:rsidTr="00CA4394">
        <w:tc>
          <w:tcPr>
            <w:tcW w:w="10376" w:type="dxa"/>
            <w:gridSpan w:val="4"/>
            <w:shd w:val="clear" w:color="auto" w:fill="009900"/>
          </w:tcPr>
          <w:p w14:paraId="4688472F" w14:textId="77777777" w:rsidR="001C0AE2" w:rsidRPr="00F91CA1" w:rsidRDefault="001C0AE2" w:rsidP="00CA4394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1C0AE2" w14:paraId="10E225F0" w14:textId="77777777" w:rsidTr="00CA4394">
        <w:tc>
          <w:tcPr>
            <w:tcW w:w="1231" w:type="dxa"/>
            <w:shd w:val="clear" w:color="auto" w:fill="D9D9D9" w:themeFill="background1" w:themeFillShade="D9"/>
          </w:tcPr>
          <w:p w14:paraId="5C86EBD9" w14:textId="77777777" w:rsidR="001C0AE2" w:rsidRDefault="001C0AE2" w:rsidP="00CA43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KS4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F12DD71" w14:textId="77777777" w:rsidR="001C0AE2" w:rsidRDefault="001C0AE2" w:rsidP="00CA43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3177" w:type="dxa"/>
            <w:shd w:val="clear" w:color="auto" w:fill="D9D9D9" w:themeFill="background1" w:themeFillShade="D9"/>
          </w:tcPr>
          <w:p w14:paraId="51C60A52" w14:textId="77777777" w:rsidR="001C0AE2" w:rsidRDefault="001C0AE2" w:rsidP="00CA43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3586D690" w14:textId="77777777" w:rsidR="001C0AE2" w:rsidRDefault="001C0AE2" w:rsidP="00CA43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1C0AE2" w14:paraId="655C96DB" w14:textId="77777777" w:rsidTr="00CA4394">
        <w:trPr>
          <w:trHeight w:val="4169"/>
        </w:trPr>
        <w:tc>
          <w:tcPr>
            <w:tcW w:w="1231" w:type="dxa"/>
            <w:shd w:val="clear" w:color="auto" w:fill="FFFFFF" w:themeFill="background1"/>
          </w:tcPr>
          <w:p w14:paraId="4ED61093" w14:textId="77777777" w:rsidR="001C0AE2" w:rsidRPr="001C0AE2" w:rsidRDefault="001C0AE2" w:rsidP="00CA4394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Year 10</w:t>
            </w:r>
          </w:p>
        </w:tc>
        <w:tc>
          <w:tcPr>
            <w:tcW w:w="3260" w:type="dxa"/>
          </w:tcPr>
          <w:p w14:paraId="5669A924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Resources</w:t>
            </w:r>
          </w:p>
          <w:p w14:paraId="2E8AB18E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UK food, water and energy.</w:t>
            </w:r>
          </w:p>
          <w:p w14:paraId="05E40C19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Global Water of surplus and deficit, Changing water needs, Factors affecting water availability, Impacts of water security, Increasing water supplies, Strategies to increase water supplies</w:t>
            </w:r>
          </w:p>
          <w:p w14:paraId="5183DA89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</w:p>
          <w:p w14:paraId="6F8A47EF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Natural Hazards</w:t>
            </w:r>
          </w:p>
          <w:p w14:paraId="1C9E8F39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Causes of NH, living near the risk: plate tectonics, primary and secondary effects of a n earthquake, immediate and long term responses to an earthquake, predict, plan and protect. against a tectonic hazard.</w:t>
            </w:r>
          </w:p>
          <w:p w14:paraId="54C84A73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</w:p>
          <w:p w14:paraId="0546AD93" w14:textId="1A3EDD41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Economic World</w:t>
            </w:r>
            <w:r w:rsidR="005A1966" w:rsidRPr="00CA4394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="00CA4394" w:rsidRPr="00CA4394">
              <w:rPr>
                <w:rFonts w:ascii="Century Gothic" w:hAnsi="Century Gothic"/>
                <w:sz w:val="14"/>
                <w:szCs w:val="14"/>
              </w:rPr>
              <w:t>– Uneven Development</w:t>
            </w:r>
          </w:p>
          <w:p w14:paraId="0785C7E1" w14:textId="22DCF752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Levels of development,  development gap, Case study of a NEE (Nigeria)- Location and importance, wider political, social, cultural and environmental context, changing industry, TNCs (Shell), Aid, Changing political and trading relationships, Environmental impacts of development.</w:t>
            </w:r>
          </w:p>
        </w:tc>
        <w:tc>
          <w:tcPr>
            <w:tcW w:w="3177" w:type="dxa"/>
          </w:tcPr>
          <w:p w14:paraId="3251BB3D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Weather Hazards and Climate Change</w:t>
            </w:r>
          </w:p>
          <w:p w14:paraId="0488DBFC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 xml:space="preserve">Global atmospheric circulation model, Tropical storms (distribution , relationship between climate change, causes, structure, effects, responses and predict, protect and preparation) </w:t>
            </w:r>
          </w:p>
          <w:p w14:paraId="116C0C0F" w14:textId="5262A260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UK</w:t>
            </w:r>
          </w:p>
          <w:p w14:paraId="2CFC1B36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</w:p>
          <w:p w14:paraId="79174B70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Weather in the UK,  UK weather case study.</w:t>
            </w:r>
          </w:p>
          <w:p w14:paraId="0DB601C9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Climate change</w:t>
            </w:r>
          </w:p>
          <w:p w14:paraId="1A6F4215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Evidence, causes, managing climate change.</w:t>
            </w:r>
          </w:p>
          <w:p w14:paraId="3946CCBD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Ecosystems</w:t>
            </w:r>
          </w:p>
          <w:p w14:paraId="6C292F79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World biomes, small scale ecosystem, Location of TRFs, adaptations, causes of deforestation in the Amazon, impacts, risks, protection and future sustainability.</w:t>
            </w:r>
          </w:p>
          <w:p w14:paraId="030F135F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08" w:type="dxa"/>
          </w:tcPr>
          <w:p w14:paraId="7466D1E4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Urban Issue and Challenges</w:t>
            </w:r>
          </w:p>
          <w:p w14:paraId="278F0261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HIC City of Liverpool: challenges and opportunities.</w:t>
            </w:r>
          </w:p>
          <w:p w14:paraId="345B1908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LIC City of Rio</w:t>
            </w:r>
          </w:p>
          <w:p w14:paraId="25DC20EC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Hot Deserts</w:t>
            </w:r>
          </w:p>
          <w:p w14:paraId="08E7CF7C" w14:textId="5EACB464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Location, challenges, opportunities in the Sahara, desertification – causes and management</w:t>
            </w:r>
          </w:p>
          <w:p w14:paraId="22914F00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</w:p>
          <w:p w14:paraId="51167392" w14:textId="75CA7A0D" w:rsidR="001C0AE2" w:rsidRPr="00CA4394" w:rsidRDefault="00CA4394" w:rsidP="00CA4394">
            <w:pPr>
              <w:spacing w:line="18" w:lineRule="atLeast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CA4394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Current Year 10 will study coasts here in preparation for the fieldwork to be completed in Term 3. </w:t>
            </w:r>
          </w:p>
        </w:tc>
      </w:tr>
      <w:tr w:rsidR="001C0AE2" w14:paraId="532D3657" w14:textId="77777777" w:rsidTr="00CA4394">
        <w:tc>
          <w:tcPr>
            <w:tcW w:w="1231" w:type="dxa"/>
            <w:shd w:val="clear" w:color="auto" w:fill="D9D9D9" w:themeFill="background1" w:themeFillShade="D9"/>
          </w:tcPr>
          <w:p w14:paraId="2C144233" w14:textId="77777777" w:rsidR="001C0AE2" w:rsidRPr="001C0AE2" w:rsidRDefault="001C0AE2" w:rsidP="00CA4394">
            <w:pPr>
              <w:spacing w:line="18" w:lineRule="atLeast"/>
              <w:rPr>
                <w:rFonts w:ascii="Century Gothic" w:hAnsi="Century Gothic"/>
                <w:sz w:val="20"/>
                <w:szCs w:val="20"/>
              </w:rPr>
            </w:pPr>
            <w:r w:rsidRPr="001C0AE2">
              <w:rPr>
                <w:rFonts w:ascii="Century Gothic" w:hAnsi="Century Gothic"/>
                <w:sz w:val="20"/>
                <w:szCs w:val="20"/>
              </w:rPr>
              <w:t>Year 11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03C74EC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UK Land Landscapes: Coasts</w:t>
            </w:r>
          </w:p>
          <w:p w14:paraId="4A5E45C5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 xml:space="preserve">Waves, coastal processes, erosion landforms, depositional landforms, Management.  </w:t>
            </w:r>
          </w:p>
          <w:p w14:paraId="1DA76DB6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UK Landscapes: Rivers</w:t>
            </w:r>
          </w:p>
          <w:p w14:paraId="3B289C1C" w14:textId="1208BA9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Process, features and formations of erosional and depositional landforms, flooding causes, effects and management.</w:t>
            </w:r>
          </w:p>
          <w:p w14:paraId="73EAF65D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</w:p>
          <w:p w14:paraId="431E6D51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Economic World - UK</w:t>
            </w:r>
          </w:p>
          <w:p w14:paraId="46A2A252" w14:textId="0154826A" w:rsidR="001C0AE2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Causes of economic change in the UK, Post-industrial economy, Impact of industry on our environment, social and economic change in a rural landscape, improvements in transport, North / South divide, Place of UK in wider world</w:t>
            </w:r>
          </w:p>
        </w:tc>
        <w:tc>
          <w:tcPr>
            <w:tcW w:w="3177" w:type="dxa"/>
            <w:shd w:val="clear" w:color="auto" w:fill="D9D9D9" w:themeFill="background1" w:themeFillShade="D9"/>
          </w:tcPr>
          <w:p w14:paraId="2E7DE295" w14:textId="43CDA421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Fieldwork</w:t>
            </w:r>
          </w:p>
          <w:p w14:paraId="6504AC88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 xml:space="preserve">Recapping knowledge and understanding of knowledge in preparation for the fieldwork element in Paper 3. </w:t>
            </w:r>
          </w:p>
          <w:p w14:paraId="2E6A3CE1" w14:textId="234CF114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Physical fieldwork</w:t>
            </w:r>
            <w:r w:rsidRPr="00CA4394">
              <w:rPr>
                <w:rFonts w:ascii="Century Gothic" w:hAnsi="Century Gothic"/>
                <w:sz w:val="14"/>
                <w:szCs w:val="14"/>
              </w:rPr>
              <w:t xml:space="preserve"> – How does a transect change along a sand dune system?</w:t>
            </w:r>
          </w:p>
          <w:p w14:paraId="27BB389C" w14:textId="77777777" w:rsidR="001C0AE2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Human – Economic and environmental changes on the Albert Dock due to regeneration</w:t>
            </w:r>
            <w:r w:rsidRPr="00CA4394">
              <w:rPr>
                <w:rFonts w:ascii="Century Gothic" w:hAnsi="Century Gothic"/>
                <w:sz w:val="14"/>
                <w:szCs w:val="14"/>
              </w:rPr>
              <w:t xml:space="preserve">. </w:t>
            </w:r>
          </w:p>
          <w:p w14:paraId="06376B90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</w:p>
          <w:p w14:paraId="139E7CD8" w14:textId="32EDE0CA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 xml:space="preserve">Students will also recap significant skills and concepts ready for more targeted revision in LP3. 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42282CB5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Pre-release</w:t>
            </w:r>
          </w:p>
          <w:p w14:paraId="17C14A72" w14:textId="77777777" w:rsidR="001C0AE2" w:rsidRPr="00CA4394" w:rsidRDefault="001C0AE2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>Evaluation and analysis of booklet, exam techniques and practice linked to information in pre-release.</w:t>
            </w:r>
          </w:p>
          <w:p w14:paraId="7576CC0F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</w:p>
          <w:p w14:paraId="34A54E07" w14:textId="77777777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  <w:r w:rsidRPr="00CA4394">
              <w:rPr>
                <w:rFonts w:ascii="Century Gothic" w:hAnsi="Century Gothic"/>
                <w:sz w:val="14"/>
                <w:szCs w:val="14"/>
              </w:rPr>
              <w:t xml:space="preserve">Exam technique and addressing misconceptions. </w:t>
            </w:r>
          </w:p>
          <w:p w14:paraId="1A47E51D" w14:textId="0617FC7B" w:rsidR="00CA4394" w:rsidRPr="00CA4394" w:rsidRDefault="00CA4394" w:rsidP="00CA4394">
            <w:pPr>
              <w:spacing w:line="18" w:lineRule="atLeast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2BF2786D" w14:textId="1A7EF0E2" w:rsidR="00F91CA1" w:rsidRPr="00F91CA1" w:rsidRDefault="001C0AE2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BD3CA" wp14:editId="72540B94">
                <wp:simplePos x="0" y="0"/>
                <wp:positionH relativeFrom="column">
                  <wp:posOffset>12700</wp:posOffset>
                </wp:positionH>
                <wp:positionV relativeFrom="paragraph">
                  <wp:posOffset>300990</wp:posOffset>
                </wp:positionV>
                <wp:extent cx="6648247" cy="774700"/>
                <wp:effectExtent l="0" t="0" r="1968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247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CEA6C" w14:textId="5C6119B8" w:rsidR="001C0AE2" w:rsidRPr="00CA4394" w:rsidRDefault="005A1966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CA439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Students follow the AQA Geography Specification. The sequence has been organised to allow </w:t>
                            </w:r>
                            <w:r w:rsidR="00CA4394" w:rsidRPr="00CA439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interleaving between units and concepts. Building on the knowledge</w:t>
                            </w:r>
                            <w:r w:rsidR="00EC67D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CA4394" w:rsidRPr="00CA439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concepts</w:t>
                            </w:r>
                            <w:r w:rsidR="00EC67D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and places</w:t>
                            </w:r>
                            <w:r w:rsidR="00CA4394" w:rsidRPr="00CA439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from KS3, students will study the concepts of development and inequality </w:t>
                            </w:r>
                            <w:r w:rsidR="00EC67D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to enable them to</w:t>
                            </w:r>
                            <w:r w:rsidR="00CA4394" w:rsidRPr="00CA439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apply this to contrasting examples later in the course. </w:t>
                            </w:r>
                            <w:r w:rsidR="00CA439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Skills will be interspersed throughout, with a focus on </w:t>
                            </w:r>
                            <w:r w:rsidR="00EC67D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explaining ‘like a geographer’, </w:t>
                            </w:r>
                            <w:r w:rsidR="00CA439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critical thinking and balancing supported arguments throughout. Fieldwork will be incorporated in Term 3 of Year 10 to support the </w:t>
                            </w:r>
                            <w:r w:rsidR="00EC67D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skill development throughout Year 11.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BD3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pt;margin-top:23.7pt;width:523.5pt;height:6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" fillcolor="white [3201]" strokeweight=".5pt">
                <v:textbox>
                  <w:txbxContent>
                    <w:p w14:paraId="59CCEA6C" w14:textId="5C6119B8" w:rsidR="001C0AE2" w:rsidRPr="00CA4394" w:rsidRDefault="005A1966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CA4394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Students follow the AQA Geography Specification. The sequence has been organised to allow </w:t>
                      </w:r>
                      <w:r w:rsidR="00CA4394" w:rsidRPr="00CA4394">
                        <w:rPr>
                          <w:rFonts w:ascii="Century Gothic" w:hAnsi="Century Gothic"/>
                          <w:sz w:val="16"/>
                          <w:szCs w:val="16"/>
                        </w:rPr>
                        <w:t>interleaving between units and concepts. Building on the knowledge</w:t>
                      </w:r>
                      <w:r w:rsidR="00EC67D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, </w:t>
                      </w:r>
                      <w:r w:rsidR="00CA4394" w:rsidRPr="00CA4394">
                        <w:rPr>
                          <w:rFonts w:ascii="Century Gothic" w:hAnsi="Century Gothic"/>
                          <w:sz w:val="16"/>
                          <w:szCs w:val="16"/>
                        </w:rPr>
                        <w:t>concepts</w:t>
                      </w:r>
                      <w:r w:rsidR="00EC67D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and places</w:t>
                      </w:r>
                      <w:r w:rsidR="00CA4394" w:rsidRPr="00CA4394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from KS3, students will study the concepts of development and inequality </w:t>
                      </w:r>
                      <w:r w:rsidR="00EC67D0">
                        <w:rPr>
                          <w:rFonts w:ascii="Century Gothic" w:hAnsi="Century Gothic"/>
                          <w:sz w:val="16"/>
                          <w:szCs w:val="16"/>
                        </w:rPr>
                        <w:t>to enable them to</w:t>
                      </w:r>
                      <w:r w:rsidR="00CA4394" w:rsidRPr="00CA4394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apply this to contrasting examples later in the course. </w:t>
                      </w:r>
                      <w:r w:rsidR="00CA4394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Skills will be interspersed throughout, with a focus on </w:t>
                      </w:r>
                      <w:r w:rsidR="00EC67D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explaining ‘like a geographer’, </w:t>
                      </w:r>
                      <w:r w:rsidR="00CA4394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critical thinking and balancing supported arguments throughout. Fieldwork will be incorporated in Term 3 of Year 10 to support the </w:t>
                      </w:r>
                      <w:r w:rsidR="00EC67D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skill development throughout Year 11.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1CA1" w:rsidRPr="00F91CA1" w:rsidSect="00F91CA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5CD70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64EB0833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AE4EC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754F555F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B777C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27C3B1FB" w14:textId="77777777" w:rsidR="00F91CA1" w:rsidRDefault="00F91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1C0AE2"/>
    <w:rsid w:val="005A1966"/>
    <w:rsid w:val="009D6B3C"/>
    <w:rsid w:val="00A87C41"/>
    <w:rsid w:val="00AA193B"/>
    <w:rsid w:val="00CA4394"/>
    <w:rsid w:val="00CC1CF8"/>
    <w:rsid w:val="00D97740"/>
    <w:rsid w:val="00EC67D0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B698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Joanne New</cp:lastModifiedBy>
  <cp:revision>4</cp:revision>
  <dcterms:created xsi:type="dcterms:W3CDTF">2025-12-15T13:00:00Z</dcterms:created>
  <dcterms:modified xsi:type="dcterms:W3CDTF">2025-12-18T11:00:00Z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