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BAB" w14:textId="6FC58993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2B449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8918CD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8918CD">
        <w:rPr>
          <w:rFonts w:ascii="Century Gothic" w:hAnsi="Century Gothic"/>
          <w:sz w:val="32"/>
          <w:szCs w:val="32"/>
        </w:rPr>
        <w:t>6</w:t>
      </w:r>
    </w:p>
    <w:p w14:paraId="766D94DF" w14:textId="065D39F6" w:rsidR="00A87C41" w:rsidRDefault="00285518" w:rsidP="00F91CA1">
      <w:pPr>
        <w:rPr>
          <w:rFonts w:ascii="Century Gothic" w:hAnsi="Century Gothic"/>
          <w:b/>
          <w:bCs/>
          <w:sz w:val="36"/>
          <w:szCs w:val="36"/>
        </w:rPr>
      </w:pPr>
      <w:r w:rsidRPr="00285518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3B7AA" wp14:editId="6C7E196C">
                <wp:simplePos x="0" y="0"/>
                <wp:positionH relativeFrom="margin">
                  <wp:align>left</wp:align>
                </wp:positionH>
                <wp:positionV relativeFrom="paragraph">
                  <wp:posOffset>704850</wp:posOffset>
                </wp:positionV>
                <wp:extent cx="6648450" cy="2190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D1EF3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A range of sports and activities are offered to all students each lesson/half term. Students opt into a group of their choice to encourage participation and enjoyment. Students are able to build on skills and knowledge secured in year 7/8/9, developing a variety of tactics and strategies to overcome opponents in team and individual games. Students are able to evaluate their performances and demonstrate improvements across a range of activities.</w:t>
                            </w:r>
                          </w:p>
                          <w:p w14:paraId="2B58BB43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Sport science </w:t>
                            </w: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Students complete first unit of coursework RO43: The Body’s Response to Physical Activity </w:t>
                            </w: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building on skills and knowledge learnt in year 7,8,&amp;9.</w:t>
                            </w:r>
                          </w:p>
                          <w:p w14:paraId="0614C1F3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Sport science </w:t>
                            </w: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Students complete RO41: Reducing the Risk of Injuries</w:t>
                            </w:r>
                          </w:p>
                          <w:p w14:paraId="5B2D301B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Sport science students complete second and third units of coursework. RO42: Applying the principles of training and RO46: Technology in Sport. Links between units made and knowledge built upon. Subject and sport specific terminology and examples continuing to grow and develop.</w:t>
                            </w:r>
                          </w:p>
                          <w:p w14:paraId="6F9B6D06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re-submit any coursework units if necessary.</w:t>
                            </w:r>
                          </w:p>
                          <w:p w14:paraId="69F64E41" w14:textId="4C2B2FC7" w:rsidR="00285518" w:rsidRDefault="00285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B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5pt;width:523.5pt;height:17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wADgIAACA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">
                <v:textbox>
                  <w:txbxContent>
                    <w:p w14:paraId="218D1EF3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A range of sports and activities are offered to all students each lesson/half term. Students opt into a group of their choice to encourage participation and enjoyment. Students are able to build on skills and knowledge secured in year 7/8/9, developing a variety of tactics and strategies to overcome opponents in team and individual games. Students are able to evaluate their performances and demonstrate improvements across a range of activities.</w:t>
                      </w:r>
                    </w:p>
                    <w:p w14:paraId="2B58BB43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Sport science </w:t>
                      </w: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Students complete first unit of coursework RO43: The Body’s Response to Physical Activity </w:t>
                      </w: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building on skills and knowledge learnt in year 7,8,&amp;9.</w:t>
                      </w:r>
                    </w:p>
                    <w:p w14:paraId="0614C1F3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Sport science </w:t>
                      </w: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Students complete RO41: Reducing the Risk of Injuries</w:t>
                      </w:r>
                    </w:p>
                    <w:p w14:paraId="5B2D301B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Sport science students complete second and third units of coursework. RO42: Applying the principles of training and RO46: Technology in Sport. Links between units made and knowledge built upon. Subject and sport specific terminology and examples continuing to grow and develop.</w:t>
                      </w:r>
                    </w:p>
                    <w:p w14:paraId="6F9B6D06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re-submit any coursework units if necessary.</w:t>
                      </w:r>
                    </w:p>
                    <w:p w14:paraId="69F64E41" w14:textId="4C2B2FC7" w:rsidR="00285518" w:rsidRDefault="00285518"/>
                  </w:txbxContent>
                </v:textbox>
                <w10:wrap type="square" anchorx="margin"/>
              </v:shape>
            </w:pict>
          </mc:Fallback>
        </mc:AlternateContent>
      </w:r>
      <w:r w:rsidR="00F91CA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C2506" wp14:editId="6E7F361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4BF3E" w14:textId="1482F1DF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28551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C2506" id="Rectangle 2" o:spid="_x0000_s1027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+UfwIAAFk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" fillcolor="#090" strokecolor="#09101d [484]" strokeweight="1pt">
                <v:textbox>
                  <w:txbxContent>
                    <w:p w14:paraId="3AE4BF3E" w14:textId="1482F1DF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285518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>
        <w:rPr>
          <w:rFonts w:ascii="Century Gothic" w:hAnsi="Century Gothic"/>
          <w:b/>
          <w:bCs/>
          <w:sz w:val="36"/>
          <w:szCs w:val="36"/>
        </w:rPr>
        <w:t>PE</w:t>
      </w:r>
    </w:p>
    <w:p w14:paraId="64F52279" w14:textId="157A0D4F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</w:p>
    <w:p w14:paraId="2B3878B7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17C84719" w14:textId="77777777" w:rsidTr="00F91CA1">
        <w:tc>
          <w:tcPr>
            <w:tcW w:w="10376" w:type="dxa"/>
            <w:gridSpan w:val="4"/>
            <w:shd w:val="clear" w:color="auto" w:fill="009900"/>
          </w:tcPr>
          <w:p w14:paraId="307BC884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6AD85B32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795C4712" w14:textId="23FD9AB4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285518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41F7832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652FD58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8CDD10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147D9D" w14:paraId="2CDAD6F6" w14:textId="77777777" w:rsidTr="004213A6">
        <w:tc>
          <w:tcPr>
            <w:tcW w:w="1706" w:type="dxa"/>
            <w:shd w:val="clear" w:color="auto" w:fill="FFFFFF" w:themeFill="background1"/>
          </w:tcPr>
          <w:p w14:paraId="092F77B7" w14:textId="214BEDA5" w:rsidR="00147D9D" w:rsidRDefault="00147D9D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8670" w:type="dxa"/>
            <w:gridSpan w:val="3"/>
          </w:tcPr>
          <w:p w14:paraId="0EA6B783" w14:textId="29CF7EEB" w:rsidR="00147D9D" w:rsidRPr="00147D9D" w:rsidRDefault="00147D9D" w:rsidP="007D62C0">
            <w:pPr>
              <w:rPr>
                <w:rFonts w:ascii="Century Gothic" w:hAnsi="Century Gothic"/>
                <w:sz w:val="16"/>
                <w:szCs w:val="16"/>
              </w:rPr>
            </w:pPr>
            <w:r w:rsidRPr="00147D9D">
              <w:rPr>
                <w:rFonts w:ascii="Century Gothic" w:hAnsi="Century Gothic"/>
                <w:sz w:val="16"/>
                <w:szCs w:val="16"/>
              </w:rPr>
              <w:t>Sport Studies Students complete two units of coursework in year 10; R187: Increasing Awareness of Outdoor Adventurous Activities and R185: Performance and Leadership in sports activities.</w:t>
            </w:r>
          </w:p>
        </w:tc>
      </w:tr>
      <w:tr w:rsidR="007D62C0" w14:paraId="7D3F8078" w14:textId="77777777" w:rsidTr="00406609">
        <w:tc>
          <w:tcPr>
            <w:tcW w:w="1706" w:type="dxa"/>
            <w:shd w:val="clear" w:color="auto" w:fill="D9D9D9" w:themeFill="background1" w:themeFillShade="D9"/>
          </w:tcPr>
          <w:p w14:paraId="627561F3" w14:textId="2E99DD1F" w:rsidR="007D62C0" w:rsidRDefault="007D62C0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8670" w:type="dxa"/>
            <w:gridSpan w:val="3"/>
            <w:shd w:val="clear" w:color="auto" w:fill="D9D9D9" w:themeFill="background1" w:themeFillShade="D9"/>
          </w:tcPr>
          <w:p w14:paraId="5CFD51FF" w14:textId="56CD56AF" w:rsidR="007D62C0" w:rsidRPr="007D62C0" w:rsidRDefault="00147D9D" w:rsidP="00147D9D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</w:rPr>
            </w:pPr>
            <w:r w:rsidRPr="00147D9D">
              <w:rPr>
                <w:rFonts w:ascii="Century Gothic" w:hAnsi="Century Gothic"/>
                <w:sz w:val="16"/>
                <w:szCs w:val="16"/>
              </w:rPr>
              <w:t xml:space="preserve">In year 11 they study for their exam; R184: Contemporary issues in sport which includes topics such as participation levels, barriers to engaging in activity, technology in sport and hosting major sporting events. </w:t>
            </w:r>
          </w:p>
        </w:tc>
      </w:tr>
      <w:tr w:rsidR="007D62C0" w14:paraId="77C7D2C2" w14:textId="77777777" w:rsidTr="00912842">
        <w:tc>
          <w:tcPr>
            <w:tcW w:w="1706" w:type="dxa"/>
            <w:shd w:val="clear" w:color="auto" w:fill="D9D9D9" w:themeFill="background1" w:themeFillShade="D9"/>
          </w:tcPr>
          <w:p w14:paraId="3BB6DAE6" w14:textId="793DD133" w:rsidR="007D62C0" w:rsidRDefault="007D62C0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Y10/11 Core</w:t>
            </w:r>
          </w:p>
        </w:tc>
        <w:tc>
          <w:tcPr>
            <w:tcW w:w="8670" w:type="dxa"/>
            <w:gridSpan w:val="3"/>
            <w:shd w:val="clear" w:color="auto" w:fill="D9D9D9" w:themeFill="background1" w:themeFillShade="D9"/>
          </w:tcPr>
          <w:p w14:paraId="7F1C13BB" w14:textId="77777777" w:rsidR="00202CC1" w:rsidRPr="00202CC1" w:rsidRDefault="00202CC1" w:rsidP="00202CC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02CC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A range of sports and activities are offered to all students each lesson/half term. Students opt into a group of their choice to encourage participation and enjoyment. Students are able to build on skills and knowledge secured in year 7/8/9, developing a variety of tactics and strategies to overcome opponents in team and individual games. Students are able to evaluate their performances and demonstrate improvements across a range of activities. </w:t>
            </w:r>
          </w:p>
          <w:p w14:paraId="07237EE5" w14:textId="740857C5" w:rsidR="007D62C0" w:rsidRPr="007D62C0" w:rsidRDefault="007D62C0" w:rsidP="007D62C0">
            <w:pPr>
              <w:rPr>
                <w:rFonts w:ascii="Century Gothic" w:hAnsi="Century Gothic"/>
                <w:sz w:val="16"/>
                <w:szCs w:val="16"/>
                <w:highlight w:val="lightGray"/>
                <w:u w:val="single"/>
              </w:rPr>
            </w:pPr>
          </w:p>
        </w:tc>
      </w:tr>
    </w:tbl>
    <w:p w14:paraId="0247B4B5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512C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09AF04A0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B0A2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E9E1DB3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4522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FF2EFDC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6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04310"/>
    <w:rsid w:val="00147D9D"/>
    <w:rsid w:val="001A5B0D"/>
    <w:rsid w:val="00202CC1"/>
    <w:rsid w:val="00285518"/>
    <w:rsid w:val="002B4498"/>
    <w:rsid w:val="007A510D"/>
    <w:rsid w:val="007D62C0"/>
    <w:rsid w:val="008918CD"/>
    <w:rsid w:val="009D6B3C"/>
    <w:rsid w:val="00A87C41"/>
    <w:rsid w:val="00AA193B"/>
    <w:rsid w:val="00E86C2C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8FFE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28551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2025-12-08T14:14:00Z</dcterms:created>
  <dcterms:modified xsi:type="dcterms:W3CDTF">2025-12-09T12:34:00Z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