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2C1C1" w14:textId="77777777" w:rsidR="0011752E" w:rsidRPr="005E0C37" w:rsidRDefault="0011752E" w:rsidP="0011752E">
      <w:pPr>
        <w:spacing w:after="0" w:line="240" w:lineRule="auto"/>
        <w:jc w:val="both"/>
        <w:rPr>
          <w:rFonts w:ascii="Arial" w:eastAsia="Times New Roman" w:hAnsi="Arial" w:cs="Arial"/>
          <w:b/>
          <w:color w:val="000000" w:themeColor="text1"/>
        </w:rPr>
      </w:pPr>
    </w:p>
    <w:p w14:paraId="53EFE4AD" w14:textId="77777777" w:rsidR="0011752E" w:rsidRPr="005E0C37" w:rsidRDefault="0011752E" w:rsidP="0011752E">
      <w:pPr>
        <w:spacing w:after="0" w:line="240" w:lineRule="auto"/>
        <w:jc w:val="both"/>
        <w:rPr>
          <w:rFonts w:ascii="Arial" w:eastAsia="Times New Roman" w:hAnsi="Arial" w:cs="Arial"/>
          <w:b/>
          <w:color w:val="000000" w:themeColor="text1"/>
        </w:rPr>
      </w:pPr>
    </w:p>
    <w:p w14:paraId="35249957" w14:textId="77777777" w:rsidR="0011752E" w:rsidRPr="005E0C37" w:rsidRDefault="0011752E" w:rsidP="0011752E">
      <w:pPr>
        <w:spacing w:after="0" w:line="240" w:lineRule="auto"/>
        <w:jc w:val="both"/>
        <w:rPr>
          <w:rFonts w:ascii="Arial" w:eastAsia="Times New Roman" w:hAnsi="Arial" w:cs="Arial"/>
          <w:b/>
          <w:color w:val="000000" w:themeColor="text1"/>
        </w:rPr>
      </w:pPr>
    </w:p>
    <w:p w14:paraId="581B65F0" w14:textId="77777777" w:rsidR="0011752E" w:rsidRPr="005E0C37" w:rsidRDefault="0011752E" w:rsidP="0011752E">
      <w:pPr>
        <w:spacing w:after="0" w:line="240" w:lineRule="auto"/>
        <w:jc w:val="both"/>
        <w:rPr>
          <w:rFonts w:ascii="Arial" w:eastAsia="Times New Roman" w:hAnsi="Arial" w:cs="Arial"/>
          <w:b/>
          <w:color w:val="000000" w:themeColor="text1"/>
        </w:rPr>
      </w:pPr>
    </w:p>
    <w:p w14:paraId="2E227F08" w14:textId="6B197836" w:rsidR="0011752E" w:rsidRPr="005E0C37" w:rsidRDefault="0011752E" w:rsidP="0011752E">
      <w:pPr>
        <w:spacing w:after="0" w:line="240" w:lineRule="auto"/>
        <w:jc w:val="both"/>
        <w:rPr>
          <w:rFonts w:ascii="Arial" w:eastAsia="Times New Roman" w:hAnsi="Arial" w:cs="Arial"/>
          <w:b/>
          <w:color w:val="000000" w:themeColor="text1"/>
        </w:rPr>
      </w:pPr>
    </w:p>
    <w:p w14:paraId="7C701D62" w14:textId="77777777" w:rsidR="0011752E" w:rsidRPr="005E0C37" w:rsidRDefault="0011752E" w:rsidP="0011752E">
      <w:pPr>
        <w:spacing w:after="0" w:line="240" w:lineRule="auto"/>
        <w:jc w:val="both"/>
        <w:rPr>
          <w:rFonts w:ascii="Arial" w:eastAsia="Times New Roman" w:hAnsi="Arial" w:cs="Arial"/>
          <w:b/>
          <w:color w:val="000000" w:themeColor="text1"/>
        </w:rPr>
      </w:pPr>
    </w:p>
    <w:p w14:paraId="742443BE" w14:textId="77777777" w:rsidR="0011752E" w:rsidRPr="005E0C37" w:rsidRDefault="0011752E" w:rsidP="0011752E">
      <w:pPr>
        <w:spacing w:after="0" w:line="240" w:lineRule="auto"/>
        <w:jc w:val="both"/>
        <w:rPr>
          <w:rFonts w:ascii="Arial" w:eastAsia="Times New Roman" w:hAnsi="Arial" w:cs="Arial"/>
          <w:b/>
          <w:color w:val="000000" w:themeColor="text1"/>
        </w:rPr>
      </w:pPr>
    </w:p>
    <w:p w14:paraId="2E47B5B4" w14:textId="4F5519E7" w:rsidR="0011752E" w:rsidRPr="005E0C37" w:rsidRDefault="0011752E" w:rsidP="0011752E">
      <w:pPr>
        <w:spacing w:after="0" w:line="240" w:lineRule="auto"/>
        <w:jc w:val="both"/>
        <w:rPr>
          <w:rFonts w:ascii="Arial" w:eastAsia="Times New Roman" w:hAnsi="Arial" w:cs="Arial"/>
          <w:b/>
          <w:color w:val="000000" w:themeColor="text1"/>
        </w:rPr>
      </w:pPr>
    </w:p>
    <w:p w14:paraId="1012809A" w14:textId="583FF72A" w:rsidR="0011752E" w:rsidRPr="005E0C37" w:rsidRDefault="0011752E" w:rsidP="0011752E">
      <w:pPr>
        <w:spacing w:after="0" w:line="240" w:lineRule="auto"/>
        <w:jc w:val="both"/>
        <w:rPr>
          <w:rFonts w:ascii="Arial" w:eastAsia="Times New Roman" w:hAnsi="Arial" w:cs="Arial"/>
          <w:b/>
          <w:color w:val="000000" w:themeColor="text1"/>
        </w:rPr>
      </w:pPr>
    </w:p>
    <w:p w14:paraId="30DC4EFD" w14:textId="0ECF8172" w:rsidR="0011752E" w:rsidRPr="005E0C37" w:rsidRDefault="00697848" w:rsidP="0011752E">
      <w:pPr>
        <w:spacing w:after="0" w:line="240" w:lineRule="auto"/>
        <w:jc w:val="both"/>
        <w:rPr>
          <w:rFonts w:ascii="Arial" w:eastAsia="Times New Roman" w:hAnsi="Arial" w:cs="Arial"/>
          <w:b/>
          <w:color w:val="000000" w:themeColor="text1"/>
        </w:rPr>
      </w:pPr>
      <w:r>
        <w:rPr>
          <w:rFonts w:ascii="Times New Roman" w:eastAsia="Times New Roman" w:hAnsi="Times New Roman" w:cs="Times New Roman"/>
          <w:noProof/>
          <w:sz w:val="20"/>
          <w:szCs w:val="20"/>
          <w:lang w:eastAsia="en-GB"/>
        </w:rPr>
        <w:drawing>
          <wp:anchor distT="0" distB="0" distL="114300" distR="114300" simplePos="0" relativeHeight="251654143" behindDoc="0" locked="0" layoutInCell="1" allowOverlap="1" wp14:anchorId="271AA9FC" wp14:editId="412DA673">
            <wp:simplePos x="0" y="0"/>
            <wp:positionH relativeFrom="margin">
              <wp:align>center</wp:align>
            </wp:positionH>
            <wp:positionV relativeFrom="paragraph">
              <wp:posOffset>111972</wp:posOffset>
            </wp:positionV>
            <wp:extent cx="3612444" cy="1083733"/>
            <wp:effectExtent l="0" t="0" r="7620" b="254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2444" cy="1083733"/>
                    </a:xfrm>
                    <a:prstGeom prst="rect">
                      <a:avLst/>
                    </a:prstGeom>
                  </pic:spPr>
                </pic:pic>
              </a:graphicData>
            </a:graphic>
            <wp14:sizeRelH relativeFrom="page">
              <wp14:pctWidth>0</wp14:pctWidth>
            </wp14:sizeRelH>
            <wp14:sizeRelV relativeFrom="page">
              <wp14:pctHeight>0</wp14:pctHeight>
            </wp14:sizeRelV>
          </wp:anchor>
        </w:drawing>
      </w:r>
    </w:p>
    <w:p w14:paraId="0ECF1ED9" w14:textId="47A366F0" w:rsidR="0011752E" w:rsidRPr="005E0C37" w:rsidRDefault="0011752E" w:rsidP="0011752E">
      <w:pPr>
        <w:spacing w:after="0" w:line="240" w:lineRule="auto"/>
        <w:jc w:val="both"/>
        <w:rPr>
          <w:rFonts w:ascii="Arial" w:eastAsia="Times New Roman" w:hAnsi="Arial" w:cs="Arial"/>
          <w:b/>
          <w:color w:val="000000" w:themeColor="text1"/>
        </w:rPr>
      </w:pPr>
    </w:p>
    <w:p w14:paraId="3ADF23A1" w14:textId="77777777" w:rsidR="0011752E" w:rsidRDefault="0011752E" w:rsidP="0011752E">
      <w:pPr>
        <w:spacing w:after="0" w:line="240" w:lineRule="auto"/>
        <w:jc w:val="both"/>
        <w:rPr>
          <w:rFonts w:ascii="Arial" w:eastAsia="Times New Roman" w:hAnsi="Arial" w:cs="Arial"/>
          <w:b/>
          <w:color w:val="000000" w:themeColor="text1"/>
        </w:rPr>
      </w:pPr>
    </w:p>
    <w:p w14:paraId="1D66A531" w14:textId="1A4087A2" w:rsidR="00033414" w:rsidRPr="005E0C37" w:rsidRDefault="00033414" w:rsidP="0011752E">
      <w:pPr>
        <w:spacing w:after="0" w:line="240" w:lineRule="auto"/>
        <w:jc w:val="both"/>
        <w:rPr>
          <w:rFonts w:ascii="Arial" w:eastAsia="Times New Roman" w:hAnsi="Arial" w:cs="Arial"/>
          <w:b/>
          <w:color w:val="000000" w:themeColor="text1"/>
        </w:rPr>
      </w:pPr>
    </w:p>
    <w:p w14:paraId="05DC0A24" w14:textId="6EDF1FFA" w:rsidR="0011752E" w:rsidRPr="005E0C37" w:rsidRDefault="0011752E" w:rsidP="0011752E">
      <w:pPr>
        <w:spacing w:after="0" w:line="240" w:lineRule="auto"/>
        <w:jc w:val="center"/>
        <w:rPr>
          <w:rFonts w:ascii="Arial" w:eastAsia="Times New Roman" w:hAnsi="Arial" w:cs="Arial"/>
          <w:b/>
          <w:color w:val="000000" w:themeColor="text1"/>
          <w:sz w:val="56"/>
          <w:szCs w:val="56"/>
        </w:rPr>
      </w:pPr>
    </w:p>
    <w:p w14:paraId="657DC98A" w14:textId="77777777" w:rsidR="0011752E" w:rsidRPr="005E0C37" w:rsidRDefault="0011752E" w:rsidP="0011752E">
      <w:pPr>
        <w:spacing w:after="0" w:line="240" w:lineRule="auto"/>
        <w:jc w:val="center"/>
        <w:rPr>
          <w:rFonts w:ascii="Arial" w:eastAsia="Times New Roman" w:hAnsi="Arial" w:cs="Arial"/>
          <w:b/>
          <w:color w:val="000000" w:themeColor="text1"/>
          <w:sz w:val="56"/>
          <w:szCs w:val="56"/>
        </w:rPr>
      </w:pPr>
    </w:p>
    <w:p w14:paraId="25A99165" w14:textId="00D88CAA" w:rsidR="0011752E" w:rsidRPr="005E0C37" w:rsidRDefault="0011752E" w:rsidP="0011752E">
      <w:pPr>
        <w:spacing w:after="0" w:line="240" w:lineRule="auto"/>
        <w:jc w:val="center"/>
        <w:rPr>
          <w:rFonts w:ascii="Arial" w:eastAsia="Times New Roman" w:hAnsi="Arial" w:cs="Arial"/>
          <w:b/>
          <w:color w:val="000000" w:themeColor="text1"/>
          <w:sz w:val="56"/>
          <w:szCs w:val="56"/>
        </w:rPr>
      </w:pPr>
    </w:p>
    <w:p w14:paraId="753B967F" w14:textId="77777777" w:rsidR="0011752E" w:rsidRPr="005E0C37" w:rsidRDefault="0011752E" w:rsidP="0011752E">
      <w:pPr>
        <w:spacing w:after="0" w:line="240" w:lineRule="auto"/>
        <w:jc w:val="center"/>
        <w:rPr>
          <w:rFonts w:ascii="Arial" w:eastAsia="Times New Roman" w:hAnsi="Arial" w:cs="Arial"/>
          <w:b/>
          <w:color w:val="000000" w:themeColor="text1"/>
          <w:sz w:val="56"/>
          <w:szCs w:val="56"/>
        </w:rPr>
      </w:pPr>
    </w:p>
    <w:p w14:paraId="0A0978EE" w14:textId="3F637382" w:rsidR="0011752E" w:rsidRPr="005E0C37" w:rsidRDefault="00435F3B" w:rsidP="0011752E">
      <w:pPr>
        <w:spacing w:after="0" w:line="240" w:lineRule="auto"/>
        <w:jc w:val="center"/>
        <w:rPr>
          <w:rFonts w:ascii="Arial" w:eastAsia="Times New Roman" w:hAnsi="Arial" w:cs="Arial"/>
          <w:b/>
          <w:color w:val="000000" w:themeColor="text1"/>
          <w:sz w:val="56"/>
          <w:szCs w:val="56"/>
        </w:rPr>
      </w:pPr>
      <w:r w:rsidRPr="00001D10">
        <w:rPr>
          <w:rFonts w:ascii="Arial" w:eastAsia="Times New Roman" w:hAnsi="Arial" w:cs="Arial"/>
          <w:b/>
          <w:color w:val="000000" w:themeColor="text1"/>
          <w:sz w:val="56"/>
          <w:szCs w:val="56"/>
        </w:rPr>
        <w:t>SEN</w:t>
      </w:r>
      <w:r w:rsidR="00533933" w:rsidRPr="00001D10">
        <w:rPr>
          <w:rFonts w:ascii="Arial" w:eastAsia="Times New Roman" w:hAnsi="Arial" w:cs="Arial"/>
          <w:b/>
          <w:color w:val="000000" w:themeColor="text1"/>
          <w:sz w:val="56"/>
          <w:szCs w:val="56"/>
        </w:rPr>
        <w:t>D</w:t>
      </w:r>
      <w:r w:rsidRPr="00001D10">
        <w:rPr>
          <w:rFonts w:ascii="Arial" w:eastAsia="Times New Roman" w:hAnsi="Arial" w:cs="Arial"/>
          <w:b/>
          <w:color w:val="000000" w:themeColor="text1"/>
          <w:sz w:val="56"/>
          <w:szCs w:val="56"/>
        </w:rPr>
        <w:t xml:space="preserve"> Policy 202</w:t>
      </w:r>
      <w:r w:rsidR="00D33092" w:rsidRPr="00001D10">
        <w:rPr>
          <w:rFonts w:ascii="Arial" w:eastAsia="Times New Roman" w:hAnsi="Arial" w:cs="Arial"/>
          <w:b/>
          <w:color w:val="000000" w:themeColor="text1"/>
          <w:sz w:val="56"/>
          <w:szCs w:val="56"/>
        </w:rPr>
        <w:t>5</w:t>
      </w:r>
      <w:r w:rsidR="00305D90" w:rsidRPr="00001D10">
        <w:rPr>
          <w:rFonts w:ascii="Arial" w:eastAsia="Times New Roman" w:hAnsi="Arial" w:cs="Arial"/>
          <w:b/>
          <w:color w:val="000000" w:themeColor="text1"/>
          <w:sz w:val="56"/>
          <w:szCs w:val="56"/>
        </w:rPr>
        <w:t xml:space="preserve"> - 2</w:t>
      </w:r>
      <w:r w:rsidR="00D33092" w:rsidRPr="00001D10">
        <w:rPr>
          <w:rFonts w:ascii="Arial" w:eastAsia="Times New Roman" w:hAnsi="Arial" w:cs="Arial"/>
          <w:b/>
          <w:color w:val="000000" w:themeColor="text1"/>
          <w:sz w:val="56"/>
          <w:szCs w:val="56"/>
        </w:rPr>
        <w:t>6</w:t>
      </w:r>
    </w:p>
    <w:p w14:paraId="2871006E" w14:textId="77777777" w:rsidR="0011752E" w:rsidRPr="005E0C37" w:rsidRDefault="0011752E" w:rsidP="0011752E">
      <w:pPr>
        <w:spacing w:after="0" w:line="240" w:lineRule="auto"/>
        <w:jc w:val="both"/>
        <w:rPr>
          <w:rFonts w:ascii="Arial" w:eastAsia="Times New Roman" w:hAnsi="Arial" w:cs="Arial"/>
          <w:b/>
          <w:color w:val="000000" w:themeColor="text1"/>
        </w:rPr>
      </w:pPr>
    </w:p>
    <w:p w14:paraId="122A37C2" w14:textId="77777777" w:rsidR="0011752E" w:rsidRPr="005E0C37" w:rsidRDefault="0011752E" w:rsidP="0011752E">
      <w:pPr>
        <w:spacing w:after="0" w:line="240" w:lineRule="auto"/>
        <w:jc w:val="both"/>
        <w:rPr>
          <w:rFonts w:ascii="Arial" w:eastAsia="Times New Roman" w:hAnsi="Arial" w:cs="Arial"/>
          <w:b/>
          <w:color w:val="000000" w:themeColor="text1"/>
        </w:rPr>
      </w:pPr>
    </w:p>
    <w:p w14:paraId="78A9BF00" w14:textId="77777777" w:rsidR="0011752E" w:rsidRPr="005E0C37" w:rsidRDefault="0011752E" w:rsidP="0011752E">
      <w:pPr>
        <w:spacing w:after="0" w:line="240" w:lineRule="auto"/>
        <w:jc w:val="both"/>
        <w:rPr>
          <w:rFonts w:ascii="Arial" w:eastAsia="Times New Roman" w:hAnsi="Arial" w:cs="Arial"/>
          <w:b/>
          <w:color w:val="000000" w:themeColor="text1"/>
        </w:rPr>
      </w:pPr>
    </w:p>
    <w:p w14:paraId="231165AD" w14:textId="77777777" w:rsidR="0011752E" w:rsidRPr="005E0C37" w:rsidRDefault="0011752E" w:rsidP="0011752E">
      <w:pPr>
        <w:spacing w:after="0" w:line="240" w:lineRule="auto"/>
        <w:jc w:val="both"/>
        <w:rPr>
          <w:rFonts w:ascii="Arial" w:eastAsia="Times New Roman" w:hAnsi="Arial" w:cs="Arial"/>
          <w:b/>
          <w:color w:val="000000" w:themeColor="text1"/>
        </w:rPr>
      </w:pPr>
    </w:p>
    <w:p w14:paraId="6D766F4B" w14:textId="77777777" w:rsidR="0011752E" w:rsidRPr="005E0C37" w:rsidRDefault="0011752E" w:rsidP="0011752E">
      <w:pPr>
        <w:spacing w:after="0" w:line="240" w:lineRule="auto"/>
        <w:jc w:val="both"/>
        <w:rPr>
          <w:rFonts w:ascii="Arial" w:eastAsia="Times New Roman" w:hAnsi="Arial" w:cs="Arial"/>
          <w:b/>
          <w:color w:val="000000" w:themeColor="text1"/>
        </w:rPr>
      </w:pPr>
    </w:p>
    <w:p w14:paraId="73987B17" w14:textId="67661DCE" w:rsidR="0011752E" w:rsidRPr="005E0C37" w:rsidRDefault="0011752E" w:rsidP="0011752E">
      <w:pPr>
        <w:spacing w:after="0" w:line="240" w:lineRule="auto"/>
        <w:jc w:val="both"/>
        <w:rPr>
          <w:rFonts w:ascii="Arial" w:eastAsia="Times New Roman" w:hAnsi="Arial" w:cs="Arial"/>
          <w:b/>
          <w:color w:val="000000" w:themeColor="text1"/>
        </w:rPr>
      </w:pPr>
      <w:r w:rsidRPr="005E0C37">
        <w:rPr>
          <w:rFonts w:ascii="Times New Roman" w:eastAsia="Times New Roman" w:hAnsi="Times New Roman" w:cs="Times New Roman"/>
          <w:b/>
          <w:noProof/>
          <w:color w:val="000000" w:themeColor="text1"/>
          <w:sz w:val="24"/>
          <w:szCs w:val="20"/>
          <w:u w:val="single"/>
          <w:lang w:eastAsia="en-GB"/>
        </w:rPr>
        <mc:AlternateContent>
          <mc:Choice Requires="wps">
            <w:drawing>
              <wp:anchor distT="0" distB="0" distL="114300" distR="114300" simplePos="0" relativeHeight="251655168" behindDoc="0" locked="0" layoutInCell="1" allowOverlap="1" wp14:anchorId="2DC33A2C" wp14:editId="359B6FBE">
                <wp:simplePos x="0" y="0"/>
                <wp:positionH relativeFrom="column">
                  <wp:posOffset>50165</wp:posOffset>
                </wp:positionH>
                <wp:positionV relativeFrom="paragraph">
                  <wp:posOffset>213995</wp:posOffset>
                </wp:positionV>
                <wp:extent cx="591185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5911850" cy="0"/>
                        </a:xfrm>
                        <a:prstGeom prst="line">
                          <a:avLst/>
                        </a:prstGeom>
                        <a:noFill/>
                        <a:ln w="9525" cap="flat" cmpd="sng" algn="ctr">
                          <a:solidFill>
                            <a:srgbClr val="00B050"/>
                          </a:solidFill>
                          <a:prstDash val="solid"/>
                        </a:ln>
                        <a:effectLst/>
                      </wps:spPr>
                      <wps:bodyPr/>
                    </wps:wsp>
                  </a:graphicData>
                </a:graphic>
                <wp14:sizeRelH relativeFrom="margin">
                  <wp14:pctWidth>0</wp14:pctWidth>
                </wp14:sizeRelH>
              </wp:anchor>
            </w:drawing>
          </mc:Choice>
          <mc:Fallback>
            <w:pict>
              <v:line w14:anchorId="376099EE" id="Straight Connector 1"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16.85pt" to="469.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" strokecolor="#00b050"/>
            </w:pict>
          </mc:Fallback>
        </mc:AlternateContent>
      </w:r>
    </w:p>
    <w:p w14:paraId="3BB72275" w14:textId="77777777" w:rsidR="0011752E" w:rsidRPr="005E0C37" w:rsidRDefault="0011752E" w:rsidP="0011752E">
      <w:pPr>
        <w:widowControl w:val="0"/>
        <w:overflowPunct w:val="0"/>
        <w:autoSpaceDE w:val="0"/>
        <w:autoSpaceDN w:val="0"/>
        <w:adjustRightInd w:val="0"/>
        <w:spacing w:after="0" w:line="240" w:lineRule="auto"/>
        <w:textAlignment w:val="baseline"/>
        <w:rPr>
          <w:rFonts w:ascii="Arial" w:eastAsia="Times New Roman" w:hAnsi="Arial" w:cs="Arial"/>
          <w:b/>
          <w:bCs/>
          <w:color w:val="000000" w:themeColor="text1"/>
          <w:u w:val="single"/>
        </w:rPr>
      </w:pPr>
    </w:p>
    <w:p w14:paraId="7BB1BB24" w14:textId="77777777" w:rsidR="0011752E" w:rsidRPr="005E0C37" w:rsidRDefault="0011752E" w:rsidP="0011752E">
      <w:pPr>
        <w:widowControl w:val="0"/>
        <w:overflowPunct w:val="0"/>
        <w:autoSpaceDE w:val="0"/>
        <w:autoSpaceDN w:val="0"/>
        <w:adjustRightInd w:val="0"/>
        <w:spacing w:after="0" w:line="240" w:lineRule="auto"/>
        <w:textAlignment w:val="baseline"/>
        <w:rPr>
          <w:rFonts w:ascii="Arial" w:eastAsia="Times New Roman" w:hAnsi="Arial" w:cs="Arial"/>
          <w:b/>
          <w:bCs/>
          <w:color w:val="000000" w:themeColor="text1"/>
          <w:u w:val="single"/>
        </w:rPr>
      </w:pPr>
    </w:p>
    <w:p w14:paraId="6C654FB5" w14:textId="77777777" w:rsidR="0011752E" w:rsidRPr="005E0C37" w:rsidRDefault="0011752E" w:rsidP="0011752E">
      <w:pPr>
        <w:widowControl w:val="0"/>
        <w:overflowPunct w:val="0"/>
        <w:autoSpaceDE w:val="0"/>
        <w:autoSpaceDN w:val="0"/>
        <w:adjustRightInd w:val="0"/>
        <w:spacing w:after="0" w:line="240" w:lineRule="auto"/>
        <w:textAlignment w:val="baseline"/>
        <w:rPr>
          <w:rFonts w:ascii="Arial" w:eastAsia="Times New Roman" w:hAnsi="Arial" w:cs="Arial"/>
          <w:b/>
          <w:bCs/>
          <w:color w:val="000000" w:themeColor="text1"/>
          <w:u w:val="single"/>
        </w:rPr>
      </w:pPr>
    </w:p>
    <w:p w14:paraId="439365E4" w14:textId="66E4B28C" w:rsidR="0011752E" w:rsidRPr="005E0C37" w:rsidRDefault="0011752E" w:rsidP="0011752E">
      <w:pPr>
        <w:widowControl w:val="0"/>
        <w:overflowPunct w:val="0"/>
        <w:autoSpaceDE w:val="0"/>
        <w:autoSpaceDN w:val="0"/>
        <w:adjustRightInd w:val="0"/>
        <w:spacing w:after="0" w:line="240" w:lineRule="auto"/>
        <w:textAlignment w:val="baseline"/>
        <w:rPr>
          <w:rFonts w:ascii="Arial" w:eastAsia="Times New Roman" w:hAnsi="Arial" w:cs="Arial"/>
          <w:b/>
          <w:bCs/>
          <w:color w:val="000000" w:themeColor="text1"/>
          <w:u w:val="single"/>
        </w:rPr>
      </w:pPr>
    </w:p>
    <w:p w14:paraId="08B8B84B" w14:textId="46AAE64A" w:rsidR="0011752E" w:rsidRPr="005E0C37" w:rsidRDefault="0011752E" w:rsidP="0011752E">
      <w:pPr>
        <w:widowControl w:val="0"/>
        <w:overflowPunct w:val="0"/>
        <w:autoSpaceDE w:val="0"/>
        <w:autoSpaceDN w:val="0"/>
        <w:adjustRightInd w:val="0"/>
        <w:spacing w:after="0" w:line="240" w:lineRule="auto"/>
        <w:textAlignment w:val="baseline"/>
        <w:rPr>
          <w:rFonts w:ascii="Arial" w:eastAsia="Times New Roman" w:hAnsi="Arial" w:cs="Arial"/>
          <w:b/>
          <w:bCs/>
          <w:color w:val="000000" w:themeColor="text1"/>
          <w:u w:val="single"/>
        </w:rPr>
      </w:pPr>
    </w:p>
    <w:p w14:paraId="3182CE45" w14:textId="2EB84C34" w:rsidR="0011752E" w:rsidRPr="005E0C37" w:rsidRDefault="0011752E" w:rsidP="0011752E">
      <w:pPr>
        <w:widowControl w:val="0"/>
        <w:overflowPunct w:val="0"/>
        <w:autoSpaceDE w:val="0"/>
        <w:autoSpaceDN w:val="0"/>
        <w:adjustRightInd w:val="0"/>
        <w:spacing w:after="0" w:line="240" w:lineRule="auto"/>
        <w:textAlignment w:val="baseline"/>
        <w:rPr>
          <w:rFonts w:ascii="Arial" w:eastAsia="Times New Roman" w:hAnsi="Arial" w:cs="Arial"/>
          <w:b/>
          <w:bCs/>
          <w:color w:val="000000" w:themeColor="text1"/>
          <w:u w:val="single"/>
        </w:rPr>
      </w:pPr>
    </w:p>
    <w:p w14:paraId="022FE950" w14:textId="1C7F41E4" w:rsidR="0011752E" w:rsidRPr="005E0C37" w:rsidRDefault="0011752E" w:rsidP="0011752E">
      <w:pPr>
        <w:widowControl w:val="0"/>
        <w:overflowPunct w:val="0"/>
        <w:autoSpaceDE w:val="0"/>
        <w:autoSpaceDN w:val="0"/>
        <w:adjustRightInd w:val="0"/>
        <w:spacing w:after="0" w:line="240" w:lineRule="auto"/>
        <w:textAlignment w:val="baseline"/>
        <w:rPr>
          <w:rFonts w:ascii="Arial" w:eastAsia="Times New Roman" w:hAnsi="Arial" w:cs="Arial"/>
          <w:b/>
          <w:bCs/>
          <w:color w:val="000000" w:themeColor="text1"/>
          <w:u w:val="single"/>
        </w:rPr>
      </w:pPr>
    </w:p>
    <w:p w14:paraId="0316570A" w14:textId="58FDDB94" w:rsidR="0011752E" w:rsidRDefault="0011752E" w:rsidP="0011752E">
      <w:pPr>
        <w:widowControl w:val="0"/>
        <w:overflowPunct w:val="0"/>
        <w:autoSpaceDE w:val="0"/>
        <w:autoSpaceDN w:val="0"/>
        <w:adjustRightInd w:val="0"/>
        <w:spacing w:after="0" w:line="240" w:lineRule="auto"/>
        <w:textAlignment w:val="baseline"/>
        <w:rPr>
          <w:rFonts w:ascii="Arial" w:eastAsia="Times New Roman" w:hAnsi="Arial" w:cs="Arial"/>
          <w:b/>
          <w:bCs/>
          <w:color w:val="000000" w:themeColor="text1"/>
          <w:u w:val="single"/>
        </w:rPr>
      </w:pPr>
    </w:p>
    <w:p w14:paraId="1DDD94F5" w14:textId="77777777" w:rsidR="00697848" w:rsidRPr="005E0C37" w:rsidRDefault="00697848" w:rsidP="0011752E">
      <w:pPr>
        <w:widowControl w:val="0"/>
        <w:overflowPunct w:val="0"/>
        <w:autoSpaceDE w:val="0"/>
        <w:autoSpaceDN w:val="0"/>
        <w:adjustRightInd w:val="0"/>
        <w:spacing w:after="0" w:line="240" w:lineRule="auto"/>
        <w:textAlignment w:val="baseline"/>
        <w:rPr>
          <w:rFonts w:ascii="Arial" w:eastAsia="Times New Roman" w:hAnsi="Arial" w:cs="Arial"/>
          <w:b/>
          <w:bCs/>
          <w:color w:val="000000" w:themeColor="text1"/>
          <w:u w:val="single"/>
        </w:rPr>
      </w:pPr>
    </w:p>
    <w:p w14:paraId="0B15DE39" w14:textId="6D87231B" w:rsidR="0011752E" w:rsidRPr="005E0C37" w:rsidRDefault="0011752E" w:rsidP="0011752E">
      <w:pPr>
        <w:widowControl w:val="0"/>
        <w:overflowPunct w:val="0"/>
        <w:autoSpaceDE w:val="0"/>
        <w:autoSpaceDN w:val="0"/>
        <w:adjustRightInd w:val="0"/>
        <w:spacing w:after="0" w:line="240" w:lineRule="auto"/>
        <w:textAlignment w:val="baseline"/>
        <w:rPr>
          <w:rFonts w:ascii="Arial" w:eastAsia="Times New Roman" w:hAnsi="Arial" w:cs="Arial"/>
          <w:b/>
          <w:bCs/>
          <w:color w:val="000000" w:themeColor="text1"/>
          <w:u w:val="single"/>
        </w:rPr>
      </w:pPr>
    </w:p>
    <w:p w14:paraId="60FAF509" w14:textId="77777777" w:rsidR="0011752E" w:rsidRPr="005E0C37" w:rsidRDefault="0011752E" w:rsidP="0011752E">
      <w:pPr>
        <w:widowControl w:val="0"/>
        <w:overflowPunct w:val="0"/>
        <w:autoSpaceDE w:val="0"/>
        <w:autoSpaceDN w:val="0"/>
        <w:adjustRightInd w:val="0"/>
        <w:spacing w:after="0" w:line="240" w:lineRule="auto"/>
        <w:textAlignment w:val="baseline"/>
        <w:rPr>
          <w:rFonts w:ascii="Arial" w:eastAsia="Times New Roman" w:hAnsi="Arial" w:cs="Arial"/>
          <w:b/>
          <w:bCs/>
          <w:color w:val="000000" w:themeColor="text1"/>
          <w:u w:val="single"/>
        </w:rPr>
      </w:pPr>
    </w:p>
    <w:p w14:paraId="169745AA" w14:textId="77777777" w:rsidR="0011752E" w:rsidRPr="005E0C37" w:rsidRDefault="0011752E" w:rsidP="0011752E">
      <w:pPr>
        <w:widowControl w:val="0"/>
        <w:overflowPunct w:val="0"/>
        <w:autoSpaceDE w:val="0"/>
        <w:autoSpaceDN w:val="0"/>
        <w:adjustRightInd w:val="0"/>
        <w:spacing w:after="0" w:line="240" w:lineRule="auto"/>
        <w:textAlignment w:val="baseline"/>
        <w:rPr>
          <w:rFonts w:ascii="Arial" w:eastAsia="Times New Roman" w:hAnsi="Arial" w:cs="Arial"/>
          <w:b/>
          <w:bCs/>
          <w:color w:val="000000" w:themeColor="text1"/>
          <w:u w:val="single"/>
        </w:rPr>
      </w:pPr>
    </w:p>
    <w:p w14:paraId="44584188" w14:textId="77777777" w:rsidR="0011752E" w:rsidRPr="005E0C37" w:rsidRDefault="0011752E" w:rsidP="0011752E">
      <w:pPr>
        <w:widowControl w:val="0"/>
        <w:overflowPunct w:val="0"/>
        <w:autoSpaceDE w:val="0"/>
        <w:autoSpaceDN w:val="0"/>
        <w:adjustRightInd w:val="0"/>
        <w:spacing w:after="0" w:line="240" w:lineRule="auto"/>
        <w:textAlignment w:val="baseline"/>
        <w:rPr>
          <w:rFonts w:ascii="Arial" w:eastAsia="Times New Roman" w:hAnsi="Arial" w:cs="Arial"/>
          <w:b/>
          <w:bCs/>
          <w:color w:val="000000" w:themeColor="text1"/>
          <w:u w:val="single"/>
        </w:rPr>
      </w:pPr>
    </w:p>
    <w:p w14:paraId="08D6CFC8" w14:textId="3EFD8341" w:rsidR="0011752E" w:rsidRPr="005E0C37" w:rsidRDefault="0011752E" w:rsidP="0011752E">
      <w:pPr>
        <w:widowControl w:val="0"/>
        <w:overflowPunct w:val="0"/>
        <w:autoSpaceDE w:val="0"/>
        <w:autoSpaceDN w:val="0"/>
        <w:adjustRightInd w:val="0"/>
        <w:spacing w:after="0" w:line="240" w:lineRule="auto"/>
        <w:textAlignment w:val="baseline"/>
        <w:rPr>
          <w:rFonts w:ascii="Arial" w:eastAsia="Times New Roman" w:hAnsi="Arial" w:cs="Arial"/>
          <w:b/>
          <w:bCs/>
          <w:color w:val="000000" w:themeColor="text1"/>
          <w:u w:val="single"/>
        </w:rPr>
      </w:pPr>
    </w:p>
    <w:p w14:paraId="33EDE92C" w14:textId="77777777" w:rsidR="0011752E" w:rsidRPr="005E0C37" w:rsidRDefault="0011752E" w:rsidP="0011752E">
      <w:pPr>
        <w:widowControl w:val="0"/>
        <w:overflowPunct w:val="0"/>
        <w:autoSpaceDE w:val="0"/>
        <w:autoSpaceDN w:val="0"/>
        <w:adjustRightInd w:val="0"/>
        <w:spacing w:after="0" w:line="240" w:lineRule="auto"/>
        <w:textAlignment w:val="baseline"/>
        <w:rPr>
          <w:rFonts w:ascii="Arial" w:eastAsia="Times New Roman" w:hAnsi="Arial" w:cs="Arial"/>
          <w:b/>
          <w:bCs/>
          <w:color w:val="000000" w:themeColor="text1"/>
          <w:u w:val="single"/>
        </w:rPr>
      </w:pPr>
    </w:p>
    <w:p w14:paraId="49171BB2" w14:textId="6AFFCC4A" w:rsidR="0011752E" w:rsidRPr="005E0C37" w:rsidRDefault="0011752E" w:rsidP="0011752E">
      <w:pPr>
        <w:spacing w:after="0" w:line="240" w:lineRule="auto"/>
        <w:rPr>
          <w:rFonts w:ascii="Arial" w:eastAsia="Times New Roman" w:hAnsi="Arial" w:cs="Arial"/>
          <w:b/>
          <w:bCs/>
          <w:color w:val="000000" w:themeColor="text1"/>
          <w:u w:val="single"/>
        </w:rPr>
      </w:pPr>
    </w:p>
    <w:p w14:paraId="168E45EC" w14:textId="2DCBB5E5" w:rsidR="0011752E" w:rsidRPr="005E0C37" w:rsidRDefault="0011752E" w:rsidP="0011752E">
      <w:pPr>
        <w:widowControl w:val="0"/>
        <w:overflowPunct w:val="0"/>
        <w:autoSpaceDE w:val="0"/>
        <w:autoSpaceDN w:val="0"/>
        <w:adjustRightInd w:val="0"/>
        <w:spacing w:after="0" w:line="240" w:lineRule="auto"/>
        <w:textAlignment w:val="baseline"/>
        <w:rPr>
          <w:rFonts w:ascii="Arial" w:eastAsia="Times New Roman" w:hAnsi="Arial" w:cs="Arial"/>
          <w:color w:val="000000" w:themeColor="text1"/>
          <w:sz w:val="24"/>
          <w:szCs w:val="24"/>
        </w:rPr>
      </w:pPr>
    </w:p>
    <w:p w14:paraId="6B1D226F" w14:textId="745AC328" w:rsidR="0011752E" w:rsidRPr="005E0C37" w:rsidRDefault="00697848">
      <w:pPr>
        <w:rPr>
          <w:rFonts w:cstheme="minorHAnsi"/>
          <w:b/>
          <w:color w:val="000000" w:themeColor="text1"/>
        </w:rPr>
      </w:pPr>
      <w:r>
        <w:rPr>
          <w:noProof/>
          <w:lang w:eastAsia="en-GB"/>
        </w:rPr>
        <w:drawing>
          <wp:anchor distT="0" distB="0" distL="114300" distR="114300" simplePos="0" relativeHeight="251673600" behindDoc="1" locked="0" layoutInCell="1" allowOverlap="1" wp14:anchorId="163566AB" wp14:editId="4C13D51D">
            <wp:simplePos x="0" y="0"/>
            <wp:positionH relativeFrom="column">
              <wp:posOffset>-152188</wp:posOffset>
            </wp:positionH>
            <wp:positionV relativeFrom="paragraph">
              <wp:posOffset>215053</wp:posOffset>
            </wp:positionV>
            <wp:extent cx="2169386" cy="794173"/>
            <wp:effectExtent l="0" t="0" r="254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g Sticker Single.jpg"/>
                    <pic:cNvPicPr/>
                  </pic:nvPicPr>
                  <pic:blipFill rotWithShape="1">
                    <a:blip r:embed="rId9" cstate="print">
                      <a:extLst>
                        <a:ext uri="{28A0092B-C50C-407E-A947-70E740481C1C}">
                          <a14:useLocalDpi xmlns:a14="http://schemas.microsoft.com/office/drawing/2010/main" val="0"/>
                        </a:ext>
                      </a:extLst>
                    </a:blip>
                    <a:srcRect l="5163" t="26758" r="4261" b="26198"/>
                    <a:stretch/>
                  </pic:blipFill>
                  <pic:spPr bwMode="auto">
                    <a:xfrm>
                      <a:off x="0" y="0"/>
                      <a:ext cx="2169386" cy="7941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BEE2E6" w14:textId="50C14BC3" w:rsidR="00277109" w:rsidRPr="005E0C37" w:rsidRDefault="00277109" w:rsidP="00D61ABB">
      <w:pPr>
        <w:jc w:val="center"/>
        <w:rPr>
          <w:rFonts w:cstheme="minorHAnsi"/>
          <w:b/>
          <w:color w:val="000000" w:themeColor="text1"/>
        </w:rPr>
      </w:pPr>
    </w:p>
    <w:p w14:paraId="51138505" w14:textId="18467400" w:rsidR="00277109" w:rsidRPr="005E0C37" w:rsidRDefault="00033414" w:rsidP="00D61ABB">
      <w:pPr>
        <w:jc w:val="center"/>
        <w:rPr>
          <w:rFonts w:cstheme="minorHAnsi"/>
          <w:b/>
          <w:color w:val="000000" w:themeColor="text1"/>
        </w:rPr>
      </w:pPr>
      <w:r w:rsidRPr="005E0C37">
        <w:rPr>
          <w:rFonts w:ascii="Arial" w:eastAsia="Times New Roman" w:hAnsi="Arial" w:cs="Arial"/>
          <w:noProof/>
          <w:color w:val="000000" w:themeColor="text1"/>
          <w:sz w:val="24"/>
          <w:szCs w:val="24"/>
          <w:lang w:eastAsia="en-GB"/>
        </w:rPr>
        <mc:AlternateContent>
          <mc:Choice Requires="wps">
            <w:drawing>
              <wp:anchor distT="0" distB="0" distL="114300" distR="114300" simplePos="0" relativeHeight="251653120" behindDoc="0" locked="0" layoutInCell="1" allowOverlap="1" wp14:anchorId="7838B060" wp14:editId="31D35C12">
                <wp:simplePos x="0" y="0"/>
                <wp:positionH relativeFrom="column">
                  <wp:posOffset>4039870</wp:posOffset>
                </wp:positionH>
                <wp:positionV relativeFrom="paragraph">
                  <wp:posOffset>-295275</wp:posOffset>
                </wp:positionV>
                <wp:extent cx="2047875" cy="1828800"/>
                <wp:effectExtent l="0" t="0" r="28575" b="10795"/>
                <wp:wrapSquare wrapText="bothSides"/>
                <wp:docPr id="6" name="Text Box 6"/>
                <wp:cNvGraphicFramePr/>
                <a:graphic xmlns:a="http://schemas.openxmlformats.org/drawingml/2006/main">
                  <a:graphicData uri="http://schemas.microsoft.com/office/word/2010/wordprocessingShape">
                    <wps:wsp>
                      <wps:cNvSpPr txBox="1"/>
                      <wps:spPr>
                        <a:xfrm>
                          <a:off x="0" y="0"/>
                          <a:ext cx="2047875" cy="1828800"/>
                        </a:xfrm>
                        <a:prstGeom prst="rect">
                          <a:avLst/>
                        </a:prstGeom>
                        <a:noFill/>
                        <a:ln w="6350">
                          <a:solidFill>
                            <a:prstClr val="black"/>
                          </a:solidFill>
                        </a:ln>
                        <a:effectLst/>
                      </wps:spPr>
                      <wps:txbx>
                        <w:txbxContent>
                          <w:p w14:paraId="16210ECD" w14:textId="3DED466E" w:rsidR="00435F3B" w:rsidRPr="00001D10" w:rsidRDefault="00435F3B" w:rsidP="0011752E">
                            <w:pPr>
                              <w:spacing w:after="0" w:line="240" w:lineRule="auto"/>
                              <w:rPr>
                                <w:sz w:val="18"/>
                                <w:szCs w:val="18"/>
                              </w:rPr>
                            </w:pPr>
                            <w:r w:rsidRPr="00996864">
                              <w:rPr>
                                <w:sz w:val="18"/>
                                <w:szCs w:val="18"/>
                              </w:rPr>
                              <w:t xml:space="preserve">Adopted by LGB: </w:t>
                            </w:r>
                            <w:r w:rsidR="001A7640" w:rsidRPr="00001D10">
                              <w:rPr>
                                <w:sz w:val="18"/>
                                <w:szCs w:val="18"/>
                              </w:rPr>
                              <w:t>September</w:t>
                            </w:r>
                            <w:r w:rsidR="0069421F" w:rsidRPr="00001D10">
                              <w:rPr>
                                <w:sz w:val="18"/>
                                <w:szCs w:val="18"/>
                              </w:rPr>
                              <w:t xml:space="preserve"> 202</w:t>
                            </w:r>
                            <w:r w:rsidR="00D33092" w:rsidRPr="00001D10">
                              <w:rPr>
                                <w:sz w:val="18"/>
                                <w:szCs w:val="18"/>
                              </w:rPr>
                              <w:t>5</w:t>
                            </w:r>
                          </w:p>
                          <w:p w14:paraId="0D417C42" w14:textId="77777777" w:rsidR="00435F3B" w:rsidRPr="00001D10" w:rsidRDefault="00151531" w:rsidP="0011752E">
                            <w:pPr>
                              <w:spacing w:after="0" w:line="240" w:lineRule="auto"/>
                              <w:rPr>
                                <w:sz w:val="18"/>
                                <w:szCs w:val="18"/>
                              </w:rPr>
                            </w:pPr>
                            <w:r w:rsidRPr="00001D10">
                              <w:rPr>
                                <w:sz w:val="18"/>
                                <w:szCs w:val="18"/>
                              </w:rPr>
                              <w:t>Review Period: Annual</w:t>
                            </w:r>
                          </w:p>
                          <w:p w14:paraId="2448A2C8" w14:textId="53DBD31F" w:rsidR="00435F3B" w:rsidRPr="00001D10" w:rsidRDefault="00435F3B" w:rsidP="0011752E">
                            <w:pPr>
                              <w:spacing w:after="0" w:line="240" w:lineRule="auto"/>
                              <w:rPr>
                                <w:sz w:val="18"/>
                                <w:szCs w:val="18"/>
                              </w:rPr>
                            </w:pPr>
                            <w:r w:rsidRPr="00001D10">
                              <w:rPr>
                                <w:sz w:val="18"/>
                                <w:szCs w:val="18"/>
                              </w:rPr>
                              <w:t xml:space="preserve">Review Date: </w:t>
                            </w:r>
                            <w:r w:rsidR="002A5100" w:rsidRPr="00001D10">
                              <w:rPr>
                                <w:sz w:val="18"/>
                                <w:szCs w:val="18"/>
                              </w:rPr>
                              <w:t>September 202</w:t>
                            </w:r>
                            <w:r w:rsidR="00D33092" w:rsidRPr="00001D10">
                              <w:rPr>
                                <w:sz w:val="18"/>
                                <w:szCs w:val="18"/>
                              </w:rPr>
                              <w:t>6</w:t>
                            </w:r>
                          </w:p>
                          <w:p w14:paraId="11998BFB" w14:textId="77777777" w:rsidR="00435F3B" w:rsidRPr="00996864" w:rsidRDefault="00435F3B" w:rsidP="0011752E">
                            <w:pPr>
                              <w:spacing w:after="0" w:line="240" w:lineRule="auto"/>
                              <w:rPr>
                                <w:sz w:val="18"/>
                                <w:szCs w:val="18"/>
                              </w:rPr>
                            </w:pPr>
                            <w:r w:rsidRPr="00001D10">
                              <w:rPr>
                                <w:sz w:val="18"/>
                                <w:szCs w:val="18"/>
                              </w:rPr>
                              <w:t>Person responsible for policy: Clerk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38B060" id="_x0000_t202" coordsize="21600,21600" o:spt="202" path="m,l,21600r21600,l21600,xe">
                <v:stroke joinstyle="miter"/>
                <v:path gradientshapeok="t" o:connecttype="rect"/>
              </v:shapetype>
              <v:shape id="Text Box 6" o:spid="_x0000_s1026" type="#_x0000_t202" style="position:absolute;left:0;text-align:left;margin-left:318.1pt;margin-top:-23.25pt;width:161.25pt;height:2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" filled="f" strokeweight=".5pt">
                <v:textbox style="mso-fit-shape-to-text:t">
                  <w:txbxContent>
                    <w:p w14:paraId="16210ECD" w14:textId="3DED466E" w:rsidR="00435F3B" w:rsidRPr="00001D10" w:rsidRDefault="00435F3B" w:rsidP="0011752E">
                      <w:pPr>
                        <w:spacing w:after="0" w:line="240" w:lineRule="auto"/>
                        <w:rPr>
                          <w:sz w:val="18"/>
                          <w:szCs w:val="18"/>
                        </w:rPr>
                      </w:pPr>
                      <w:r w:rsidRPr="00996864">
                        <w:rPr>
                          <w:sz w:val="18"/>
                          <w:szCs w:val="18"/>
                        </w:rPr>
                        <w:t xml:space="preserve">Adopted by LGB: </w:t>
                      </w:r>
                      <w:r w:rsidR="001A7640" w:rsidRPr="00001D10">
                        <w:rPr>
                          <w:sz w:val="18"/>
                          <w:szCs w:val="18"/>
                        </w:rPr>
                        <w:t>September</w:t>
                      </w:r>
                      <w:r w:rsidR="0069421F" w:rsidRPr="00001D10">
                        <w:rPr>
                          <w:sz w:val="18"/>
                          <w:szCs w:val="18"/>
                        </w:rPr>
                        <w:t xml:space="preserve"> 202</w:t>
                      </w:r>
                      <w:r w:rsidR="00D33092" w:rsidRPr="00001D10">
                        <w:rPr>
                          <w:sz w:val="18"/>
                          <w:szCs w:val="18"/>
                        </w:rPr>
                        <w:t>5</w:t>
                      </w:r>
                    </w:p>
                    <w:p w14:paraId="0D417C42" w14:textId="77777777" w:rsidR="00435F3B" w:rsidRPr="00001D10" w:rsidRDefault="00151531" w:rsidP="0011752E">
                      <w:pPr>
                        <w:spacing w:after="0" w:line="240" w:lineRule="auto"/>
                        <w:rPr>
                          <w:sz w:val="18"/>
                          <w:szCs w:val="18"/>
                        </w:rPr>
                      </w:pPr>
                      <w:r w:rsidRPr="00001D10">
                        <w:rPr>
                          <w:sz w:val="18"/>
                          <w:szCs w:val="18"/>
                        </w:rPr>
                        <w:t>Review Period: Annual</w:t>
                      </w:r>
                    </w:p>
                    <w:p w14:paraId="2448A2C8" w14:textId="53DBD31F" w:rsidR="00435F3B" w:rsidRPr="00001D10" w:rsidRDefault="00435F3B" w:rsidP="0011752E">
                      <w:pPr>
                        <w:spacing w:after="0" w:line="240" w:lineRule="auto"/>
                        <w:rPr>
                          <w:sz w:val="18"/>
                          <w:szCs w:val="18"/>
                        </w:rPr>
                      </w:pPr>
                      <w:r w:rsidRPr="00001D10">
                        <w:rPr>
                          <w:sz w:val="18"/>
                          <w:szCs w:val="18"/>
                        </w:rPr>
                        <w:t xml:space="preserve">Review Date: </w:t>
                      </w:r>
                      <w:r w:rsidR="002A5100" w:rsidRPr="00001D10">
                        <w:rPr>
                          <w:sz w:val="18"/>
                          <w:szCs w:val="18"/>
                        </w:rPr>
                        <w:t>September 202</w:t>
                      </w:r>
                      <w:r w:rsidR="00D33092" w:rsidRPr="00001D10">
                        <w:rPr>
                          <w:sz w:val="18"/>
                          <w:szCs w:val="18"/>
                        </w:rPr>
                        <w:t>6</w:t>
                      </w:r>
                    </w:p>
                    <w:p w14:paraId="11998BFB" w14:textId="77777777" w:rsidR="00435F3B" w:rsidRPr="00996864" w:rsidRDefault="00435F3B" w:rsidP="0011752E">
                      <w:pPr>
                        <w:spacing w:after="0" w:line="240" w:lineRule="auto"/>
                        <w:rPr>
                          <w:sz w:val="18"/>
                          <w:szCs w:val="18"/>
                        </w:rPr>
                      </w:pPr>
                      <w:r w:rsidRPr="00001D10">
                        <w:rPr>
                          <w:sz w:val="18"/>
                          <w:szCs w:val="18"/>
                        </w:rPr>
                        <w:t>Person responsible for policy: Clerk</w:t>
                      </w:r>
                    </w:p>
                  </w:txbxContent>
                </v:textbox>
                <w10:wrap type="square"/>
              </v:shape>
            </w:pict>
          </mc:Fallback>
        </mc:AlternateContent>
      </w:r>
    </w:p>
    <w:p w14:paraId="073B2051" w14:textId="77777777" w:rsidR="00843F5B" w:rsidRDefault="00033414" w:rsidP="00843F5B">
      <w:pPr>
        <w:jc w:val="center"/>
        <w:rPr>
          <w:rFonts w:cstheme="minorHAnsi"/>
          <w:b/>
          <w:color w:val="000000" w:themeColor="text1"/>
        </w:rPr>
      </w:pPr>
      <w:r>
        <w:rPr>
          <w:noProof/>
          <w:lang w:eastAsia="en-GB"/>
        </w:rPr>
        <w:lastRenderedPageBreak/>
        <w:drawing>
          <wp:anchor distT="0" distB="0" distL="114300" distR="114300" simplePos="0" relativeHeight="251671552" behindDoc="1" locked="0" layoutInCell="1" allowOverlap="1" wp14:anchorId="147FE87F" wp14:editId="0A070E55">
            <wp:simplePos x="0" y="0"/>
            <wp:positionH relativeFrom="margin">
              <wp:posOffset>-190500</wp:posOffset>
            </wp:positionH>
            <wp:positionV relativeFrom="paragraph">
              <wp:posOffset>-466725</wp:posOffset>
            </wp:positionV>
            <wp:extent cx="1847333" cy="67627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g Sticker Single.jpg"/>
                    <pic:cNvPicPr/>
                  </pic:nvPicPr>
                  <pic:blipFill rotWithShape="1">
                    <a:blip r:embed="rId10" cstate="print">
                      <a:extLst>
                        <a:ext uri="{28A0092B-C50C-407E-A947-70E740481C1C}">
                          <a14:useLocalDpi xmlns:a14="http://schemas.microsoft.com/office/drawing/2010/main" val="0"/>
                        </a:ext>
                      </a:extLst>
                    </a:blip>
                    <a:srcRect l="5163" t="26758" r="4261" b="26198"/>
                    <a:stretch/>
                  </pic:blipFill>
                  <pic:spPr bwMode="auto">
                    <a:xfrm>
                      <a:off x="0" y="0"/>
                      <a:ext cx="1847333"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5AB5">
        <w:rPr>
          <w:rFonts w:ascii="Times New Roman" w:eastAsia="Times New Roman" w:hAnsi="Times New Roman" w:cs="Times New Roman"/>
          <w:noProof/>
          <w:sz w:val="20"/>
          <w:szCs w:val="20"/>
          <w:lang w:eastAsia="en-GB"/>
        </w:rPr>
        <w:drawing>
          <wp:anchor distT="0" distB="0" distL="114300" distR="114300" simplePos="0" relativeHeight="251665408" behindDoc="0" locked="0" layoutInCell="1" allowOverlap="1" wp14:anchorId="4BBD7D37" wp14:editId="3F797282">
            <wp:simplePos x="0" y="0"/>
            <wp:positionH relativeFrom="column">
              <wp:posOffset>3705225</wp:posOffset>
            </wp:positionH>
            <wp:positionV relativeFrom="paragraph">
              <wp:posOffset>-466725</wp:posOffset>
            </wp:positionV>
            <wp:extent cx="2375070" cy="712470"/>
            <wp:effectExtent l="0" t="0" r="635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5070" cy="712470"/>
                    </a:xfrm>
                    <a:prstGeom prst="rect">
                      <a:avLst/>
                    </a:prstGeom>
                  </pic:spPr>
                </pic:pic>
              </a:graphicData>
            </a:graphic>
            <wp14:sizeRelH relativeFrom="page">
              <wp14:pctWidth>0</wp14:pctWidth>
            </wp14:sizeRelH>
            <wp14:sizeRelV relativeFrom="page">
              <wp14:pctHeight>0</wp14:pctHeight>
            </wp14:sizeRelV>
          </wp:anchor>
        </w:drawing>
      </w:r>
    </w:p>
    <w:p w14:paraId="55F6BDC3" w14:textId="77777777" w:rsidR="00843F5B" w:rsidRDefault="00843F5B" w:rsidP="00843F5B">
      <w:pPr>
        <w:jc w:val="center"/>
        <w:rPr>
          <w:rFonts w:cstheme="minorHAnsi"/>
          <w:b/>
          <w:color w:val="000000" w:themeColor="text1"/>
        </w:rPr>
      </w:pPr>
    </w:p>
    <w:p w14:paraId="64A92000" w14:textId="77777777" w:rsidR="00843F5B" w:rsidRDefault="00843F5B" w:rsidP="00843F5B">
      <w:pPr>
        <w:jc w:val="center"/>
        <w:rPr>
          <w:rFonts w:cstheme="minorHAnsi"/>
          <w:b/>
          <w:color w:val="000000" w:themeColor="text1"/>
        </w:rPr>
      </w:pPr>
    </w:p>
    <w:p w14:paraId="1B0B652E" w14:textId="75DAC449" w:rsidR="00BB6D6C" w:rsidRPr="00697848" w:rsidRDefault="000E7F9A" w:rsidP="00843F5B">
      <w:pPr>
        <w:rPr>
          <w:rFonts w:cstheme="minorHAnsi"/>
          <w:b/>
          <w:color w:val="000000" w:themeColor="text1"/>
          <w:sz w:val="24"/>
          <w:szCs w:val="24"/>
        </w:rPr>
      </w:pPr>
      <w:r w:rsidRPr="00697848">
        <w:rPr>
          <w:rFonts w:cstheme="minorHAnsi"/>
          <w:b/>
          <w:bCs/>
          <w:color w:val="000000" w:themeColor="text1"/>
          <w:sz w:val="24"/>
          <w:szCs w:val="24"/>
        </w:rPr>
        <w:t xml:space="preserve">Section 1 - </w:t>
      </w:r>
      <w:r w:rsidR="00BB6D6C" w:rsidRPr="00697848">
        <w:rPr>
          <w:rFonts w:cstheme="minorHAnsi"/>
          <w:b/>
          <w:bCs/>
          <w:color w:val="000000" w:themeColor="text1"/>
          <w:sz w:val="24"/>
          <w:szCs w:val="24"/>
        </w:rPr>
        <w:t>Key Staff and Contact Details</w:t>
      </w:r>
    </w:p>
    <w:p w14:paraId="42E7827D" w14:textId="02810410" w:rsidR="00BB6D6C" w:rsidRPr="000E7F9A" w:rsidRDefault="00BB6D6C" w:rsidP="00106B72">
      <w:pPr>
        <w:jc w:val="both"/>
        <w:rPr>
          <w:rFonts w:cstheme="minorHAnsi"/>
          <w:color w:val="000000" w:themeColor="text1"/>
        </w:rPr>
      </w:pPr>
      <w:r w:rsidRPr="000E7F9A">
        <w:rPr>
          <w:rFonts w:cstheme="minorHAnsi"/>
          <w:color w:val="000000" w:themeColor="text1"/>
        </w:rPr>
        <w:t>SEN</w:t>
      </w:r>
      <w:r w:rsidR="00D0070C">
        <w:rPr>
          <w:rFonts w:cstheme="minorHAnsi"/>
          <w:color w:val="000000" w:themeColor="text1"/>
        </w:rPr>
        <w:t>D Strategic Lead</w:t>
      </w:r>
      <w:r w:rsidRPr="000E7F9A">
        <w:rPr>
          <w:rFonts w:cstheme="minorHAnsi"/>
          <w:color w:val="000000" w:themeColor="text1"/>
        </w:rPr>
        <w:t xml:space="preserve"> – Ms Weekes </w:t>
      </w:r>
      <w:hyperlink r:id="rId11" w:history="1">
        <w:r w:rsidRPr="000E7F9A">
          <w:rPr>
            <w:rStyle w:val="Hyperlink"/>
            <w:rFonts w:cstheme="minorHAnsi"/>
          </w:rPr>
          <w:t>wek@birkenheadparkschool.com</w:t>
        </w:r>
      </w:hyperlink>
    </w:p>
    <w:p w14:paraId="65C32EAD" w14:textId="77DD65FB" w:rsidR="00D0070C" w:rsidRDefault="00BB6D6C" w:rsidP="00106B72">
      <w:pPr>
        <w:jc w:val="both"/>
        <w:rPr>
          <w:rFonts w:cstheme="minorHAnsi"/>
          <w:color w:val="000000" w:themeColor="text1"/>
        </w:rPr>
      </w:pPr>
      <w:r w:rsidRPr="000E7F9A">
        <w:rPr>
          <w:rFonts w:cstheme="minorHAnsi"/>
          <w:color w:val="000000" w:themeColor="text1"/>
        </w:rPr>
        <w:t xml:space="preserve">SENCO – Mrs Canham </w:t>
      </w:r>
      <w:hyperlink r:id="rId12" w:history="1">
        <w:r w:rsidRPr="00D0070C">
          <w:rPr>
            <w:rStyle w:val="Hyperlink"/>
            <w:rFonts w:cstheme="minorHAnsi"/>
          </w:rPr>
          <w:t>mcm@birkenheadparkschool.com</w:t>
        </w:r>
      </w:hyperlink>
    </w:p>
    <w:p w14:paraId="3A37D5B2" w14:textId="633F3EB2" w:rsidR="00D0070C" w:rsidRDefault="00D0070C" w:rsidP="00106B72">
      <w:pPr>
        <w:jc w:val="both"/>
        <w:rPr>
          <w:rFonts w:cstheme="minorHAnsi"/>
          <w:color w:val="000000" w:themeColor="text1"/>
        </w:rPr>
      </w:pPr>
      <w:r>
        <w:rPr>
          <w:rFonts w:cstheme="minorHAnsi"/>
          <w:color w:val="000000" w:themeColor="text1"/>
        </w:rPr>
        <w:t xml:space="preserve">SENCO Assistant – Miss Masters </w:t>
      </w:r>
      <w:hyperlink r:id="rId13" w:history="1">
        <w:r w:rsidRPr="000C75AA">
          <w:rPr>
            <w:rStyle w:val="Hyperlink"/>
            <w:rFonts w:cstheme="minorHAnsi"/>
          </w:rPr>
          <w:t>mas@birkenheadparkschool.com</w:t>
        </w:r>
      </w:hyperlink>
      <w:r>
        <w:rPr>
          <w:rFonts w:cstheme="minorHAnsi"/>
          <w:color w:val="000000" w:themeColor="text1"/>
        </w:rPr>
        <w:t xml:space="preserve"> </w:t>
      </w:r>
    </w:p>
    <w:p w14:paraId="0C552635" w14:textId="039E57C2" w:rsidR="00D0070C" w:rsidRDefault="00D0070C" w:rsidP="00106B72">
      <w:pPr>
        <w:jc w:val="both"/>
        <w:rPr>
          <w:rFonts w:cstheme="minorHAnsi"/>
          <w:color w:val="000000" w:themeColor="text1"/>
        </w:rPr>
      </w:pPr>
      <w:r>
        <w:rPr>
          <w:rFonts w:cstheme="minorHAnsi"/>
          <w:color w:val="000000" w:themeColor="text1"/>
        </w:rPr>
        <w:t xml:space="preserve">SEND Administrative Support – Mrs Dixon </w:t>
      </w:r>
      <w:hyperlink r:id="rId14" w:history="1">
        <w:r w:rsidRPr="000C75AA">
          <w:rPr>
            <w:rStyle w:val="Hyperlink"/>
            <w:rFonts w:cstheme="minorHAnsi"/>
          </w:rPr>
          <w:t>jdi@birkenheadparkschool.com</w:t>
        </w:r>
      </w:hyperlink>
      <w:r>
        <w:rPr>
          <w:rFonts w:cstheme="minorHAnsi"/>
          <w:color w:val="000000" w:themeColor="text1"/>
        </w:rPr>
        <w:t xml:space="preserve"> </w:t>
      </w:r>
    </w:p>
    <w:p w14:paraId="6C994D78" w14:textId="35D74279" w:rsidR="001A7640" w:rsidRPr="000E7F9A" w:rsidRDefault="001A7640" w:rsidP="00106B72">
      <w:pPr>
        <w:jc w:val="both"/>
        <w:rPr>
          <w:rFonts w:cstheme="minorHAnsi"/>
          <w:color w:val="000000" w:themeColor="text1"/>
        </w:rPr>
      </w:pPr>
      <w:r>
        <w:rPr>
          <w:rFonts w:cstheme="minorHAnsi"/>
          <w:color w:val="000000" w:themeColor="text1"/>
        </w:rPr>
        <w:t xml:space="preserve">Literacy Support Tutor – Miss Arthur </w:t>
      </w:r>
      <w:hyperlink r:id="rId15" w:history="1">
        <w:r w:rsidRPr="00FF5A9B">
          <w:rPr>
            <w:rStyle w:val="Hyperlink"/>
            <w:rFonts w:cstheme="minorHAnsi"/>
          </w:rPr>
          <w:t>jar@birkenheadparkschool.com</w:t>
        </w:r>
      </w:hyperlink>
      <w:r>
        <w:rPr>
          <w:rFonts w:cstheme="minorHAnsi"/>
          <w:color w:val="000000" w:themeColor="text1"/>
        </w:rPr>
        <w:t xml:space="preserve"> </w:t>
      </w:r>
    </w:p>
    <w:p w14:paraId="5E5BA059" w14:textId="1B9AC7B6" w:rsidR="00616CD4" w:rsidRPr="00697848" w:rsidRDefault="000E7F9A" w:rsidP="00106B72">
      <w:pPr>
        <w:jc w:val="both"/>
        <w:rPr>
          <w:rFonts w:eastAsia="Calibri" w:cstheme="minorHAnsi"/>
          <w:b/>
          <w:color w:val="000000" w:themeColor="text1"/>
          <w:sz w:val="24"/>
          <w:szCs w:val="24"/>
        </w:rPr>
      </w:pPr>
      <w:r w:rsidRPr="00697848">
        <w:rPr>
          <w:rFonts w:eastAsia="Calibri" w:cstheme="minorHAnsi"/>
          <w:b/>
          <w:color w:val="000000" w:themeColor="text1"/>
          <w:sz w:val="24"/>
          <w:szCs w:val="24"/>
        </w:rPr>
        <w:t xml:space="preserve">Section 2 - </w:t>
      </w:r>
      <w:r w:rsidR="00BB6D6C" w:rsidRPr="00697848">
        <w:rPr>
          <w:rFonts w:eastAsia="Calibri" w:cstheme="minorHAnsi"/>
          <w:b/>
          <w:color w:val="000000" w:themeColor="text1"/>
          <w:sz w:val="24"/>
          <w:szCs w:val="24"/>
        </w:rPr>
        <w:t>References</w:t>
      </w:r>
    </w:p>
    <w:p w14:paraId="7C236B84" w14:textId="77777777" w:rsidR="00616CD4" w:rsidRPr="005E0C37" w:rsidRDefault="00616CD4" w:rsidP="00106B72">
      <w:pPr>
        <w:jc w:val="both"/>
        <w:rPr>
          <w:rFonts w:eastAsia="Calibri" w:cstheme="minorHAnsi"/>
          <w:color w:val="000000" w:themeColor="text1"/>
        </w:rPr>
      </w:pPr>
      <w:r w:rsidRPr="005E0C37">
        <w:rPr>
          <w:rFonts w:eastAsia="Calibri" w:cstheme="minorHAnsi"/>
          <w:color w:val="000000" w:themeColor="text1"/>
        </w:rPr>
        <w:t xml:space="preserve">This policy complies with the </w:t>
      </w:r>
      <w:r w:rsidR="008D67C1">
        <w:rPr>
          <w:rFonts w:eastAsia="Calibri" w:cstheme="minorHAnsi"/>
          <w:color w:val="000000" w:themeColor="text1"/>
        </w:rPr>
        <w:t>SEND</w:t>
      </w:r>
      <w:r w:rsidRPr="005E0C37">
        <w:rPr>
          <w:rFonts w:eastAsia="Calibri" w:cstheme="minorHAnsi"/>
          <w:color w:val="000000" w:themeColor="text1"/>
        </w:rPr>
        <w:t xml:space="preserve"> Code of Practice 0-25 (201</w:t>
      </w:r>
      <w:r w:rsidR="00C75E78" w:rsidRPr="005E0C37">
        <w:rPr>
          <w:rFonts w:eastAsia="Calibri" w:cstheme="minorHAnsi"/>
          <w:color w:val="000000" w:themeColor="text1"/>
        </w:rPr>
        <w:t>5</w:t>
      </w:r>
      <w:r w:rsidRPr="005E0C37">
        <w:rPr>
          <w:rFonts w:eastAsia="Calibri" w:cstheme="minorHAnsi"/>
          <w:color w:val="000000" w:themeColor="text1"/>
        </w:rPr>
        <w:t xml:space="preserve">) and has been </w:t>
      </w:r>
      <w:r w:rsidR="005E662F" w:rsidRPr="005E0C37">
        <w:rPr>
          <w:rFonts w:eastAsia="Calibri" w:cstheme="minorHAnsi"/>
          <w:color w:val="000000" w:themeColor="text1"/>
        </w:rPr>
        <w:t>written with reference to the following guidance and documents:</w:t>
      </w:r>
    </w:p>
    <w:p w14:paraId="75E0AA73" w14:textId="77777777" w:rsidR="005E662F" w:rsidRPr="005E0C37" w:rsidRDefault="008D67C1" w:rsidP="00AB3FD4">
      <w:pPr>
        <w:pStyle w:val="ListParagraph"/>
        <w:numPr>
          <w:ilvl w:val="0"/>
          <w:numId w:val="2"/>
        </w:numPr>
        <w:rPr>
          <w:rFonts w:eastAsia="Calibri" w:cstheme="minorHAnsi"/>
          <w:color w:val="000000" w:themeColor="text1"/>
        </w:rPr>
      </w:pPr>
      <w:r>
        <w:rPr>
          <w:rFonts w:eastAsia="Calibri" w:cstheme="minorHAnsi"/>
          <w:color w:val="000000" w:themeColor="text1"/>
        </w:rPr>
        <w:t>SEND</w:t>
      </w:r>
      <w:r w:rsidR="005E662F" w:rsidRPr="005E0C37">
        <w:rPr>
          <w:rFonts w:eastAsia="Calibri" w:cstheme="minorHAnsi"/>
          <w:color w:val="000000" w:themeColor="text1"/>
        </w:rPr>
        <w:t xml:space="preserve"> Code of Practice 0-25 (201</w:t>
      </w:r>
      <w:r w:rsidR="00C75E78" w:rsidRPr="005E0C37">
        <w:rPr>
          <w:rFonts w:eastAsia="Calibri" w:cstheme="minorHAnsi"/>
          <w:color w:val="000000" w:themeColor="text1"/>
        </w:rPr>
        <w:t>5</w:t>
      </w:r>
      <w:r w:rsidR="005E662F" w:rsidRPr="005E0C37">
        <w:rPr>
          <w:rFonts w:eastAsia="Calibri" w:cstheme="minorHAnsi"/>
          <w:color w:val="000000" w:themeColor="text1"/>
        </w:rPr>
        <w:t>)</w:t>
      </w:r>
      <w:r w:rsidR="00C75E78" w:rsidRPr="005E0C37">
        <w:rPr>
          <w:rFonts w:eastAsia="Calibri" w:cstheme="minorHAnsi"/>
          <w:color w:val="000000" w:themeColor="text1"/>
        </w:rPr>
        <w:t xml:space="preserve">.  </w:t>
      </w:r>
      <w:hyperlink r:id="rId16" w:history="1">
        <w:r w:rsidR="00AB3FD4" w:rsidRPr="005E0C37">
          <w:rPr>
            <w:rStyle w:val="Hyperlink"/>
            <w:rFonts w:eastAsia="Calibri" w:cstheme="minorHAnsi"/>
            <w:color w:val="000000" w:themeColor="text1"/>
          </w:rPr>
          <w:t>https://www.gov.uk/government/uploads/system/uploads/attachment_data/file/398815/SEND_Code_of_Practice_January_2015.pdf</w:t>
        </w:r>
      </w:hyperlink>
    </w:p>
    <w:p w14:paraId="3195666B" w14:textId="1CA81C67" w:rsidR="005E662F" w:rsidRPr="00112347" w:rsidRDefault="005E662F" w:rsidP="00112347">
      <w:pPr>
        <w:pStyle w:val="ListParagraph"/>
        <w:numPr>
          <w:ilvl w:val="0"/>
          <w:numId w:val="2"/>
        </w:numPr>
        <w:jc w:val="both"/>
        <w:rPr>
          <w:rFonts w:eastAsia="Calibri" w:cstheme="minorHAnsi"/>
          <w:color w:val="000000" w:themeColor="text1"/>
        </w:rPr>
      </w:pPr>
      <w:r w:rsidRPr="005E0C37">
        <w:rPr>
          <w:rFonts w:eastAsia="Calibri" w:cstheme="minorHAnsi"/>
          <w:color w:val="000000" w:themeColor="text1"/>
        </w:rPr>
        <w:t>Equality Act 2010: Advice for Schools DfE Feb 2013</w:t>
      </w:r>
    </w:p>
    <w:p w14:paraId="4B86D210" w14:textId="0A67F10C" w:rsidR="005E662F" w:rsidRPr="005E0C37" w:rsidRDefault="007B58E5" w:rsidP="005E662F">
      <w:pPr>
        <w:pStyle w:val="ListParagraph"/>
        <w:numPr>
          <w:ilvl w:val="0"/>
          <w:numId w:val="2"/>
        </w:numPr>
        <w:jc w:val="both"/>
        <w:rPr>
          <w:rFonts w:eastAsia="Calibri" w:cstheme="minorHAnsi"/>
          <w:color w:val="000000" w:themeColor="text1"/>
        </w:rPr>
      </w:pPr>
      <w:r w:rsidRPr="005E0C37">
        <w:rPr>
          <w:rFonts w:eastAsia="Calibri" w:cstheme="minorHAnsi"/>
          <w:color w:val="000000" w:themeColor="text1"/>
        </w:rPr>
        <w:t>Teachers’</w:t>
      </w:r>
      <w:r w:rsidR="00435F3B">
        <w:rPr>
          <w:rFonts w:eastAsia="Calibri" w:cstheme="minorHAnsi"/>
          <w:color w:val="000000" w:themeColor="text1"/>
        </w:rPr>
        <w:t xml:space="preserve"> Standards 20</w:t>
      </w:r>
      <w:r w:rsidR="00112347">
        <w:rPr>
          <w:rFonts w:eastAsia="Calibri" w:cstheme="minorHAnsi"/>
          <w:color w:val="000000" w:themeColor="text1"/>
        </w:rPr>
        <w:t>21</w:t>
      </w:r>
    </w:p>
    <w:p w14:paraId="0E359CB0" w14:textId="780C69F9" w:rsidR="005E662F" w:rsidRPr="005E0C37" w:rsidRDefault="005E662F" w:rsidP="005E662F">
      <w:pPr>
        <w:pStyle w:val="ListParagraph"/>
        <w:numPr>
          <w:ilvl w:val="0"/>
          <w:numId w:val="2"/>
        </w:numPr>
        <w:jc w:val="both"/>
        <w:rPr>
          <w:rFonts w:eastAsia="Calibri" w:cstheme="minorHAnsi"/>
          <w:color w:val="000000" w:themeColor="text1"/>
        </w:rPr>
      </w:pPr>
      <w:r w:rsidRPr="005E0C37">
        <w:rPr>
          <w:rFonts w:eastAsia="Calibri" w:cstheme="minorHAnsi"/>
          <w:color w:val="000000" w:themeColor="text1"/>
        </w:rPr>
        <w:t xml:space="preserve">Statutory Guidance on Supporting pupils with Medical Conditions </w:t>
      </w:r>
      <w:r w:rsidR="00305D90">
        <w:rPr>
          <w:rFonts w:eastAsia="Calibri" w:cstheme="minorHAnsi"/>
          <w:color w:val="000000" w:themeColor="text1"/>
        </w:rPr>
        <w:t>December 2015</w:t>
      </w:r>
    </w:p>
    <w:p w14:paraId="21FB6AEC" w14:textId="4FF4B9D2" w:rsidR="00DA5791" w:rsidRPr="00697848" w:rsidRDefault="00DA5791">
      <w:pPr>
        <w:rPr>
          <w:rFonts w:eastAsia="Calibri" w:cstheme="minorHAnsi"/>
          <w:color w:val="000000" w:themeColor="text1"/>
          <w:sz w:val="24"/>
          <w:szCs w:val="24"/>
        </w:rPr>
      </w:pPr>
      <w:r w:rsidRPr="00697848">
        <w:rPr>
          <w:rFonts w:cstheme="minorHAnsi"/>
          <w:b/>
          <w:color w:val="000000" w:themeColor="text1"/>
          <w:sz w:val="24"/>
          <w:szCs w:val="24"/>
        </w:rPr>
        <w:t xml:space="preserve">Section </w:t>
      </w:r>
      <w:r w:rsidR="000E7F9A" w:rsidRPr="00697848">
        <w:rPr>
          <w:rFonts w:cstheme="minorHAnsi"/>
          <w:b/>
          <w:color w:val="000000" w:themeColor="text1"/>
          <w:sz w:val="24"/>
          <w:szCs w:val="24"/>
        </w:rPr>
        <w:t>3</w:t>
      </w:r>
      <w:r w:rsidRPr="00697848">
        <w:rPr>
          <w:rFonts w:cstheme="minorHAnsi"/>
          <w:b/>
          <w:color w:val="000000" w:themeColor="text1"/>
          <w:sz w:val="24"/>
          <w:szCs w:val="24"/>
        </w:rPr>
        <w:t xml:space="preserve"> – Aims</w:t>
      </w:r>
      <w:r w:rsidR="00400BE1" w:rsidRPr="00697848">
        <w:rPr>
          <w:rFonts w:cstheme="minorHAnsi"/>
          <w:b/>
          <w:color w:val="000000" w:themeColor="text1"/>
          <w:sz w:val="24"/>
          <w:szCs w:val="24"/>
        </w:rPr>
        <w:t xml:space="preserve"> and Objectives</w:t>
      </w:r>
      <w:r w:rsidRPr="00697848">
        <w:rPr>
          <w:rFonts w:cstheme="minorHAnsi"/>
          <w:b/>
          <w:color w:val="000000" w:themeColor="text1"/>
          <w:sz w:val="24"/>
          <w:szCs w:val="24"/>
        </w:rPr>
        <w:t xml:space="preserve"> of </w:t>
      </w:r>
      <w:r w:rsidR="008D67C1" w:rsidRPr="00697848">
        <w:rPr>
          <w:rFonts w:cstheme="minorHAnsi"/>
          <w:b/>
          <w:color w:val="000000" w:themeColor="text1"/>
          <w:sz w:val="24"/>
          <w:szCs w:val="24"/>
        </w:rPr>
        <w:t>SEND</w:t>
      </w:r>
      <w:r w:rsidRPr="00697848">
        <w:rPr>
          <w:rFonts w:cstheme="minorHAnsi"/>
          <w:b/>
          <w:color w:val="000000" w:themeColor="text1"/>
          <w:sz w:val="24"/>
          <w:szCs w:val="24"/>
        </w:rPr>
        <w:t xml:space="preserve"> Provision at </w:t>
      </w:r>
      <w:r w:rsidR="00277109" w:rsidRPr="00697848">
        <w:rPr>
          <w:rFonts w:cstheme="minorHAnsi"/>
          <w:b/>
          <w:color w:val="000000" w:themeColor="text1"/>
          <w:sz w:val="24"/>
          <w:szCs w:val="24"/>
        </w:rPr>
        <w:t xml:space="preserve">The Birkenhead Park School </w:t>
      </w:r>
    </w:p>
    <w:p w14:paraId="0422FD78" w14:textId="747E7769" w:rsidR="00400BE1" w:rsidRDefault="00400BE1" w:rsidP="00E35986">
      <w:pPr>
        <w:numPr>
          <w:ilvl w:val="0"/>
          <w:numId w:val="1"/>
        </w:numPr>
        <w:suppressAutoHyphens/>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5E0C37">
        <w:rPr>
          <w:rFonts w:eastAsia="Times New Roman" w:cstheme="minorHAnsi"/>
          <w:color w:val="000000" w:themeColor="text1"/>
          <w:lang w:val="en-US"/>
        </w:rPr>
        <w:t xml:space="preserve">To encourage a strong focus on high aspirations and on improving outcomes for children and young people with </w:t>
      </w:r>
      <w:r w:rsidR="008D67C1">
        <w:rPr>
          <w:rFonts w:eastAsia="Times New Roman" w:cstheme="minorHAnsi"/>
          <w:color w:val="000000" w:themeColor="text1"/>
          <w:lang w:val="en-US"/>
        </w:rPr>
        <w:t>SEND</w:t>
      </w:r>
      <w:r w:rsidRPr="005E0C37">
        <w:rPr>
          <w:rFonts w:eastAsia="Times New Roman" w:cstheme="minorHAnsi"/>
          <w:color w:val="000000" w:themeColor="text1"/>
          <w:lang w:val="en-US"/>
        </w:rPr>
        <w:t xml:space="preserve"> which will enable them to</w:t>
      </w:r>
      <w:r w:rsidR="007002FA">
        <w:rPr>
          <w:rFonts w:eastAsia="Times New Roman" w:cstheme="minorHAnsi"/>
          <w:color w:val="000000" w:themeColor="text1"/>
          <w:lang w:val="en-US"/>
        </w:rPr>
        <w:t xml:space="preserve"> make </w:t>
      </w:r>
      <w:r w:rsidRPr="005E0C37">
        <w:rPr>
          <w:rFonts w:eastAsia="Times New Roman" w:cstheme="minorHAnsi"/>
          <w:color w:val="000000" w:themeColor="text1"/>
          <w:lang w:val="en-US"/>
        </w:rPr>
        <w:t>a succe</w:t>
      </w:r>
      <w:r w:rsidR="00E35986" w:rsidRPr="005E0C37">
        <w:rPr>
          <w:rFonts w:eastAsia="Times New Roman" w:cstheme="minorHAnsi"/>
          <w:color w:val="000000" w:themeColor="text1"/>
          <w:lang w:val="en-US"/>
        </w:rPr>
        <w:t>ssful transition into adulthood</w:t>
      </w:r>
      <w:r w:rsidR="007D0A7A">
        <w:rPr>
          <w:rFonts w:eastAsia="Times New Roman" w:cstheme="minorHAnsi"/>
          <w:color w:val="000000" w:themeColor="text1"/>
          <w:lang w:val="en-US"/>
        </w:rPr>
        <w:t>.</w:t>
      </w:r>
    </w:p>
    <w:p w14:paraId="31087457" w14:textId="7E3F5A85" w:rsidR="000E7F9A" w:rsidRPr="005E0C37" w:rsidRDefault="000E7F9A" w:rsidP="00E35986">
      <w:pPr>
        <w:numPr>
          <w:ilvl w:val="0"/>
          <w:numId w:val="1"/>
        </w:numPr>
        <w:suppressAutoHyphens/>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Pr>
          <w:rFonts w:eastAsia="Times New Roman" w:cstheme="minorHAnsi"/>
          <w:color w:val="000000" w:themeColor="text1"/>
          <w:lang w:val="en-US"/>
        </w:rPr>
        <w:t xml:space="preserve">To ensure access to a broad, well planned and effectively sequenced curriculum </w:t>
      </w:r>
    </w:p>
    <w:p w14:paraId="7E994AE9" w14:textId="701578BD" w:rsidR="007002FA" w:rsidRPr="007002FA" w:rsidRDefault="007002FA" w:rsidP="007002FA">
      <w:pPr>
        <w:numPr>
          <w:ilvl w:val="0"/>
          <w:numId w:val="1"/>
        </w:numPr>
        <w:suppressAutoHyphens/>
        <w:overflowPunct w:val="0"/>
        <w:autoSpaceDE w:val="0"/>
        <w:autoSpaceDN w:val="0"/>
        <w:adjustRightInd w:val="0"/>
        <w:spacing w:after="0" w:line="240" w:lineRule="auto"/>
        <w:jc w:val="both"/>
        <w:textAlignment w:val="baseline"/>
        <w:rPr>
          <w:rFonts w:eastAsia="Times New Roman" w:cstheme="minorHAnsi"/>
          <w:color w:val="000000" w:themeColor="text1"/>
          <w:lang w:eastAsia="en-GB"/>
        </w:rPr>
      </w:pPr>
      <w:r>
        <w:rPr>
          <w:rFonts w:eastAsia="Times New Roman" w:cstheme="minorHAnsi"/>
          <w:color w:val="000000" w:themeColor="text1"/>
          <w:lang w:eastAsia="en-GB"/>
        </w:rPr>
        <w:t>To e</w:t>
      </w:r>
      <w:r w:rsidRPr="007002FA">
        <w:rPr>
          <w:rFonts w:eastAsia="Times New Roman" w:cstheme="minorHAnsi"/>
          <w:color w:val="000000" w:themeColor="text1"/>
          <w:lang w:eastAsia="en-GB"/>
        </w:rPr>
        <w:t xml:space="preserve">nsure </w:t>
      </w:r>
      <w:r>
        <w:rPr>
          <w:rFonts w:eastAsia="Times New Roman" w:cstheme="minorHAnsi"/>
          <w:color w:val="000000" w:themeColor="text1"/>
          <w:lang w:eastAsia="en-GB"/>
        </w:rPr>
        <w:t xml:space="preserve">that </w:t>
      </w:r>
      <w:r w:rsidRPr="007002FA">
        <w:rPr>
          <w:rFonts w:eastAsia="Times New Roman" w:cstheme="minorHAnsi"/>
          <w:color w:val="000000" w:themeColor="text1"/>
          <w:lang w:eastAsia="en-GB"/>
        </w:rPr>
        <w:t>all students can access high quality teaching where teach</w:t>
      </w:r>
      <w:r>
        <w:rPr>
          <w:rFonts w:eastAsia="Times New Roman" w:cstheme="minorHAnsi"/>
          <w:color w:val="000000" w:themeColor="text1"/>
          <w:lang w:eastAsia="en-GB"/>
        </w:rPr>
        <w:t xml:space="preserve">ers </w:t>
      </w:r>
      <w:r w:rsidRPr="007002FA">
        <w:rPr>
          <w:rFonts w:eastAsia="Times New Roman" w:cstheme="minorHAnsi"/>
          <w:color w:val="000000" w:themeColor="text1"/>
          <w:lang w:eastAsia="en-GB"/>
        </w:rPr>
        <w:t>use a considered repertoire of teaching strategies that can be used flexibly in response to individual needs, and that have relatively strong evidence for their effectiveness in supporting students with SEND</w:t>
      </w:r>
    </w:p>
    <w:p w14:paraId="4D628F4D" w14:textId="2D6E0AB3" w:rsidR="00400BE1" w:rsidRPr="005E0C37" w:rsidRDefault="007002FA" w:rsidP="00E35986">
      <w:pPr>
        <w:numPr>
          <w:ilvl w:val="0"/>
          <w:numId w:val="1"/>
        </w:numPr>
        <w:suppressAutoHyphens/>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Pr>
          <w:rFonts w:eastAsia="Times New Roman" w:cstheme="minorHAnsi"/>
          <w:color w:val="000000" w:themeColor="text1"/>
          <w:lang w:val="en" w:eastAsia="en-GB"/>
        </w:rPr>
        <w:t>To promote the idea that e</w:t>
      </w:r>
      <w:r w:rsidR="00400BE1" w:rsidRPr="005E0C37">
        <w:rPr>
          <w:rFonts w:eastAsia="Times New Roman" w:cstheme="minorHAnsi"/>
          <w:color w:val="000000" w:themeColor="text1"/>
          <w:lang w:val="en" w:eastAsia="en-GB"/>
        </w:rPr>
        <w:t xml:space="preserve">very teacher is a teacher of </w:t>
      </w:r>
      <w:r>
        <w:rPr>
          <w:rFonts w:eastAsia="Times New Roman" w:cstheme="minorHAnsi"/>
          <w:color w:val="000000" w:themeColor="text1"/>
          <w:lang w:val="en" w:eastAsia="en-GB"/>
        </w:rPr>
        <w:t>SEND</w:t>
      </w:r>
    </w:p>
    <w:p w14:paraId="59206B57" w14:textId="326E83F5" w:rsidR="00400BE1" w:rsidRDefault="00400BE1" w:rsidP="00E35986">
      <w:pPr>
        <w:numPr>
          <w:ilvl w:val="0"/>
          <w:numId w:val="1"/>
        </w:numPr>
        <w:suppressAutoHyphens/>
        <w:overflowPunct w:val="0"/>
        <w:autoSpaceDE w:val="0"/>
        <w:autoSpaceDN w:val="0"/>
        <w:adjustRightInd w:val="0"/>
        <w:spacing w:after="0" w:line="240" w:lineRule="auto"/>
        <w:jc w:val="both"/>
        <w:textAlignment w:val="baseline"/>
        <w:rPr>
          <w:rFonts w:eastAsia="Times New Roman" w:cstheme="minorHAnsi"/>
          <w:color w:val="000000" w:themeColor="text1"/>
          <w:lang w:val="en-US"/>
        </w:rPr>
      </w:pPr>
      <w:r w:rsidRPr="005E0C37">
        <w:rPr>
          <w:rFonts w:eastAsia="Times New Roman" w:cstheme="minorHAnsi"/>
          <w:color w:val="000000" w:themeColor="text1"/>
          <w:lang w:val="en-US"/>
        </w:rPr>
        <w:t>To fully adopt the graduated approach to ensure that all student</w:t>
      </w:r>
      <w:r w:rsidR="00144552" w:rsidRPr="005E0C37">
        <w:rPr>
          <w:rFonts w:eastAsia="Times New Roman" w:cstheme="minorHAnsi"/>
          <w:color w:val="000000" w:themeColor="text1"/>
          <w:lang w:val="en-US"/>
        </w:rPr>
        <w:t xml:space="preserve">s with </w:t>
      </w:r>
      <w:r w:rsidR="008D67C1">
        <w:rPr>
          <w:rFonts w:eastAsia="Times New Roman" w:cstheme="minorHAnsi"/>
          <w:color w:val="000000" w:themeColor="text1"/>
          <w:lang w:val="en-US"/>
        </w:rPr>
        <w:t>SEND</w:t>
      </w:r>
      <w:r w:rsidR="007002FA">
        <w:rPr>
          <w:rFonts w:eastAsia="Times New Roman" w:cstheme="minorHAnsi"/>
          <w:color w:val="000000" w:themeColor="text1"/>
          <w:lang w:val="en-US"/>
        </w:rPr>
        <w:t xml:space="preserve"> </w:t>
      </w:r>
      <w:r w:rsidRPr="005E0C37">
        <w:rPr>
          <w:rFonts w:eastAsia="Times New Roman" w:cstheme="minorHAnsi"/>
          <w:color w:val="000000" w:themeColor="text1"/>
          <w:lang w:val="en-US"/>
        </w:rPr>
        <w:t>are identified early</w:t>
      </w:r>
      <w:r w:rsidR="00305D90">
        <w:rPr>
          <w:rFonts w:eastAsia="Times New Roman" w:cstheme="minorHAnsi"/>
          <w:color w:val="000000" w:themeColor="text1"/>
          <w:lang w:val="en-US"/>
        </w:rPr>
        <w:t xml:space="preserve"> and that appropriate reasonable adjustments are put in place. </w:t>
      </w:r>
    </w:p>
    <w:p w14:paraId="5D6B833D" w14:textId="60E3F0F3" w:rsidR="000E7F9A" w:rsidRDefault="000E7F9A" w:rsidP="000E7F9A">
      <w:pPr>
        <w:pStyle w:val="ListParagraph"/>
        <w:numPr>
          <w:ilvl w:val="0"/>
          <w:numId w:val="1"/>
        </w:numPr>
      </w:pPr>
      <w:r>
        <w:t>To devise effective lines of communication between all involved: staff, parents, students, governors and other agencies.</w:t>
      </w:r>
    </w:p>
    <w:p w14:paraId="6AC85905" w14:textId="47517EBF" w:rsidR="007002FA" w:rsidRPr="007002FA" w:rsidRDefault="007002FA" w:rsidP="007002FA">
      <w:pPr>
        <w:pStyle w:val="ListParagraph"/>
        <w:numPr>
          <w:ilvl w:val="0"/>
          <w:numId w:val="1"/>
        </w:numPr>
      </w:pPr>
      <w:r>
        <w:t>To e</w:t>
      </w:r>
      <w:r w:rsidRPr="007002FA">
        <w:t xml:space="preserve">nsure </w:t>
      </w:r>
      <w:r>
        <w:t xml:space="preserve">that </w:t>
      </w:r>
      <w:r w:rsidRPr="007002FA">
        <w:t>structures for managing behaviour are positive and proactive, and align with structures for supporting students with SEND to avoid direct or indirect discrimination</w:t>
      </w:r>
    </w:p>
    <w:p w14:paraId="230C0D3A" w14:textId="333F2308" w:rsidR="007002FA" w:rsidRDefault="007002FA" w:rsidP="007002FA">
      <w:pPr>
        <w:pStyle w:val="ListParagraph"/>
        <w:numPr>
          <w:ilvl w:val="0"/>
          <w:numId w:val="1"/>
        </w:numPr>
      </w:pPr>
      <w:r>
        <w:t>To p</w:t>
      </w:r>
      <w:r w:rsidRPr="007002FA">
        <w:t>romote positive relationships, emotional wellbeing and ensure strong pastoral support for students with SEND, and appropriate deployment of support staff</w:t>
      </w:r>
    </w:p>
    <w:p w14:paraId="182FAA6C" w14:textId="77777777" w:rsidR="00D33092" w:rsidRPr="007002FA" w:rsidRDefault="00D33092" w:rsidP="00D33092">
      <w:pPr>
        <w:pStyle w:val="ListParagraph"/>
      </w:pPr>
    </w:p>
    <w:p w14:paraId="3328917A" w14:textId="12DEBE71" w:rsidR="00DA5791" w:rsidRPr="00697848" w:rsidRDefault="00DA5791" w:rsidP="00E35986">
      <w:pPr>
        <w:spacing w:after="0"/>
        <w:rPr>
          <w:rFonts w:cstheme="minorHAnsi"/>
          <w:b/>
          <w:color w:val="000000" w:themeColor="text1"/>
          <w:sz w:val="24"/>
          <w:szCs w:val="24"/>
        </w:rPr>
      </w:pPr>
      <w:r w:rsidRPr="00697848">
        <w:rPr>
          <w:rFonts w:cstheme="minorHAnsi"/>
          <w:b/>
          <w:color w:val="000000" w:themeColor="text1"/>
          <w:sz w:val="24"/>
          <w:szCs w:val="24"/>
        </w:rPr>
        <w:lastRenderedPageBreak/>
        <w:t>Sec</w:t>
      </w:r>
      <w:r w:rsidR="00B32FCB" w:rsidRPr="00697848">
        <w:rPr>
          <w:rFonts w:cstheme="minorHAnsi"/>
          <w:b/>
          <w:color w:val="000000" w:themeColor="text1"/>
          <w:sz w:val="24"/>
          <w:szCs w:val="24"/>
        </w:rPr>
        <w:t xml:space="preserve">tion </w:t>
      </w:r>
      <w:r w:rsidR="0048520D" w:rsidRPr="00697848">
        <w:rPr>
          <w:rFonts w:cstheme="minorHAnsi"/>
          <w:b/>
          <w:color w:val="000000" w:themeColor="text1"/>
          <w:sz w:val="24"/>
          <w:szCs w:val="24"/>
        </w:rPr>
        <w:t>4</w:t>
      </w:r>
      <w:r w:rsidR="00B32FCB" w:rsidRPr="00697848">
        <w:rPr>
          <w:rFonts w:cstheme="minorHAnsi"/>
          <w:b/>
          <w:color w:val="000000" w:themeColor="text1"/>
          <w:sz w:val="24"/>
          <w:szCs w:val="24"/>
        </w:rPr>
        <w:t xml:space="preserve"> – Identifying Special Educational Needs</w:t>
      </w:r>
    </w:p>
    <w:p w14:paraId="3661B1B7" w14:textId="77777777" w:rsidR="00E35986" w:rsidRPr="005E0C37" w:rsidRDefault="00E35986" w:rsidP="00E35986">
      <w:pPr>
        <w:spacing w:after="0"/>
        <w:rPr>
          <w:rFonts w:cstheme="minorHAnsi"/>
          <w:b/>
          <w:color w:val="000000" w:themeColor="text1"/>
        </w:rPr>
      </w:pPr>
    </w:p>
    <w:p w14:paraId="5CEB7C64" w14:textId="77777777" w:rsidR="005C2E35" w:rsidRPr="005E0C37" w:rsidRDefault="005C2E35" w:rsidP="005C2E35">
      <w:pPr>
        <w:jc w:val="both"/>
        <w:rPr>
          <w:rFonts w:eastAsia="Calibri" w:cstheme="minorHAnsi"/>
          <w:color w:val="000000" w:themeColor="text1"/>
        </w:rPr>
      </w:pPr>
      <w:r w:rsidRPr="005E0C37">
        <w:rPr>
          <w:rFonts w:eastAsia="Calibri" w:cstheme="minorHAnsi"/>
          <w:color w:val="000000" w:themeColor="text1"/>
        </w:rPr>
        <w:t xml:space="preserve">The </w:t>
      </w:r>
      <w:r w:rsidR="00277109" w:rsidRPr="005E0C37">
        <w:rPr>
          <w:rFonts w:eastAsia="Calibri" w:cstheme="minorHAnsi"/>
          <w:color w:val="000000" w:themeColor="text1"/>
        </w:rPr>
        <w:t xml:space="preserve">school </w:t>
      </w:r>
      <w:r w:rsidRPr="005E0C37">
        <w:rPr>
          <w:rFonts w:eastAsia="Calibri" w:cstheme="minorHAnsi"/>
          <w:color w:val="000000" w:themeColor="text1"/>
        </w:rPr>
        <w:t xml:space="preserve">recognises the definition of </w:t>
      </w:r>
      <w:r w:rsidR="008D67C1">
        <w:rPr>
          <w:rFonts w:eastAsia="Calibri" w:cstheme="minorHAnsi"/>
          <w:color w:val="000000" w:themeColor="text1"/>
        </w:rPr>
        <w:t>SEND</w:t>
      </w:r>
      <w:r w:rsidRPr="005E0C37">
        <w:rPr>
          <w:rFonts w:eastAsia="Calibri" w:cstheme="minorHAnsi"/>
          <w:color w:val="000000" w:themeColor="text1"/>
        </w:rPr>
        <w:t xml:space="preserve"> as stated in the </w:t>
      </w:r>
      <w:r w:rsidR="008D67C1">
        <w:rPr>
          <w:rFonts w:eastAsia="Calibri" w:cstheme="minorHAnsi"/>
          <w:color w:val="000000" w:themeColor="text1"/>
        </w:rPr>
        <w:t>SEND</w:t>
      </w:r>
      <w:r w:rsidR="00C75E78" w:rsidRPr="005E0C37">
        <w:rPr>
          <w:rFonts w:eastAsia="Calibri" w:cstheme="minorHAnsi"/>
          <w:color w:val="000000" w:themeColor="text1"/>
        </w:rPr>
        <w:t xml:space="preserve"> Code of Practice 2015</w:t>
      </w:r>
      <w:r w:rsidRPr="005E0C37">
        <w:rPr>
          <w:rFonts w:eastAsia="Calibri" w:cstheme="minorHAnsi"/>
          <w:color w:val="000000" w:themeColor="text1"/>
        </w:rPr>
        <w:t xml:space="preserve"> (p83):</w:t>
      </w:r>
    </w:p>
    <w:p w14:paraId="510FEA09" w14:textId="77777777" w:rsidR="0043733F" w:rsidRPr="005E0C37" w:rsidRDefault="005C2E35" w:rsidP="0043733F">
      <w:pPr>
        <w:ind w:left="720"/>
        <w:jc w:val="both"/>
        <w:rPr>
          <w:rFonts w:eastAsia="Calibri" w:cstheme="minorHAnsi"/>
          <w:b/>
          <w:color w:val="000000" w:themeColor="text1"/>
        </w:rPr>
      </w:pPr>
      <w:r w:rsidRPr="005E0C37">
        <w:rPr>
          <w:rFonts w:eastAsia="Calibri" w:cstheme="minorHAnsi"/>
          <w:color w:val="000000" w:themeColor="text1"/>
        </w:rPr>
        <w:t>‘</w:t>
      </w:r>
      <w:r w:rsidRPr="005E0C37">
        <w:rPr>
          <w:rFonts w:eastAsia="Calibri" w:cstheme="minorHAnsi"/>
          <w:b/>
          <w:color w:val="000000" w:themeColor="text1"/>
        </w:rPr>
        <w:t xml:space="preserve">A student has </w:t>
      </w:r>
      <w:r w:rsidR="008D67C1">
        <w:rPr>
          <w:rFonts w:eastAsia="Calibri" w:cstheme="minorHAnsi"/>
          <w:b/>
          <w:color w:val="000000" w:themeColor="text1"/>
        </w:rPr>
        <w:t>SEND</w:t>
      </w:r>
      <w:r w:rsidRPr="005E0C37">
        <w:rPr>
          <w:rFonts w:eastAsia="Calibri" w:cstheme="minorHAnsi"/>
          <w:b/>
          <w:color w:val="000000" w:themeColor="text1"/>
        </w:rPr>
        <w:t xml:space="preserve"> where their learning difficulty or disability calls for special educational provision, namely provision different from or additional to that normally available to students of the same age’.</w:t>
      </w:r>
    </w:p>
    <w:p w14:paraId="6A922FB6" w14:textId="21BCCF12" w:rsidR="0043733F" w:rsidRPr="005E0C37" w:rsidRDefault="0043733F" w:rsidP="0043733F">
      <w:pPr>
        <w:jc w:val="both"/>
        <w:rPr>
          <w:rFonts w:eastAsia="Calibri" w:cstheme="minorHAnsi"/>
          <w:color w:val="000000" w:themeColor="text1"/>
        </w:rPr>
      </w:pPr>
      <w:r w:rsidRPr="005E0C37">
        <w:rPr>
          <w:rFonts w:eastAsia="Calibri" w:cstheme="minorHAnsi"/>
          <w:color w:val="000000" w:themeColor="text1"/>
        </w:rPr>
        <w:t xml:space="preserve">The four broad areas of need and support identified within the </w:t>
      </w:r>
      <w:r w:rsidR="008D67C1">
        <w:rPr>
          <w:rFonts w:eastAsia="Calibri" w:cstheme="minorHAnsi"/>
          <w:color w:val="000000" w:themeColor="text1"/>
        </w:rPr>
        <w:t>SEND</w:t>
      </w:r>
      <w:r w:rsidR="00C75E78" w:rsidRPr="005E0C37">
        <w:rPr>
          <w:rFonts w:eastAsia="Calibri" w:cstheme="minorHAnsi"/>
          <w:color w:val="000000" w:themeColor="text1"/>
        </w:rPr>
        <w:t xml:space="preserve"> Code of Practice 2015</w:t>
      </w:r>
      <w:r w:rsidRPr="005E0C37">
        <w:rPr>
          <w:rFonts w:eastAsia="Calibri" w:cstheme="minorHAnsi"/>
          <w:color w:val="000000" w:themeColor="text1"/>
        </w:rPr>
        <w:t xml:space="preserve"> (p86) are </w:t>
      </w:r>
      <w:r w:rsidRPr="005E0C37">
        <w:rPr>
          <w:rFonts w:eastAsia="Calibri" w:cstheme="minorHAnsi"/>
          <w:b/>
          <w:color w:val="000000" w:themeColor="text1"/>
        </w:rPr>
        <w:t>‘Communication and Interaction’</w:t>
      </w:r>
      <w:r w:rsidRPr="005E0C37">
        <w:rPr>
          <w:rFonts w:eastAsia="Calibri" w:cstheme="minorHAnsi"/>
          <w:color w:val="000000" w:themeColor="text1"/>
        </w:rPr>
        <w:t xml:space="preserve">, </w:t>
      </w:r>
      <w:r w:rsidRPr="005E0C37">
        <w:rPr>
          <w:rFonts w:eastAsia="Calibri" w:cstheme="minorHAnsi"/>
          <w:b/>
          <w:color w:val="000000" w:themeColor="text1"/>
        </w:rPr>
        <w:t>‘Cognition and Learning’</w:t>
      </w:r>
      <w:r w:rsidRPr="005E0C37">
        <w:rPr>
          <w:rFonts w:eastAsia="Calibri" w:cstheme="minorHAnsi"/>
          <w:color w:val="000000" w:themeColor="text1"/>
        </w:rPr>
        <w:t xml:space="preserve">, </w:t>
      </w:r>
      <w:r w:rsidRPr="005E0C37">
        <w:rPr>
          <w:rFonts w:eastAsia="Calibri" w:cstheme="minorHAnsi"/>
          <w:b/>
          <w:color w:val="000000" w:themeColor="text1"/>
        </w:rPr>
        <w:t xml:space="preserve">Social, Mental and Emotional Health’ </w:t>
      </w:r>
      <w:r w:rsidRPr="005E0C37">
        <w:rPr>
          <w:rFonts w:eastAsia="Calibri" w:cstheme="minorHAnsi"/>
          <w:color w:val="000000" w:themeColor="text1"/>
        </w:rPr>
        <w:t xml:space="preserve">and </w:t>
      </w:r>
      <w:r w:rsidRPr="005E0C37">
        <w:rPr>
          <w:rFonts w:eastAsia="Calibri" w:cstheme="minorHAnsi"/>
          <w:b/>
          <w:color w:val="000000" w:themeColor="text1"/>
        </w:rPr>
        <w:t>‘Sensory and/or Physical Needs’</w:t>
      </w:r>
      <w:r w:rsidRPr="005E0C37">
        <w:rPr>
          <w:rFonts w:eastAsia="Calibri" w:cstheme="minorHAnsi"/>
          <w:color w:val="000000" w:themeColor="text1"/>
        </w:rPr>
        <w:t xml:space="preserve"> and the </w:t>
      </w:r>
      <w:r w:rsidR="00277109" w:rsidRPr="005E0C37">
        <w:rPr>
          <w:rFonts w:eastAsia="Calibri" w:cstheme="minorHAnsi"/>
          <w:color w:val="000000" w:themeColor="text1"/>
        </w:rPr>
        <w:t>school</w:t>
      </w:r>
      <w:r w:rsidRPr="005E0C37">
        <w:rPr>
          <w:rFonts w:eastAsia="Calibri" w:cstheme="minorHAnsi"/>
          <w:color w:val="000000" w:themeColor="text1"/>
        </w:rPr>
        <w:t xml:space="preserve"> works within these definitions. </w:t>
      </w:r>
    </w:p>
    <w:p w14:paraId="053D4E29" w14:textId="6360ABEF" w:rsidR="005C2E35" w:rsidRPr="005E0C37" w:rsidRDefault="005C2E35" w:rsidP="005C2E35">
      <w:pPr>
        <w:jc w:val="both"/>
        <w:rPr>
          <w:rFonts w:eastAsia="Calibri" w:cstheme="minorHAnsi"/>
          <w:color w:val="000000" w:themeColor="text1"/>
        </w:rPr>
      </w:pPr>
      <w:r w:rsidRPr="005E0C37">
        <w:rPr>
          <w:rFonts w:eastAsia="Calibri" w:cstheme="minorHAnsi"/>
          <w:color w:val="000000" w:themeColor="text1"/>
        </w:rPr>
        <w:t xml:space="preserve">The identification of </w:t>
      </w:r>
      <w:r w:rsidR="008D67C1">
        <w:rPr>
          <w:rFonts w:eastAsia="Calibri" w:cstheme="minorHAnsi"/>
          <w:color w:val="000000" w:themeColor="text1"/>
        </w:rPr>
        <w:t>SEND</w:t>
      </w:r>
      <w:r w:rsidRPr="005E0C37">
        <w:rPr>
          <w:rFonts w:eastAsia="Calibri" w:cstheme="minorHAnsi"/>
          <w:color w:val="000000" w:themeColor="text1"/>
        </w:rPr>
        <w:t xml:space="preserve"> is built into the whole school approach to monitoring the progress and development of all students. </w:t>
      </w:r>
    </w:p>
    <w:p w14:paraId="1BEC23BC" w14:textId="45038B98" w:rsidR="005C2E35" w:rsidRPr="005E0C37" w:rsidRDefault="005C2E35" w:rsidP="005C2E35">
      <w:pPr>
        <w:jc w:val="both"/>
        <w:rPr>
          <w:rFonts w:eastAsia="Calibri" w:cstheme="minorHAnsi"/>
          <w:color w:val="000000" w:themeColor="text1"/>
        </w:rPr>
      </w:pPr>
      <w:r w:rsidRPr="005E0C37">
        <w:rPr>
          <w:rFonts w:eastAsia="Calibri" w:cstheme="minorHAnsi"/>
          <w:color w:val="000000" w:themeColor="text1"/>
        </w:rPr>
        <w:t xml:space="preserve">The </w:t>
      </w:r>
      <w:r w:rsidR="008D67C1">
        <w:rPr>
          <w:rFonts w:eastAsia="Calibri" w:cstheme="minorHAnsi"/>
          <w:color w:val="000000" w:themeColor="text1"/>
        </w:rPr>
        <w:t>SEND</w:t>
      </w:r>
      <w:r w:rsidR="00C75E78" w:rsidRPr="005E0C37">
        <w:rPr>
          <w:rFonts w:eastAsia="Calibri" w:cstheme="minorHAnsi"/>
          <w:color w:val="000000" w:themeColor="text1"/>
        </w:rPr>
        <w:t xml:space="preserve"> Code of Practice 2015</w:t>
      </w:r>
      <w:r w:rsidRPr="005E0C37">
        <w:rPr>
          <w:rFonts w:eastAsia="Calibri" w:cstheme="minorHAnsi"/>
          <w:color w:val="000000" w:themeColor="text1"/>
        </w:rPr>
        <w:t xml:space="preserve"> (p83) states that the benefits of the early identification of </w:t>
      </w:r>
      <w:r w:rsidR="008D67C1">
        <w:rPr>
          <w:rFonts w:eastAsia="Calibri" w:cstheme="minorHAnsi"/>
          <w:color w:val="000000" w:themeColor="text1"/>
        </w:rPr>
        <w:t>SEND</w:t>
      </w:r>
      <w:r w:rsidRPr="005E0C37">
        <w:rPr>
          <w:rFonts w:eastAsia="Calibri" w:cstheme="minorHAnsi"/>
          <w:color w:val="000000" w:themeColor="text1"/>
        </w:rPr>
        <w:t xml:space="preserve"> are widely recognised and, when combined with effective provision, lead to improved outcomes for young people. The </w:t>
      </w:r>
      <w:r w:rsidR="00277109" w:rsidRPr="005E0C37">
        <w:rPr>
          <w:rFonts w:eastAsia="Calibri" w:cstheme="minorHAnsi"/>
          <w:color w:val="000000" w:themeColor="text1"/>
        </w:rPr>
        <w:t xml:space="preserve">school </w:t>
      </w:r>
      <w:r w:rsidRPr="005E0C37">
        <w:rPr>
          <w:rFonts w:eastAsia="Calibri" w:cstheme="minorHAnsi"/>
          <w:color w:val="000000" w:themeColor="text1"/>
        </w:rPr>
        <w:t>uses a variety of whole school screening on entry to accurately assess st</w:t>
      </w:r>
      <w:r w:rsidR="003E6031">
        <w:rPr>
          <w:rFonts w:eastAsia="Calibri" w:cstheme="minorHAnsi"/>
          <w:color w:val="000000" w:themeColor="text1"/>
        </w:rPr>
        <w:t>udents’ skills and attainments, including GL assessments, CATs</w:t>
      </w:r>
      <w:r w:rsidR="0048520D">
        <w:rPr>
          <w:rFonts w:eastAsia="Calibri" w:cstheme="minorHAnsi"/>
          <w:color w:val="000000" w:themeColor="text1"/>
        </w:rPr>
        <w:t xml:space="preserve">, </w:t>
      </w:r>
      <w:r w:rsidR="003E6031">
        <w:rPr>
          <w:rFonts w:eastAsia="Calibri" w:cstheme="minorHAnsi"/>
          <w:color w:val="000000" w:themeColor="text1"/>
        </w:rPr>
        <w:t xml:space="preserve">and an analysis of KS2 SATs levels. </w:t>
      </w:r>
    </w:p>
    <w:p w14:paraId="4D23968C" w14:textId="340F174B" w:rsidR="008A5CA4" w:rsidRPr="005E0C37" w:rsidRDefault="008A5CA4" w:rsidP="008A5CA4">
      <w:pPr>
        <w:jc w:val="both"/>
        <w:rPr>
          <w:rFonts w:eastAsia="Calibri" w:cstheme="minorHAnsi"/>
          <w:color w:val="000000" w:themeColor="text1"/>
        </w:rPr>
      </w:pPr>
      <w:r w:rsidRPr="005E0C37">
        <w:rPr>
          <w:rFonts w:eastAsia="Calibri" w:cstheme="minorHAnsi"/>
          <w:color w:val="000000" w:themeColor="text1"/>
        </w:rPr>
        <w:t xml:space="preserve">For some young people, </w:t>
      </w:r>
      <w:r w:rsidR="008D67C1">
        <w:rPr>
          <w:rFonts w:eastAsia="Calibri" w:cstheme="minorHAnsi"/>
          <w:color w:val="000000" w:themeColor="text1"/>
        </w:rPr>
        <w:t>SEND</w:t>
      </w:r>
      <w:r w:rsidRPr="005E0C37">
        <w:rPr>
          <w:rFonts w:eastAsia="Calibri" w:cstheme="minorHAnsi"/>
          <w:color w:val="000000" w:themeColor="text1"/>
        </w:rPr>
        <w:t xml:space="preserve"> difficulties may only become evident as they develop and the </w:t>
      </w:r>
      <w:r w:rsidR="00277109" w:rsidRPr="005E0C37">
        <w:rPr>
          <w:rFonts w:eastAsia="Calibri" w:cstheme="minorHAnsi"/>
          <w:color w:val="000000" w:themeColor="text1"/>
        </w:rPr>
        <w:t xml:space="preserve">school </w:t>
      </w:r>
      <w:r w:rsidRPr="005E0C37">
        <w:rPr>
          <w:rFonts w:eastAsia="Calibri" w:cstheme="minorHAnsi"/>
          <w:color w:val="000000" w:themeColor="text1"/>
        </w:rPr>
        <w:t xml:space="preserve">aims to be alert to emerging difficulties. </w:t>
      </w:r>
      <w:r w:rsidR="00277109" w:rsidRPr="005E0C37">
        <w:rPr>
          <w:rFonts w:eastAsia="Calibri" w:cstheme="minorHAnsi"/>
          <w:color w:val="000000" w:themeColor="text1"/>
        </w:rPr>
        <w:t xml:space="preserve">School </w:t>
      </w:r>
      <w:r w:rsidRPr="005E0C37">
        <w:rPr>
          <w:rFonts w:eastAsia="Calibri" w:cstheme="minorHAnsi"/>
          <w:color w:val="000000" w:themeColor="text1"/>
        </w:rPr>
        <w:t>staff will always listen and respond when parents express their concerns around their child’s development or learning needs. Likewise, concerns expressed by students themselves are noted and acted upon.</w:t>
      </w:r>
    </w:p>
    <w:p w14:paraId="69535BFD" w14:textId="0AFC9F97" w:rsidR="008A5CA4" w:rsidRPr="005E0C37" w:rsidRDefault="008A5CA4" w:rsidP="008A5CA4">
      <w:pPr>
        <w:jc w:val="both"/>
        <w:rPr>
          <w:rFonts w:eastAsia="Calibri" w:cstheme="minorHAnsi"/>
          <w:color w:val="000000" w:themeColor="text1"/>
        </w:rPr>
      </w:pPr>
      <w:r w:rsidRPr="005E0C37">
        <w:rPr>
          <w:rFonts w:eastAsia="Calibri" w:cstheme="minorHAnsi"/>
          <w:color w:val="000000" w:themeColor="text1"/>
        </w:rPr>
        <w:t xml:space="preserve">The </w:t>
      </w:r>
      <w:r w:rsidR="008D67C1">
        <w:rPr>
          <w:rFonts w:eastAsia="Calibri" w:cstheme="minorHAnsi"/>
          <w:color w:val="000000" w:themeColor="text1"/>
        </w:rPr>
        <w:t>SEND</w:t>
      </w:r>
      <w:r w:rsidR="00C75E78" w:rsidRPr="005E0C37">
        <w:rPr>
          <w:rFonts w:eastAsia="Calibri" w:cstheme="minorHAnsi"/>
          <w:color w:val="000000" w:themeColor="text1"/>
        </w:rPr>
        <w:t xml:space="preserve"> Code of Practice 2015</w:t>
      </w:r>
      <w:r w:rsidRPr="005E0C37">
        <w:rPr>
          <w:rFonts w:eastAsia="Calibri" w:cstheme="minorHAnsi"/>
          <w:color w:val="000000" w:themeColor="text1"/>
        </w:rPr>
        <w:t xml:space="preserve"> (p 85) states that ‘persistent disruptive or withdrawn behaviours do not necessarily mean that a young person has </w:t>
      </w:r>
      <w:r w:rsidR="008D67C1">
        <w:rPr>
          <w:rFonts w:eastAsia="Calibri" w:cstheme="minorHAnsi"/>
          <w:color w:val="000000" w:themeColor="text1"/>
        </w:rPr>
        <w:t>SEND</w:t>
      </w:r>
      <w:r w:rsidRPr="005E0C37">
        <w:rPr>
          <w:rFonts w:eastAsia="Calibri" w:cstheme="minorHAnsi"/>
          <w:color w:val="000000" w:themeColor="text1"/>
        </w:rPr>
        <w:t xml:space="preserve">’. The </w:t>
      </w:r>
      <w:r w:rsidR="00277109" w:rsidRPr="005E0C37">
        <w:rPr>
          <w:rFonts w:eastAsia="Calibri" w:cstheme="minorHAnsi"/>
          <w:color w:val="000000" w:themeColor="text1"/>
        </w:rPr>
        <w:t xml:space="preserve">school </w:t>
      </w:r>
      <w:r w:rsidRPr="005E0C37">
        <w:rPr>
          <w:rFonts w:eastAsia="Calibri" w:cstheme="minorHAnsi"/>
          <w:color w:val="000000" w:themeColor="text1"/>
        </w:rPr>
        <w:t xml:space="preserve">staged behaviour systems and processes are fully integrated into </w:t>
      </w:r>
      <w:r w:rsidR="008D67C1">
        <w:rPr>
          <w:rFonts w:eastAsia="Calibri" w:cstheme="minorHAnsi"/>
          <w:color w:val="000000" w:themeColor="text1"/>
        </w:rPr>
        <w:t>SEND</w:t>
      </w:r>
      <w:r w:rsidRPr="005E0C37">
        <w:rPr>
          <w:rFonts w:eastAsia="Calibri" w:cstheme="minorHAnsi"/>
          <w:color w:val="000000" w:themeColor="text1"/>
        </w:rPr>
        <w:t xml:space="preserve"> provision and concerns will be referred to the </w:t>
      </w:r>
      <w:r w:rsidR="008D67C1">
        <w:rPr>
          <w:rFonts w:eastAsia="Calibri" w:cstheme="minorHAnsi"/>
          <w:color w:val="000000" w:themeColor="text1"/>
        </w:rPr>
        <w:t>SEN</w:t>
      </w:r>
      <w:r w:rsidRPr="005E0C37">
        <w:rPr>
          <w:rFonts w:eastAsia="Calibri" w:cstheme="minorHAnsi"/>
          <w:color w:val="000000" w:themeColor="text1"/>
        </w:rPr>
        <w:t>CO by pastoral staff. This may result in additional assessments to determine any causal factors, such as undiagnosed learning difficulties or mental health needs. In the case of family or environmental circumstances which may be contributin</w:t>
      </w:r>
      <w:r w:rsidR="007D0A7A">
        <w:rPr>
          <w:rFonts w:eastAsia="Calibri" w:cstheme="minorHAnsi"/>
          <w:color w:val="000000" w:themeColor="text1"/>
        </w:rPr>
        <w:t>g to the presenting behaviours an Integrated Front Door (IFD</w:t>
      </w:r>
      <w:r w:rsidR="007B58E5" w:rsidRPr="005E0C37">
        <w:rPr>
          <w:rFonts w:eastAsia="Calibri" w:cstheme="minorHAnsi"/>
          <w:color w:val="000000" w:themeColor="text1"/>
        </w:rPr>
        <w:t>)</w:t>
      </w:r>
      <w:r w:rsidRPr="005E0C37">
        <w:rPr>
          <w:rFonts w:eastAsia="Calibri" w:cstheme="minorHAnsi"/>
          <w:color w:val="000000" w:themeColor="text1"/>
        </w:rPr>
        <w:t xml:space="preserve"> referral is made to access additional services</w:t>
      </w:r>
      <w:r w:rsidR="0067425C">
        <w:rPr>
          <w:rFonts w:eastAsia="Calibri" w:cstheme="minorHAnsi"/>
          <w:color w:val="000000" w:themeColor="text1"/>
        </w:rPr>
        <w:t xml:space="preserve"> to support the family.</w:t>
      </w:r>
    </w:p>
    <w:p w14:paraId="3DFCDEAA" w14:textId="107E61CE" w:rsidR="00317221" w:rsidRPr="00697848" w:rsidRDefault="00B32FCB">
      <w:pPr>
        <w:rPr>
          <w:rFonts w:cstheme="minorHAnsi"/>
          <w:b/>
          <w:color w:val="000000" w:themeColor="text1"/>
          <w:sz w:val="24"/>
          <w:szCs w:val="24"/>
        </w:rPr>
      </w:pPr>
      <w:r w:rsidRPr="00697848">
        <w:rPr>
          <w:rFonts w:cstheme="minorHAnsi"/>
          <w:b/>
          <w:color w:val="000000" w:themeColor="text1"/>
          <w:sz w:val="24"/>
          <w:szCs w:val="24"/>
        </w:rPr>
        <w:t xml:space="preserve">Section </w:t>
      </w:r>
      <w:r w:rsidR="002B1EF0" w:rsidRPr="00697848">
        <w:rPr>
          <w:rFonts w:cstheme="minorHAnsi"/>
          <w:b/>
          <w:color w:val="000000" w:themeColor="text1"/>
          <w:sz w:val="24"/>
          <w:szCs w:val="24"/>
        </w:rPr>
        <w:t>5</w:t>
      </w:r>
      <w:r w:rsidRPr="00697848">
        <w:rPr>
          <w:rFonts w:cstheme="minorHAnsi"/>
          <w:b/>
          <w:color w:val="000000" w:themeColor="text1"/>
          <w:sz w:val="24"/>
          <w:szCs w:val="24"/>
        </w:rPr>
        <w:t xml:space="preserve"> – A Graduated Approach to </w:t>
      </w:r>
      <w:r w:rsidR="008D67C1" w:rsidRPr="00697848">
        <w:rPr>
          <w:rFonts w:cstheme="minorHAnsi"/>
          <w:b/>
          <w:color w:val="000000" w:themeColor="text1"/>
          <w:sz w:val="24"/>
          <w:szCs w:val="24"/>
        </w:rPr>
        <w:t>SEND</w:t>
      </w:r>
      <w:r w:rsidRPr="00697848">
        <w:rPr>
          <w:rFonts w:cstheme="minorHAnsi"/>
          <w:b/>
          <w:color w:val="000000" w:themeColor="text1"/>
          <w:sz w:val="24"/>
          <w:szCs w:val="24"/>
        </w:rPr>
        <w:t xml:space="preserve"> Support</w:t>
      </w:r>
      <w:r w:rsidR="00195AD0" w:rsidRPr="00697848">
        <w:rPr>
          <w:rFonts w:cstheme="minorHAnsi"/>
          <w:b/>
          <w:color w:val="000000" w:themeColor="text1"/>
          <w:sz w:val="24"/>
          <w:szCs w:val="24"/>
        </w:rPr>
        <w:t xml:space="preserve"> and High Quality Teaching </w:t>
      </w:r>
    </w:p>
    <w:p w14:paraId="28F6ECDC" w14:textId="77777777" w:rsidR="003C121D" w:rsidRPr="005E0C37" w:rsidRDefault="003C121D" w:rsidP="003C121D">
      <w:pPr>
        <w:jc w:val="both"/>
        <w:rPr>
          <w:rFonts w:eastAsia="Calibri" w:cstheme="minorHAnsi"/>
          <w:color w:val="000000" w:themeColor="text1"/>
        </w:rPr>
      </w:pPr>
      <w:r w:rsidRPr="005E0C37">
        <w:rPr>
          <w:rFonts w:eastAsia="Calibri" w:cstheme="minorHAnsi"/>
          <w:color w:val="000000" w:themeColor="text1"/>
        </w:rPr>
        <w:t xml:space="preserve">The rationale for </w:t>
      </w:r>
      <w:r w:rsidR="008D67C1">
        <w:rPr>
          <w:rFonts w:eastAsia="Calibri" w:cstheme="minorHAnsi"/>
          <w:color w:val="000000" w:themeColor="text1"/>
        </w:rPr>
        <w:t>SEND</w:t>
      </w:r>
      <w:r w:rsidRPr="005E0C37">
        <w:rPr>
          <w:rFonts w:eastAsia="Calibri" w:cstheme="minorHAnsi"/>
          <w:color w:val="000000" w:themeColor="text1"/>
        </w:rPr>
        <w:t xml:space="preserve"> provision at the </w:t>
      </w:r>
      <w:r w:rsidR="00277109" w:rsidRPr="005E0C37">
        <w:rPr>
          <w:rFonts w:eastAsia="Calibri" w:cstheme="minorHAnsi"/>
          <w:color w:val="000000" w:themeColor="text1"/>
        </w:rPr>
        <w:t xml:space="preserve">school </w:t>
      </w:r>
      <w:r w:rsidRPr="005E0C37">
        <w:rPr>
          <w:rFonts w:eastAsia="Calibri" w:cstheme="minorHAnsi"/>
          <w:color w:val="000000" w:themeColor="text1"/>
        </w:rPr>
        <w:t xml:space="preserve">follows the principles outlined in the </w:t>
      </w:r>
      <w:r w:rsidR="008D67C1">
        <w:rPr>
          <w:rFonts w:eastAsia="Calibri" w:cstheme="minorHAnsi"/>
          <w:color w:val="000000" w:themeColor="text1"/>
        </w:rPr>
        <w:t>SEND</w:t>
      </w:r>
      <w:r w:rsidR="00C75E78" w:rsidRPr="005E0C37">
        <w:rPr>
          <w:rFonts w:eastAsia="Calibri" w:cstheme="minorHAnsi"/>
          <w:color w:val="000000" w:themeColor="text1"/>
        </w:rPr>
        <w:t xml:space="preserve"> Code of Practice 2015</w:t>
      </w:r>
      <w:r w:rsidRPr="005E0C37">
        <w:rPr>
          <w:rFonts w:eastAsia="Calibri" w:cstheme="minorHAnsi"/>
          <w:color w:val="000000" w:themeColor="text1"/>
        </w:rPr>
        <w:t xml:space="preserve"> (p88) which states that, </w:t>
      </w:r>
      <w:r w:rsidRPr="005E0C37">
        <w:rPr>
          <w:rFonts w:eastAsia="Calibri" w:cstheme="minorHAnsi"/>
          <w:b/>
          <w:color w:val="000000" w:themeColor="text1"/>
        </w:rPr>
        <w:t xml:space="preserve">‘High quality teaching, differentiated for individual students, is the first step in responding to students who have or may have </w:t>
      </w:r>
      <w:r w:rsidR="008D67C1">
        <w:rPr>
          <w:rFonts w:eastAsia="Calibri" w:cstheme="minorHAnsi"/>
          <w:b/>
          <w:color w:val="000000" w:themeColor="text1"/>
        </w:rPr>
        <w:t>SEND</w:t>
      </w:r>
      <w:r w:rsidRPr="005E0C37">
        <w:rPr>
          <w:rFonts w:eastAsia="Calibri" w:cstheme="minorHAnsi"/>
          <w:b/>
          <w:color w:val="000000" w:themeColor="text1"/>
        </w:rPr>
        <w:t>. Additional intervention and support cannot compensate for a lack of good quality teaching’.</w:t>
      </w:r>
      <w:r w:rsidRPr="005E0C37">
        <w:rPr>
          <w:rFonts w:eastAsia="Calibri" w:cstheme="minorHAnsi"/>
          <w:color w:val="000000" w:themeColor="text1"/>
        </w:rPr>
        <w:t xml:space="preserve">  </w:t>
      </w:r>
    </w:p>
    <w:p w14:paraId="4EA1CA21" w14:textId="1BDAF8E0" w:rsidR="00195AD0" w:rsidRDefault="008F1BD9" w:rsidP="003C121D">
      <w:pPr>
        <w:jc w:val="both"/>
        <w:rPr>
          <w:rFonts w:eastAsia="Calibri" w:cstheme="minorHAnsi"/>
          <w:color w:val="000000" w:themeColor="text1"/>
        </w:rPr>
      </w:pPr>
      <w:r>
        <w:rPr>
          <w:rFonts w:eastAsia="Calibri" w:cstheme="minorHAnsi"/>
          <w:color w:val="000000" w:themeColor="text1"/>
        </w:rPr>
        <w:t>High Quality Teaching is defined as teaching staff who:</w:t>
      </w:r>
    </w:p>
    <w:p w14:paraId="3E9D199E" w14:textId="77777777" w:rsidR="008F1BD9" w:rsidRPr="008F1BD9" w:rsidRDefault="008F1BD9" w:rsidP="008F1BD9">
      <w:pPr>
        <w:numPr>
          <w:ilvl w:val="0"/>
          <w:numId w:val="8"/>
        </w:numPr>
        <w:spacing w:after="0" w:line="240" w:lineRule="auto"/>
        <w:ind w:left="1166"/>
        <w:contextualSpacing/>
        <w:rPr>
          <w:rFonts w:ascii="Times New Roman" w:eastAsia="Times New Roman" w:hAnsi="Times New Roman" w:cs="Times New Roman"/>
          <w:lang w:eastAsia="en-GB"/>
        </w:rPr>
      </w:pPr>
      <w:r w:rsidRPr="008F1BD9">
        <w:rPr>
          <w:rFonts w:eastAsiaTheme="minorEastAsia" w:hAnsi="Calibri"/>
          <w:color w:val="000000" w:themeColor="text1"/>
          <w:kern w:val="24"/>
          <w:lang w:eastAsia="en-GB"/>
        </w:rPr>
        <w:t>Are knowledgeable and well informed about supporting individual needs, i.e. who can identify barriers to learning, identify levels of prior knowledge, identify strengths and abilities, match need to appropriate support and effectively monitor and review progress</w:t>
      </w:r>
    </w:p>
    <w:p w14:paraId="2BEC94D3" w14:textId="77777777" w:rsidR="008F1BD9" w:rsidRPr="008F1BD9" w:rsidRDefault="008F1BD9" w:rsidP="008F1BD9">
      <w:pPr>
        <w:numPr>
          <w:ilvl w:val="0"/>
          <w:numId w:val="8"/>
        </w:numPr>
        <w:spacing w:after="0" w:line="240" w:lineRule="auto"/>
        <w:ind w:left="1166"/>
        <w:contextualSpacing/>
        <w:rPr>
          <w:rFonts w:ascii="Times New Roman" w:eastAsia="Times New Roman" w:hAnsi="Times New Roman" w:cs="Times New Roman"/>
          <w:lang w:eastAsia="en-GB"/>
        </w:rPr>
      </w:pPr>
      <w:r w:rsidRPr="008F1BD9">
        <w:rPr>
          <w:rFonts w:eastAsiaTheme="minorEastAsia" w:hAnsi="Calibri"/>
          <w:color w:val="000000" w:themeColor="text1"/>
          <w:kern w:val="24"/>
          <w:lang w:eastAsia="en-GB"/>
        </w:rPr>
        <w:t>Are adept at adapting and weaving specific approaches into everyday whole class teaching to meet individual needs – inclusive by design</w:t>
      </w:r>
    </w:p>
    <w:p w14:paraId="2E1625A4" w14:textId="77777777" w:rsidR="008F1BD9" w:rsidRPr="008F1BD9" w:rsidRDefault="008F1BD9" w:rsidP="008F1BD9">
      <w:pPr>
        <w:numPr>
          <w:ilvl w:val="0"/>
          <w:numId w:val="8"/>
        </w:numPr>
        <w:spacing w:after="0" w:line="240" w:lineRule="auto"/>
        <w:ind w:left="1166"/>
        <w:contextualSpacing/>
        <w:rPr>
          <w:rFonts w:ascii="Times New Roman" w:eastAsia="Times New Roman" w:hAnsi="Times New Roman" w:cs="Times New Roman"/>
          <w:lang w:eastAsia="en-GB"/>
        </w:rPr>
      </w:pPr>
      <w:r w:rsidRPr="008F1BD9">
        <w:rPr>
          <w:rFonts w:eastAsiaTheme="minorEastAsia" w:hAnsi="Calibri"/>
          <w:color w:val="000000" w:themeColor="text1"/>
          <w:kern w:val="24"/>
          <w:lang w:eastAsia="en-GB"/>
        </w:rPr>
        <w:lastRenderedPageBreak/>
        <w:t>Prioritise adaptive teaching in a responsive way and provide targeted support to students who are struggling</w:t>
      </w:r>
    </w:p>
    <w:p w14:paraId="22AEC6E4" w14:textId="53AA4001" w:rsidR="008F1BD9" w:rsidRPr="008F1BD9" w:rsidRDefault="008F1BD9" w:rsidP="008F1BD9">
      <w:pPr>
        <w:numPr>
          <w:ilvl w:val="0"/>
          <w:numId w:val="8"/>
        </w:numPr>
        <w:spacing w:after="0" w:line="240" w:lineRule="auto"/>
        <w:ind w:left="1166"/>
        <w:contextualSpacing/>
        <w:rPr>
          <w:rFonts w:ascii="Times New Roman" w:eastAsia="Times New Roman" w:hAnsi="Times New Roman" w:cs="Times New Roman"/>
          <w:lang w:eastAsia="en-GB"/>
        </w:rPr>
      </w:pPr>
      <w:r w:rsidRPr="008F1BD9">
        <w:rPr>
          <w:rFonts w:eastAsiaTheme="minorEastAsia" w:hAnsi="Calibri"/>
          <w:color w:val="000000" w:themeColor="text1"/>
          <w:kern w:val="24"/>
          <w:lang w:eastAsia="en-GB"/>
        </w:rPr>
        <w:t xml:space="preserve">Use the graduated approach </w:t>
      </w:r>
      <w:r>
        <w:rPr>
          <w:rFonts w:eastAsiaTheme="minorEastAsia" w:hAnsi="Calibri"/>
          <w:color w:val="000000" w:themeColor="text1"/>
          <w:kern w:val="24"/>
          <w:lang w:eastAsia="en-GB"/>
        </w:rPr>
        <w:t xml:space="preserve">of ‘assess, plan, do review’ </w:t>
      </w:r>
      <w:r w:rsidRPr="008F1BD9">
        <w:rPr>
          <w:rFonts w:eastAsiaTheme="minorEastAsia" w:hAnsi="Calibri"/>
          <w:color w:val="000000" w:themeColor="text1"/>
          <w:kern w:val="24"/>
          <w:lang w:eastAsia="en-GB"/>
        </w:rPr>
        <w:t>for students with SEND to ensure that they receive appropriately tailored support and interventions</w:t>
      </w:r>
    </w:p>
    <w:p w14:paraId="2610E927" w14:textId="77777777" w:rsidR="008F1BD9" w:rsidRPr="008F1BD9" w:rsidRDefault="008F1BD9" w:rsidP="008F1BD9">
      <w:pPr>
        <w:numPr>
          <w:ilvl w:val="0"/>
          <w:numId w:val="8"/>
        </w:numPr>
        <w:spacing w:after="0" w:line="240" w:lineRule="auto"/>
        <w:ind w:left="1166"/>
        <w:contextualSpacing/>
        <w:rPr>
          <w:rFonts w:ascii="Times New Roman" w:eastAsia="Times New Roman" w:hAnsi="Times New Roman" w:cs="Times New Roman"/>
          <w:lang w:eastAsia="en-GB"/>
        </w:rPr>
      </w:pPr>
      <w:r w:rsidRPr="008F1BD9">
        <w:rPr>
          <w:rFonts w:eastAsiaTheme="minorEastAsia" w:hAnsi="Calibri"/>
          <w:color w:val="000000" w:themeColor="text1"/>
          <w:kern w:val="24"/>
          <w:lang w:eastAsia="en-GB"/>
        </w:rPr>
        <w:t xml:space="preserve">Take responsibility for and have high expectations for SEND students in terms of progress, achievements and outcomes </w:t>
      </w:r>
    </w:p>
    <w:p w14:paraId="71CD4C37" w14:textId="77777777" w:rsidR="008F1BD9" w:rsidRPr="008F1BD9" w:rsidRDefault="008F1BD9" w:rsidP="008F1BD9">
      <w:pPr>
        <w:numPr>
          <w:ilvl w:val="0"/>
          <w:numId w:val="8"/>
        </w:numPr>
        <w:spacing w:after="0" w:line="240" w:lineRule="auto"/>
        <w:ind w:left="1166"/>
        <w:contextualSpacing/>
        <w:rPr>
          <w:rFonts w:ascii="Times New Roman" w:eastAsia="Times New Roman" w:hAnsi="Times New Roman" w:cs="Times New Roman"/>
          <w:lang w:eastAsia="en-GB"/>
        </w:rPr>
      </w:pPr>
      <w:r w:rsidRPr="008F1BD9">
        <w:rPr>
          <w:rFonts w:eastAsiaTheme="minorEastAsia" w:hAnsi="Calibri"/>
          <w:color w:val="000000" w:themeColor="text1"/>
          <w:kern w:val="24"/>
          <w:lang w:eastAsia="en-GB"/>
        </w:rPr>
        <w:t>Support students with SEND to develop independence and resilience, and to transition into adulthood</w:t>
      </w:r>
    </w:p>
    <w:p w14:paraId="7E526137" w14:textId="77777777" w:rsidR="008F1BD9" w:rsidRDefault="008F1BD9" w:rsidP="003C121D">
      <w:pPr>
        <w:jc w:val="both"/>
        <w:rPr>
          <w:rFonts w:eastAsia="Calibri" w:cstheme="minorHAnsi"/>
          <w:color w:val="000000" w:themeColor="text1"/>
        </w:rPr>
      </w:pPr>
    </w:p>
    <w:p w14:paraId="51692997" w14:textId="64AF93C6" w:rsidR="003C121D" w:rsidRPr="005E0C37" w:rsidRDefault="008F1BD9" w:rsidP="003C121D">
      <w:pPr>
        <w:jc w:val="both"/>
        <w:rPr>
          <w:rFonts w:eastAsia="Calibri" w:cstheme="minorHAnsi"/>
          <w:color w:val="000000" w:themeColor="text1"/>
        </w:rPr>
      </w:pPr>
      <w:r>
        <w:rPr>
          <w:rFonts w:eastAsia="Calibri" w:cstheme="minorHAnsi"/>
          <w:color w:val="000000" w:themeColor="text1"/>
        </w:rPr>
        <w:t xml:space="preserve">As suggested in the EEF research, teachers are encouraged to prioritise familiar but powerful strategies, such as explicit instruction and scaffolding, to support their students with SEND. </w:t>
      </w:r>
      <w:r w:rsidR="003E6031">
        <w:rPr>
          <w:rFonts w:eastAsia="Calibri" w:cstheme="minorHAnsi"/>
          <w:color w:val="000000" w:themeColor="text1"/>
        </w:rPr>
        <w:t>Teach</w:t>
      </w:r>
      <w:r>
        <w:rPr>
          <w:rFonts w:eastAsia="Calibri" w:cstheme="minorHAnsi"/>
          <w:color w:val="000000" w:themeColor="text1"/>
        </w:rPr>
        <w:t>ers</w:t>
      </w:r>
      <w:r w:rsidR="003E6031">
        <w:rPr>
          <w:rFonts w:eastAsia="Calibri" w:cstheme="minorHAnsi"/>
          <w:color w:val="000000" w:themeColor="text1"/>
        </w:rPr>
        <w:t xml:space="preserve"> use a range of responsive teaching strategies to </w:t>
      </w:r>
      <w:r w:rsidR="00195AD0">
        <w:rPr>
          <w:rFonts w:eastAsia="Calibri" w:cstheme="minorHAnsi"/>
          <w:color w:val="000000" w:themeColor="text1"/>
        </w:rPr>
        <w:t xml:space="preserve">collect data within the lesson and </w:t>
      </w:r>
      <w:r w:rsidR="003E6031">
        <w:rPr>
          <w:rFonts w:eastAsia="Calibri" w:cstheme="minorHAnsi"/>
          <w:color w:val="000000" w:themeColor="text1"/>
        </w:rPr>
        <w:t>identify and address misconceptions</w:t>
      </w:r>
      <w:r w:rsidR="00195AD0">
        <w:rPr>
          <w:rFonts w:eastAsia="Calibri" w:cstheme="minorHAnsi"/>
          <w:color w:val="000000" w:themeColor="text1"/>
        </w:rPr>
        <w:t xml:space="preserve"> immediately.</w:t>
      </w:r>
      <w:r>
        <w:rPr>
          <w:rFonts w:eastAsia="Calibri" w:cstheme="minorHAnsi"/>
          <w:color w:val="000000" w:themeColor="text1"/>
        </w:rPr>
        <w:t xml:space="preserve"> This will include live conversations with students and additional unpacking and explanation of the material and concepts. </w:t>
      </w:r>
      <w:r w:rsidR="00195AD0">
        <w:rPr>
          <w:rFonts w:eastAsia="Calibri" w:cstheme="minorHAnsi"/>
          <w:color w:val="000000" w:themeColor="text1"/>
        </w:rPr>
        <w:t xml:space="preserve"> </w:t>
      </w:r>
      <w:r>
        <w:rPr>
          <w:rFonts w:eastAsia="Calibri" w:cstheme="minorHAnsi"/>
          <w:color w:val="000000" w:themeColor="text1"/>
        </w:rPr>
        <w:t xml:space="preserve">All students should have the opportunity to do something that they find really hard, and teachers aim to scaffold learning to allow students with SEND to work beyond their current capacities. </w:t>
      </w:r>
    </w:p>
    <w:p w14:paraId="61339EE1" w14:textId="4520D74E" w:rsidR="003C121D" w:rsidRPr="005E0C37" w:rsidRDefault="003C121D" w:rsidP="003C121D">
      <w:pPr>
        <w:jc w:val="both"/>
        <w:rPr>
          <w:rFonts w:eastAsia="Calibri" w:cstheme="minorHAnsi"/>
          <w:color w:val="000000" w:themeColor="text1"/>
        </w:rPr>
      </w:pPr>
      <w:r w:rsidRPr="005E0C37">
        <w:rPr>
          <w:rFonts w:eastAsia="Calibri" w:cstheme="minorHAnsi"/>
          <w:color w:val="000000" w:themeColor="text1"/>
        </w:rPr>
        <w:t>The curriculum emphasises the development of literacy skills and interventions</w:t>
      </w:r>
      <w:r w:rsidR="008F1BD9">
        <w:rPr>
          <w:rFonts w:eastAsia="Calibri" w:cstheme="minorHAnsi"/>
          <w:color w:val="000000" w:themeColor="text1"/>
        </w:rPr>
        <w:t xml:space="preserve"> such as the Frayer model, disciplinary literacy</w:t>
      </w:r>
      <w:r w:rsidR="001A7640">
        <w:rPr>
          <w:rFonts w:eastAsia="Calibri" w:cstheme="minorHAnsi"/>
          <w:color w:val="000000" w:themeColor="text1"/>
        </w:rPr>
        <w:t>, oracy</w:t>
      </w:r>
      <w:r w:rsidR="008F1BD9">
        <w:rPr>
          <w:rFonts w:eastAsia="Calibri" w:cstheme="minorHAnsi"/>
          <w:color w:val="000000" w:themeColor="text1"/>
        </w:rPr>
        <w:t xml:space="preserve"> and phonics for the weakest readers</w:t>
      </w:r>
      <w:r w:rsidRPr="005E0C37">
        <w:rPr>
          <w:rFonts w:eastAsia="Calibri" w:cstheme="minorHAnsi"/>
          <w:color w:val="000000" w:themeColor="text1"/>
        </w:rPr>
        <w:t xml:space="preserve"> are embedded into cl</w:t>
      </w:r>
      <w:r w:rsidR="002133EB">
        <w:rPr>
          <w:rFonts w:eastAsia="Calibri" w:cstheme="minorHAnsi"/>
          <w:color w:val="000000" w:themeColor="text1"/>
        </w:rPr>
        <w:t xml:space="preserve">assroom teaching. For years 7 </w:t>
      </w:r>
      <w:r w:rsidR="008F1BD9">
        <w:rPr>
          <w:rFonts w:eastAsia="Calibri" w:cstheme="minorHAnsi"/>
          <w:color w:val="000000" w:themeColor="text1"/>
        </w:rPr>
        <w:t>,</w:t>
      </w:r>
      <w:r w:rsidR="002133EB">
        <w:rPr>
          <w:rFonts w:eastAsia="Calibri" w:cstheme="minorHAnsi"/>
          <w:color w:val="000000" w:themeColor="text1"/>
        </w:rPr>
        <w:t>8</w:t>
      </w:r>
      <w:r w:rsidR="008F1BD9">
        <w:rPr>
          <w:rFonts w:eastAsia="Calibri" w:cstheme="minorHAnsi"/>
          <w:color w:val="000000" w:themeColor="text1"/>
        </w:rPr>
        <w:t xml:space="preserve"> and 9</w:t>
      </w:r>
      <w:r w:rsidR="00305D90">
        <w:rPr>
          <w:rFonts w:eastAsia="Calibri" w:cstheme="minorHAnsi"/>
          <w:color w:val="000000" w:themeColor="text1"/>
        </w:rPr>
        <w:t xml:space="preserve"> and 10,</w:t>
      </w:r>
      <w:r w:rsidRPr="005E0C37">
        <w:rPr>
          <w:rFonts w:eastAsia="Calibri" w:cstheme="minorHAnsi"/>
          <w:color w:val="000000" w:themeColor="text1"/>
        </w:rPr>
        <w:t xml:space="preserve"> all students participate in t</w:t>
      </w:r>
      <w:r w:rsidR="002133EB">
        <w:rPr>
          <w:rFonts w:eastAsia="Calibri" w:cstheme="minorHAnsi"/>
          <w:color w:val="000000" w:themeColor="text1"/>
        </w:rPr>
        <w:t xml:space="preserve">he ‘Big Read’  during tutor time to ensure that they  experience guided reading </w:t>
      </w:r>
      <w:r w:rsidR="008F1BD9">
        <w:rPr>
          <w:rFonts w:eastAsia="Calibri" w:cstheme="minorHAnsi"/>
          <w:color w:val="000000" w:themeColor="text1"/>
        </w:rPr>
        <w:t xml:space="preserve">and vocabulary work </w:t>
      </w:r>
      <w:r w:rsidR="002133EB">
        <w:rPr>
          <w:rFonts w:eastAsia="Calibri" w:cstheme="minorHAnsi"/>
          <w:color w:val="000000" w:themeColor="text1"/>
        </w:rPr>
        <w:t>every day.</w:t>
      </w:r>
    </w:p>
    <w:p w14:paraId="1462F58F" w14:textId="55083E2A" w:rsidR="003C121D" w:rsidRPr="005E0C37" w:rsidRDefault="003C121D" w:rsidP="003C121D">
      <w:pPr>
        <w:jc w:val="both"/>
        <w:rPr>
          <w:rFonts w:eastAsia="Calibri" w:cstheme="minorHAnsi"/>
          <w:color w:val="000000" w:themeColor="text1"/>
        </w:rPr>
      </w:pPr>
      <w:r w:rsidRPr="005E0C37">
        <w:rPr>
          <w:rFonts w:eastAsia="Calibri" w:cstheme="minorHAnsi"/>
          <w:color w:val="000000" w:themeColor="text1"/>
        </w:rPr>
        <w:t>Teaching Assistant</w:t>
      </w:r>
      <w:r w:rsidR="000644A0" w:rsidRPr="005E0C37">
        <w:rPr>
          <w:rFonts w:eastAsia="Calibri" w:cstheme="minorHAnsi"/>
          <w:color w:val="000000" w:themeColor="text1"/>
        </w:rPr>
        <w:t xml:space="preserve"> </w:t>
      </w:r>
      <w:r w:rsidRPr="005E0C37">
        <w:rPr>
          <w:rFonts w:eastAsia="Calibri" w:cstheme="minorHAnsi"/>
          <w:color w:val="000000" w:themeColor="text1"/>
        </w:rPr>
        <w:t xml:space="preserve">support in the </w:t>
      </w:r>
      <w:r w:rsidR="00277109" w:rsidRPr="005E0C37">
        <w:rPr>
          <w:rFonts w:eastAsia="Calibri" w:cstheme="minorHAnsi"/>
          <w:color w:val="000000" w:themeColor="text1"/>
        </w:rPr>
        <w:t xml:space="preserve">school </w:t>
      </w:r>
      <w:r w:rsidRPr="005E0C37">
        <w:rPr>
          <w:rFonts w:eastAsia="Calibri" w:cstheme="minorHAnsi"/>
          <w:color w:val="000000" w:themeColor="text1"/>
        </w:rPr>
        <w:t xml:space="preserve">is directed towards those students who have </w:t>
      </w:r>
      <w:r w:rsidR="00D33092" w:rsidRPr="00001D10">
        <w:rPr>
          <w:rFonts w:eastAsia="Calibri" w:cstheme="minorHAnsi"/>
          <w:color w:val="000000" w:themeColor="text1"/>
        </w:rPr>
        <w:t>an</w:t>
      </w:r>
      <w:r w:rsidRPr="005E0C37">
        <w:rPr>
          <w:rFonts w:eastAsia="Calibri" w:cstheme="minorHAnsi"/>
          <w:color w:val="000000" w:themeColor="text1"/>
        </w:rPr>
        <w:t xml:space="preserve"> E</w:t>
      </w:r>
      <w:r w:rsidR="003A189C" w:rsidRPr="005E0C37">
        <w:rPr>
          <w:rFonts w:eastAsia="Calibri" w:cstheme="minorHAnsi"/>
          <w:color w:val="000000" w:themeColor="text1"/>
        </w:rPr>
        <w:t xml:space="preserve">ducation </w:t>
      </w:r>
      <w:r w:rsidRPr="005E0C37">
        <w:rPr>
          <w:rFonts w:eastAsia="Calibri" w:cstheme="minorHAnsi"/>
          <w:color w:val="000000" w:themeColor="text1"/>
        </w:rPr>
        <w:t>H</w:t>
      </w:r>
      <w:r w:rsidR="003A189C" w:rsidRPr="005E0C37">
        <w:rPr>
          <w:rFonts w:eastAsia="Calibri" w:cstheme="minorHAnsi"/>
          <w:color w:val="000000" w:themeColor="text1"/>
        </w:rPr>
        <w:t xml:space="preserve">ealth and </w:t>
      </w:r>
      <w:r w:rsidRPr="005E0C37">
        <w:rPr>
          <w:rFonts w:eastAsia="Calibri" w:cstheme="minorHAnsi"/>
          <w:color w:val="000000" w:themeColor="text1"/>
        </w:rPr>
        <w:t>C</w:t>
      </w:r>
      <w:r w:rsidR="003A189C" w:rsidRPr="005E0C37">
        <w:rPr>
          <w:rFonts w:eastAsia="Calibri" w:cstheme="minorHAnsi"/>
          <w:color w:val="000000" w:themeColor="text1"/>
        </w:rPr>
        <w:t>are</w:t>
      </w:r>
      <w:r w:rsidRPr="005E0C37">
        <w:rPr>
          <w:rFonts w:eastAsia="Calibri" w:cstheme="minorHAnsi"/>
          <w:color w:val="000000" w:themeColor="text1"/>
        </w:rPr>
        <w:t xml:space="preserve"> Plan</w:t>
      </w:r>
      <w:r w:rsidR="003A189C" w:rsidRPr="005E0C37">
        <w:rPr>
          <w:rFonts w:eastAsia="Calibri" w:cstheme="minorHAnsi"/>
          <w:color w:val="000000" w:themeColor="text1"/>
        </w:rPr>
        <w:t xml:space="preserve"> (EHC Plan)</w:t>
      </w:r>
      <w:r w:rsidR="00D0070C">
        <w:rPr>
          <w:rFonts w:eastAsia="Calibri" w:cstheme="minorHAnsi"/>
          <w:color w:val="000000" w:themeColor="text1"/>
        </w:rPr>
        <w:t xml:space="preserve">. </w:t>
      </w:r>
      <w:r w:rsidR="00365DF8">
        <w:rPr>
          <w:rFonts w:eastAsia="Calibri" w:cstheme="minorHAnsi"/>
          <w:color w:val="000000" w:themeColor="text1"/>
        </w:rPr>
        <w:t xml:space="preserve">Teaching Assistants have a clearly defined role in the classroom and use the EEF </w:t>
      </w:r>
      <w:r w:rsidR="00365DF8" w:rsidRPr="00365DF8">
        <w:rPr>
          <w:rFonts w:eastAsia="Calibri" w:cstheme="minorHAnsi"/>
          <w:color w:val="000000" w:themeColor="text1"/>
        </w:rPr>
        <w:t>scaffolding framework to</w:t>
      </w:r>
      <w:r w:rsidR="00365DF8">
        <w:rPr>
          <w:rFonts w:eastAsia="Calibri" w:cstheme="minorHAnsi"/>
          <w:color w:val="000000" w:themeColor="text1"/>
        </w:rPr>
        <w:t xml:space="preserve"> </w:t>
      </w:r>
      <w:r w:rsidR="00365DF8" w:rsidRPr="00365DF8">
        <w:rPr>
          <w:rFonts w:cstheme="minorHAnsi"/>
        </w:rPr>
        <w:t>support their interactions with students and develop independent learning skills.</w:t>
      </w:r>
      <w:r w:rsidR="009C4AA7">
        <w:rPr>
          <w:rFonts w:cstheme="minorHAnsi"/>
        </w:rPr>
        <w:t xml:space="preserve"> Teaching Assistants focus on supporting access to the curriculum rather than delivering  interventions to </w:t>
      </w:r>
      <w:r w:rsidR="00F716AF">
        <w:rPr>
          <w:rFonts w:cstheme="minorHAnsi"/>
        </w:rPr>
        <w:t xml:space="preserve">reduce the risk of social exclusion and over-reliance on a single adult. </w:t>
      </w:r>
    </w:p>
    <w:p w14:paraId="33731DEE" w14:textId="04F7ECCB" w:rsidR="00D0192A" w:rsidRDefault="00365DF8" w:rsidP="00D0192A">
      <w:pPr>
        <w:jc w:val="both"/>
        <w:rPr>
          <w:rFonts w:eastAsia="Calibri" w:cstheme="minorHAnsi"/>
          <w:color w:val="000000" w:themeColor="text1"/>
        </w:rPr>
      </w:pPr>
      <w:r>
        <w:rPr>
          <w:rFonts w:eastAsia="Calibri" w:cstheme="minorHAnsi"/>
          <w:color w:val="000000" w:themeColor="text1"/>
        </w:rPr>
        <w:t xml:space="preserve">All students with SEND have a personalised plan which teachers use to gain a clear understanding of the needs of their students. The plan is collated from specialist external assessments and is shared with </w:t>
      </w:r>
      <w:r w:rsidR="00D0070C">
        <w:rPr>
          <w:rFonts w:eastAsia="Calibri" w:cstheme="minorHAnsi"/>
          <w:color w:val="000000" w:themeColor="text1"/>
        </w:rPr>
        <w:t xml:space="preserve">students and </w:t>
      </w:r>
      <w:r>
        <w:rPr>
          <w:rFonts w:eastAsia="Calibri" w:cstheme="minorHAnsi"/>
          <w:color w:val="000000" w:themeColor="text1"/>
        </w:rPr>
        <w:t xml:space="preserve">parents for their input and feedback. It highlights potential barriers to learning and an overview of personalised strategies to provide support, and teachers are expected to select those most relevant to their subject and observations of the student.  </w:t>
      </w:r>
    </w:p>
    <w:p w14:paraId="0C43B503" w14:textId="09202A05" w:rsidR="00D0070C" w:rsidRDefault="00D0070C" w:rsidP="00D0192A">
      <w:pPr>
        <w:jc w:val="both"/>
        <w:rPr>
          <w:rFonts w:eastAsia="Calibri" w:cstheme="minorHAnsi"/>
          <w:color w:val="000000" w:themeColor="text1"/>
        </w:rPr>
      </w:pPr>
      <w:r>
        <w:rPr>
          <w:rFonts w:eastAsia="Calibri" w:cstheme="minorHAnsi"/>
          <w:color w:val="000000" w:themeColor="text1"/>
        </w:rPr>
        <w:t xml:space="preserve">In addition, a small number of Year 7 students are allocated into more specialist provision – Curriculum 8 for those with cognitive difficulties </w:t>
      </w:r>
      <w:r w:rsidR="001A7640">
        <w:rPr>
          <w:rFonts w:eastAsia="Calibri" w:cstheme="minorHAnsi"/>
          <w:color w:val="000000" w:themeColor="text1"/>
        </w:rPr>
        <w:t>who need a more bespoke approach.</w:t>
      </w:r>
    </w:p>
    <w:p w14:paraId="0B23B9AE" w14:textId="77777777" w:rsidR="00D0070C" w:rsidRPr="005E0C37" w:rsidRDefault="00D0070C" w:rsidP="00D0192A">
      <w:pPr>
        <w:jc w:val="both"/>
        <w:rPr>
          <w:rFonts w:eastAsia="Calibri" w:cstheme="minorHAnsi"/>
          <w:color w:val="000000" w:themeColor="text1"/>
        </w:rPr>
      </w:pPr>
    </w:p>
    <w:p w14:paraId="62500907" w14:textId="627E592B" w:rsidR="00317221" w:rsidRPr="00697848" w:rsidRDefault="000E5487">
      <w:pPr>
        <w:rPr>
          <w:rFonts w:cstheme="minorHAnsi"/>
          <w:b/>
          <w:color w:val="000000" w:themeColor="text1"/>
          <w:sz w:val="24"/>
          <w:szCs w:val="24"/>
        </w:rPr>
      </w:pPr>
      <w:r w:rsidRPr="00697848">
        <w:rPr>
          <w:rFonts w:cstheme="minorHAnsi"/>
          <w:b/>
          <w:color w:val="000000" w:themeColor="text1"/>
          <w:sz w:val="24"/>
          <w:szCs w:val="24"/>
        </w:rPr>
        <w:t xml:space="preserve">Section 6 - </w:t>
      </w:r>
      <w:r w:rsidR="00317221" w:rsidRPr="00697848">
        <w:rPr>
          <w:rFonts w:cstheme="minorHAnsi"/>
          <w:b/>
          <w:color w:val="000000" w:themeColor="text1"/>
          <w:sz w:val="24"/>
          <w:szCs w:val="24"/>
        </w:rPr>
        <w:t xml:space="preserve">Managing Students on the </w:t>
      </w:r>
      <w:r w:rsidR="008D67C1" w:rsidRPr="00697848">
        <w:rPr>
          <w:rFonts w:cstheme="minorHAnsi"/>
          <w:b/>
          <w:color w:val="000000" w:themeColor="text1"/>
          <w:sz w:val="24"/>
          <w:szCs w:val="24"/>
        </w:rPr>
        <w:t>SEND</w:t>
      </w:r>
      <w:r w:rsidR="00317221" w:rsidRPr="00697848">
        <w:rPr>
          <w:rFonts w:cstheme="minorHAnsi"/>
          <w:b/>
          <w:color w:val="000000" w:themeColor="text1"/>
          <w:sz w:val="24"/>
          <w:szCs w:val="24"/>
        </w:rPr>
        <w:t xml:space="preserve"> Register</w:t>
      </w:r>
    </w:p>
    <w:p w14:paraId="00464391" w14:textId="3CB7709E" w:rsidR="00CF551F" w:rsidRPr="005E0C37" w:rsidRDefault="00CF551F" w:rsidP="00CF551F">
      <w:pPr>
        <w:jc w:val="both"/>
        <w:rPr>
          <w:rFonts w:eastAsia="Calibri" w:cstheme="minorHAnsi"/>
          <w:color w:val="000000" w:themeColor="text1"/>
        </w:rPr>
      </w:pPr>
      <w:r w:rsidRPr="005E0C37">
        <w:rPr>
          <w:rFonts w:eastAsia="Calibri" w:cstheme="minorHAnsi"/>
          <w:color w:val="000000" w:themeColor="text1"/>
        </w:rPr>
        <w:t xml:space="preserve">The initial response to any concerns around progress would be classroom based and </w:t>
      </w:r>
      <w:r w:rsidR="000E5487">
        <w:rPr>
          <w:rFonts w:eastAsia="Calibri" w:cstheme="minorHAnsi"/>
          <w:color w:val="000000" w:themeColor="text1"/>
        </w:rPr>
        <w:t xml:space="preserve">led by the teacher. They may review the personalised plan for the student and utilise a different strategy or seek support from the SENCO. </w:t>
      </w:r>
    </w:p>
    <w:p w14:paraId="229ACA8C" w14:textId="4932E2A5" w:rsidR="00FE70BC" w:rsidRDefault="00FE70BC" w:rsidP="00FE70BC">
      <w:pPr>
        <w:spacing w:after="0"/>
        <w:jc w:val="both"/>
        <w:rPr>
          <w:rFonts w:eastAsia="Calibri" w:cstheme="minorHAnsi"/>
          <w:color w:val="000000" w:themeColor="text1"/>
        </w:rPr>
      </w:pPr>
      <w:r w:rsidRPr="005E0C37">
        <w:rPr>
          <w:rFonts w:eastAsia="Calibri" w:cstheme="minorHAnsi"/>
          <w:color w:val="000000" w:themeColor="text1"/>
        </w:rPr>
        <w:t xml:space="preserve">For students with </w:t>
      </w:r>
      <w:r w:rsidR="000E5487">
        <w:rPr>
          <w:rFonts w:eastAsia="Calibri" w:cstheme="minorHAnsi"/>
          <w:color w:val="000000" w:themeColor="text1"/>
        </w:rPr>
        <w:t>potential SEND</w:t>
      </w:r>
      <w:r w:rsidRPr="005E0C37">
        <w:rPr>
          <w:rFonts w:eastAsia="Calibri" w:cstheme="minorHAnsi"/>
          <w:color w:val="000000" w:themeColor="text1"/>
        </w:rPr>
        <w:t xml:space="preserve">, or those who are not making progress </w:t>
      </w:r>
      <w:r w:rsidR="000E5487">
        <w:rPr>
          <w:rFonts w:eastAsia="Calibri" w:cstheme="minorHAnsi"/>
          <w:color w:val="000000" w:themeColor="text1"/>
        </w:rPr>
        <w:t xml:space="preserve">despite additional support, </w:t>
      </w:r>
      <w:r w:rsidRPr="005E0C37">
        <w:rPr>
          <w:rFonts w:eastAsia="Calibri" w:cstheme="minorHAnsi"/>
          <w:color w:val="000000" w:themeColor="text1"/>
        </w:rPr>
        <w:t xml:space="preserve"> the SENCO will consider referrals to external agencies for specialist assessments. This is agreed in partnership with parents and they are part of the decision-making. Referrals may be made to the </w:t>
      </w:r>
      <w:r w:rsidRPr="005E0C37">
        <w:rPr>
          <w:rFonts w:eastAsia="Calibri" w:cstheme="minorHAnsi"/>
          <w:color w:val="000000" w:themeColor="text1"/>
        </w:rPr>
        <w:lastRenderedPageBreak/>
        <w:t xml:space="preserve">Speech and Language service, </w:t>
      </w:r>
      <w:r w:rsidR="003A189C" w:rsidRPr="005E0C37">
        <w:rPr>
          <w:rFonts w:eastAsia="Calibri" w:cstheme="minorHAnsi"/>
          <w:color w:val="000000" w:themeColor="text1"/>
        </w:rPr>
        <w:t>Child and Adolescent Mental Health Services(</w:t>
      </w:r>
      <w:r w:rsidRPr="005E0C37">
        <w:rPr>
          <w:rFonts w:eastAsia="Calibri" w:cstheme="minorHAnsi"/>
          <w:color w:val="000000" w:themeColor="text1"/>
        </w:rPr>
        <w:t>CAMHs</w:t>
      </w:r>
      <w:r w:rsidR="003A189C" w:rsidRPr="005E0C37">
        <w:rPr>
          <w:rFonts w:eastAsia="Calibri" w:cstheme="minorHAnsi"/>
          <w:color w:val="000000" w:themeColor="text1"/>
        </w:rPr>
        <w:t>)</w:t>
      </w:r>
      <w:r w:rsidRPr="005E0C37">
        <w:rPr>
          <w:rFonts w:eastAsia="Calibri" w:cstheme="minorHAnsi"/>
          <w:color w:val="000000" w:themeColor="text1"/>
        </w:rPr>
        <w:t>, Community Paediatricians, Occupational Therapy, Sensory Service, Educational Psychologist</w:t>
      </w:r>
      <w:r w:rsidR="003A189C" w:rsidRPr="005E0C37">
        <w:rPr>
          <w:rFonts w:eastAsia="Calibri" w:cstheme="minorHAnsi"/>
          <w:color w:val="000000" w:themeColor="text1"/>
        </w:rPr>
        <w:t xml:space="preserve"> (EP)</w:t>
      </w:r>
      <w:r w:rsidRPr="005E0C37">
        <w:rPr>
          <w:rFonts w:eastAsia="Calibri" w:cstheme="minorHAnsi"/>
          <w:color w:val="000000" w:themeColor="text1"/>
        </w:rPr>
        <w:t>, A</w:t>
      </w:r>
      <w:r w:rsidR="003A189C" w:rsidRPr="005E0C37">
        <w:rPr>
          <w:rFonts w:eastAsia="Calibri" w:cstheme="minorHAnsi"/>
          <w:color w:val="000000" w:themeColor="text1"/>
        </w:rPr>
        <w:t xml:space="preserve">utistic </w:t>
      </w:r>
      <w:r w:rsidRPr="005E0C37">
        <w:rPr>
          <w:rFonts w:eastAsia="Calibri" w:cstheme="minorHAnsi"/>
          <w:color w:val="000000" w:themeColor="text1"/>
        </w:rPr>
        <w:t>S</w:t>
      </w:r>
      <w:r w:rsidR="003A189C" w:rsidRPr="005E0C37">
        <w:rPr>
          <w:rFonts w:eastAsia="Calibri" w:cstheme="minorHAnsi"/>
          <w:color w:val="000000" w:themeColor="text1"/>
        </w:rPr>
        <w:t xml:space="preserve">pectrum </w:t>
      </w:r>
      <w:r w:rsidRPr="005E0C37">
        <w:rPr>
          <w:rFonts w:eastAsia="Calibri" w:cstheme="minorHAnsi"/>
          <w:color w:val="000000" w:themeColor="text1"/>
        </w:rPr>
        <w:t>C</w:t>
      </w:r>
      <w:r w:rsidR="003A189C" w:rsidRPr="005E0C37">
        <w:rPr>
          <w:rFonts w:eastAsia="Calibri" w:cstheme="minorHAnsi"/>
          <w:color w:val="000000" w:themeColor="text1"/>
        </w:rPr>
        <w:t>ondition</w:t>
      </w:r>
      <w:r w:rsidRPr="005E0C37">
        <w:rPr>
          <w:rFonts w:eastAsia="Calibri" w:cstheme="minorHAnsi"/>
          <w:color w:val="000000" w:themeColor="text1"/>
        </w:rPr>
        <w:t xml:space="preserve"> Specialist Team or </w:t>
      </w:r>
      <w:r w:rsidR="003A189C" w:rsidRPr="005E0C37">
        <w:rPr>
          <w:rFonts w:eastAsia="Calibri" w:cstheme="minorHAnsi"/>
          <w:color w:val="000000" w:themeColor="text1"/>
        </w:rPr>
        <w:t>the Special Educational Needs Advisory Team (</w:t>
      </w:r>
      <w:r w:rsidRPr="005E0C37">
        <w:rPr>
          <w:rFonts w:eastAsia="Calibri" w:cstheme="minorHAnsi"/>
          <w:color w:val="000000" w:themeColor="text1"/>
        </w:rPr>
        <w:t>SENATT</w:t>
      </w:r>
      <w:r w:rsidR="003A189C" w:rsidRPr="005E0C37">
        <w:rPr>
          <w:rFonts w:eastAsia="Calibri" w:cstheme="minorHAnsi"/>
          <w:color w:val="000000" w:themeColor="text1"/>
        </w:rPr>
        <w:t>)</w:t>
      </w:r>
      <w:r w:rsidRPr="005E0C37">
        <w:rPr>
          <w:rFonts w:eastAsia="Calibri" w:cstheme="minorHAnsi"/>
          <w:color w:val="000000" w:themeColor="text1"/>
        </w:rPr>
        <w:t xml:space="preserve">. The outcomes of any specialist assessments are incorporated into the </w:t>
      </w:r>
      <w:r w:rsidR="00D62F84">
        <w:rPr>
          <w:rFonts w:eastAsia="Calibri" w:cstheme="minorHAnsi"/>
          <w:color w:val="000000" w:themeColor="text1"/>
        </w:rPr>
        <w:t>personalised plan</w:t>
      </w:r>
      <w:r w:rsidRPr="005E0C37">
        <w:rPr>
          <w:rFonts w:eastAsia="Calibri" w:cstheme="minorHAnsi"/>
          <w:color w:val="000000" w:themeColor="text1"/>
        </w:rPr>
        <w:t xml:space="preserve"> for the student</w:t>
      </w:r>
      <w:r w:rsidR="000E5487">
        <w:rPr>
          <w:rFonts w:eastAsia="Calibri" w:cstheme="minorHAnsi"/>
          <w:color w:val="000000" w:themeColor="text1"/>
        </w:rPr>
        <w:t>.</w:t>
      </w:r>
    </w:p>
    <w:p w14:paraId="43706080" w14:textId="77777777" w:rsidR="000E5487" w:rsidRPr="005E0C37" w:rsidRDefault="000E5487" w:rsidP="00FE70BC">
      <w:pPr>
        <w:spacing w:after="0"/>
        <w:jc w:val="both"/>
        <w:rPr>
          <w:rFonts w:eastAsia="Calibri" w:cstheme="minorHAnsi"/>
          <w:color w:val="000000" w:themeColor="text1"/>
        </w:rPr>
      </w:pPr>
    </w:p>
    <w:p w14:paraId="186DF21E" w14:textId="62A8BF63" w:rsidR="00E274A9" w:rsidRPr="005E0C37" w:rsidRDefault="003C121D" w:rsidP="007421CF">
      <w:pPr>
        <w:jc w:val="both"/>
        <w:rPr>
          <w:rFonts w:cstheme="minorHAnsi"/>
          <w:color w:val="000000" w:themeColor="text1"/>
        </w:rPr>
      </w:pPr>
      <w:r w:rsidRPr="005E0C37">
        <w:rPr>
          <w:rFonts w:cstheme="minorHAnsi"/>
          <w:color w:val="000000" w:themeColor="text1"/>
        </w:rPr>
        <w:t xml:space="preserve">Students may exit the </w:t>
      </w:r>
      <w:r w:rsidR="008D67C1">
        <w:rPr>
          <w:rFonts w:cstheme="minorHAnsi"/>
          <w:color w:val="000000" w:themeColor="text1"/>
        </w:rPr>
        <w:t>SEND</w:t>
      </w:r>
      <w:r w:rsidRPr="005E0C37">
        <w:rPr>
          <w:rFonts w:cstheme="minorHAnsi"/>
          <w:color w:val="000000" w:themeColor="text1"/>
        </w:rPr>
        <w:t xml:space="preserve"> Register if they </w:t>
      </w:r>
      <w:r w:rsidR="002133EB">
        <w:rPr>
          <w:rFonts w:cstheme="minorHAnsi"/>
          <w:color w:val="000000" w:themeColor="text1"/>
        </w:rPr>
        <w:t xml:space="preserve">are no longer meet the threshold for </w:t>
      </w:r>
      <w:r w:rsidR="008D67C1">
        <w:rPr>
          <w:rFonts w:cstheme="minorHAnsi"/>
          <w:color w:val="000000" w:themeColor="text1"/>
        </w:rPr>
        <w:t>SEND</w:t>
      </w:r>
      <w:r w:rsidR="002133EB">
        <w:rPr>
          <w:rFonts w:cstheme="minorHAnsi"/>
          <w:color w:val="000000" w:themeColor="text1"/>
        </w:rPr>
        <w:t xml:space="preserve"> Support.</w:t>
      </w:r>
    </w:p>
    <w:p w14:paraId="4CEE164E" w14:textId="3AC6CEBF" w:rsidR="00317221" w:rsidRPr="00697848" w:rsidRDefault="00317221">
      <w:pPr>
        <w:rPr>
          <w:rFonts w:cstheme="minorHAnsi"/>
          <w:b/>
          <w:color w:val="000000" w:themeColor="text1"/>
          <w:sz w:val="24"/>
          <w:szCs w:val="24"/>
        </w:rPr>
      </w:pPr>
      <w:r w:rsidRPr="00697848">
        <w:rPr>
          <w:rFonts w:cstheme="minorHAnsi"/>
          <w:b/>
          <w:color w:val="000000" w:themeColor="text1"/>
          <w:sz w:val="24"/>
          <w:szCs w:val="24"/>
        </w:rPr>
        <w:t xml:space="preserve">Section </w:t>
      </w:r>
      <w:r w:rsidR="00F716AF" w:rsidRPr="00697848">
        <w:rPr>
          <w:rFonts w:cstheme="minorHAnsi"/>
          <w:b/>
          <w:color w:val="000000" w:themeColor="text1"/>
          <w:sz w:val="24"/>
          <w:szCs w:val="24"/>
        </w:rPr>
        <w:t>7</w:t>
      </w:r>
      <w:r w:rsidRPr="00697848">
        <w:rPr>
          <w:rFonts w:cstheme="minorHAnsi"/>
          <w:b/>
          <w:color w:val="000000" w:themeColor="text1"/>
          <w:sz w:val="24"/>
          <w:szCs w:val="24"/>
        </w:rPr>
        <w:t xml:space="preserve"> – Supporting Students and Families</w:t>
      </w:r>
    </w:p>
    <w:p w14:paraId="64DA8B05" w14:textId="77777777" w:rsidR="00054E5E" w:rsidRPr="005E0C37" w:rsidRDefault="00054E5E" w:rsidP="00054E5E">
      <w:pPr>
        <w:jc w:val="both"/>
        <w:rPr>
          <w:rFonts w:eastAsia="Calibri" w:cstheme="minorHAnsi"/>
        </w:rPr>
      </w:pPr>
      <w:r w:rsidRPr="005E0C37">
        <w:rPr>
          <w:rFonts w:eastAsia="Calibri" w:cstheme="minorHAnsi"/>
          <w:color w:val="000000" w:themeColor="text1"/>
        </w:rPr>
        <w:t xml:space="preserve">The Wirral Local Offer is available at </w:t>
      </w:r>
      <w:hyperlink r:id="rId17" w:history="1">
        <w:r w:rsidR="00DC1304" w:rsidRPr="00A376A6">
          <w:rPr>
            <w:rStyle w:val="Hyperlink"/>
            <w:rFonts w:eastAsia="Calibri" w:cstheme="minorHAnsi"/>
          </w:rPr>
          <w:t>www.localofferwirral.org</w:t>
        </w:r>
      </w:hyperlink>
      <w:r w:rsidR="00DC1304">
        <w:rPr>
          <w:rFonts w:eastAsia="Calibri" w:cstheme="minorHAnsi"/>
          <w:color w:val="000000" w:themeColor="text1"/>
        </w:rPr>
        <w:t>.</w:t>
      </w:r>
      <w:r w:rsidRPr="005E0C37">
        <w:rPr>
          <w:rFonts w:eastAsia="Calibri" w:cstheme="minorHAnsi"/>
          <w:color w:val="000000" w:themeColor="text1"/>
        </w:rPr>
        <w:t xml:space="preserve"> This website provides information on what services children, young people and their families can expect from a range of local agencies, including education, health and social care as well as information about other, local, support services. It intends to enable parents to have more choice and input into the support that their child </w:t>
      </w:r>
      <w:r w:rsidRPr="005E0C37">
        <w:rPr>
          <w:rFonts w:eastAsia="Calibri" w:cstheme="minorHAnsi"/>
        </w:rPr>
        <w:t>receives.</w:t>
      </w:r>
    </w:p>
    <w:p w14:paraId="34F9690D" w14:textId="77777777" w:rsidR="00054E5E" w:rsidRPr="005E0C37" w:rsidRDefault="00054E5E" w:rsidP="00054E5E">
      <w:pPr>
        <w:jc w:val="both"/>
        <w:rPr>
          <w:rFonts w:eastAsia="Calibri" w:cstheme="minorHAnsi"/>
          <w:color w:val="000000" w:themeColor="text1"/>
        </w:rPr>
      </w:pPr>
      <w:r w:rsidRPr="005E0C37">
        <w:rPr>
          <w:rFonts w:eastAsia="Calibri" w:cstheme="minorHAnsi"/>
          <w:color w:val="000000" w:themeColor="text1"/>
        </w:rPr>
        <w:t xml:space="preserve">For transition between KS2-3, students with </w:t>
      </w:r>
      <w:r w:rsidR="008D67C1">
        <w:rPr>
          <w:rFonts w:eastAsia="Calibri" w:cstheme="minorHAnsi"/>
          <w:color w:val="000000" w:themeColor="text1"/>
        </w:rPr>
        <w:t>SEND</w:t>
      </w:r>
      <w:r w:rsidRPr="005E0C37">
        <w:rPr>
          <w:rFonts w:eastAsia="Calibri" w:cstheme="minorHAnsi"/>
          <w:color w:val="000000" w:themeColor="text1"/>
        </w:rPr>
        <w:t xml:space="preserve"> are identified through the whole school induction process which starts in the </w:t>
      </w:r>
      <w:r w:rsidR="006E6BCB" w:rsidRPr="005E0C37">
        <w:rPr>
          <w:rFonts w:eastAsia="Calibri" w:cstheme="minorHAnsi"/>
          <w:color w:val="000000" w:themeColor="text1"/>
        </w:rPr>
        <w:t>spring</w:t>
      </w:r>
      <w:r w:rsidRPr="005E0C37">
        <w:rPr>
          <w:rFonts w:eastAsia="Calibri" w:cstheme="minorHAnsi"/>
          <w:color w:val="000000" w:themeColor="text1"/>
        </w:rPr>
        <w:t xml:space="preserve"> term. Any student who may be vulnerable around transition is then offered an enhanced transition which may involve additional visits to the school and individual meetings with key staff. The </w:t>
      </w:r>
      <w:r w:rsidR="008D67C1">
        <w:rPr>
          <w:rFonts w:eastAsia="Calibri" w:cstheme="minorHAnsi"/>
          <w:color w:val="000000" w:themeColor="text1"/>
        </w:rPr>
        <w:t>SEND</w:t>
      </w:r>
      <w:r w:rsidRPr="005E0C37">
        <w:rPr>
          <w:rFonts w:eastAsia="Calibri" w:cstheme="minorHAnsi"/>
          <w:color w:val="000000" w:themeColor="text1"/>
        </w:rPr>
        <w:t xml:space="preserve"> team attend transition meetings and meet with the primary SENCOs to exchange information. </w:t>
      </w:r>
    </w:p>
    <w:p w14:paraId="33878E76" w14:textId="6923E534" w:rsidR="00054E5E" w:rsidRPr="005E0C37" w:rsidRDefault="00054E5E" w:rsidP="00054E5E">
      <w:pPr>
        <w:jc w:val="both"/>
        <w:rPr>
          <w:rFonts w:eastAsia="Calibri" w:cstheme="minorHAnsi"/>
          <w:color w:val="000000" w:themeColor="text1"/>
        </w:rPr>
      </w:pPr>
      <w:r w:rsidRPr="005E0C37">
        <w:rPr>
          <w:rFonts w:eastAsia="Calibri" w:cstheme="minorHAnsi"/>
          <w:color w:val="000000" w:themeColor="text1"/>
        </w:rPr>
        <w:t xml:space="preserve">Year 11 students </w:t>
      </w:r>
      <w:r w:rsidR="00F716AF">
        <w:rPr>
          <w:rFonts w:eastAsia="Calibri" w:cstheme="minorHAnsi"/>
          <w:color w:val="000000" w:themeColor="text1"/>
        </w:rPr>
        <w:t xml:space="preserve">with SEND </w:t>
      </w:r>
      <w:r w:rsidRPr="005E0C37">
        <w:rPr>
          <w:rFonts w:eastAsia="Calibri" w:cstheme="minorHAnsi"/>
          <w:color w:val="000000" w:themeColor="text1"/>
        </w:rPr>
        <w:t>are supported with their post-16 planning and transition to further education, apprenticeships or training providers</w:t>
      </w:r>
      <w:r w:rsidR="002133EB">
        <w:rPr>
          <w:rFonts w:eastAsia="Calibri" w:cstheme="minorHAnsi"/>
          <w:color w:val="000000" w:themeColor="text1"/>
        </w:rPr>
        <w:t xml:space="preserve"> by their Year Leader</w:t>
      </w:r>
      <w:r w:rsidR="00961A7B">
        <w:rPr>
          <w:rFonts w:eastAsia="Calibri" w:cstheme="minorHAnsi"/>
          <w:color w:val="000000" w:themeColor="text1"/>
        </w:rPr>
        <w:t xml:space="preserve"> In addition,</w:t>
      </w:r>
      <w:r w:rsidRPr="005E0C37">
        <w:rPr>
          <w:rFonts w:eastAsia="Calibri" w:cstheme="minorHAnsi"/>
          <w:color w:val="000000" w:themeColor="text1"/>
        </w:rPr>
        <w:t xml:space="preserve"> </w:t>
      </w:r>
      <w:r w:rsidR="006E6BCB" w:rsidRPr="005E0C37">
        <w:rPr>
          <w:rFonts w:eastAsia="Calibri" w:cstheme="minorHAnsi"/>
          <w:color w:val="000000" w:themeColor="text1"/>
        </w:rPr>
        <w:t>Careers Connect staff</w:t>
      </w:r>
      <w:r w:rsidR="00E274A9" w:rsidRPr="005E0C37">
        <w:rPr>
          <w:rFonts w:eastAsia="Calibri" w:cstheme="minorHAnsi"/>
          <w:color w:val="000000" w:themeColor="text1"/>
        </w:rPr>
        <w:t xml:space="preserve"> offer enhanced </w:t>
      </w:r>
      <w:r w:rsidRPr="005E0C37">
        <w:rPr>
          <w:rFonts w:eastAsia="Calibri" w:cstheme="minorHAnsi"/>
          <w:color w:val="000000" w:themeColor="text1"/>
        </w:rPr>
        <w:t xml:space="preserve">information and guidance to students with </w:t>
      </w:r>
      <w:r w:rsidR="008D67C1">
        <w:rPr>
          <w:rFonts w:eastAsia="Calibri" w:cstheme="minorHAnsi"/>
          <w:color w:val="000000" w:themeColor="text1"/>
        </w:rPr>
        <w:t>SEND</w:t>
      </w:r>
      <w:r w:rsidRPr="005E0C37">
        <w:rPr>
          <w:rFonts w:eastAsia="Calibri" w:cstheme="minorHAnsi"/>
          <w:color w:val="000000" w:themeColor="text1"/>
        </w:rPr>
        <w:t xml:space="preserve"> and support is available at lunchtimes and form times to complete application forms. </w:t>
      </w:r>
    </w:p>
    <w:p w14:paraId="7FB6E73F" w14:textId="69E017C1" w:rsidR="00317221" w:rsidRPr="00697848" w:rsidRDefault="00317221">
      <w:pPr>
        <w:rPr>
          <w:rFonts w:cstheme="minorHAnsi"/>
          <w:b/>
          <w:color w:val="000000" w:themeColor="text1"/>
          <w:sz w:val="24"/>
          <w:szCs w:val="24"/>
        </w:rPr>
      </w:pPr>
      <w:r w:rsidRPr="00697848">
        <w:rPr>
          <w:rFonts w:cstheme="minorHAnsi"/>
          <w:b/>
          <w:color w:val="000000" w:themeColor="text1"/>
          <w:sz w:val="24"/>
          <w:szCs w:val="24"/>
        </w:rPr>
        <w:t xml:space="preserve">Section </w:t>
      </w:r>
      <w:r w:rsidR="00F716AF" w:rsidRPr="00697848">
        <w:rPr>
          <w:rFonts w:cstheme="minorHAnsi"/>
          <w:b/>
          <w:color w:val="000000" w:themeColor="text1"/>
          <w:sz w:val="24"/>
          <w:szCs w:val="24"/>
        </w:rPr>
        <w:t>8</w:t>
      </w:r>
      <w:r w:rsidRPr="00697848">
        <w:rPr>
          <w:rFonts w:cstheme="minorHAnsi"/>
          <w:b/>
          <w:color w:val="000000" w:themeColor="text1"/>
          <w:sz w:val="24"/>
          <w:szCs w:val="24"/>
        </w:rPr>
        <w:t xml:space="preserve"> – Supporting Students at School with Medical Conditions</w:t>
      </w:r>
    </w:p>
    <w:p w14:paraId="26D25CFD" w14:textId="2FC09D78" w:rsidR="00CF551F" w:rsidRPr="005E0C37" w:rsidRDefault="00CF551F" w:rsidP="002F5999">
      <w:pPr>
        <w:jc w:val="both"/>
        <w:rPr>
          <w:rFonts w:cstheme="minorHAnsi"/>
          <w:color w:val="000000" w:themeColor="text1"/>
        </w:rPr>
      </w:pPr>
      <w:r w:rsidRPr="005E0C37">
        <w:rPr>
          <w:rFonts w:cstheme="minorHAnsi"/>
          <w:color w:val="000000" w:themeColor="text1"/>
        </w:rPr>
        <w:t xml:space="preserve">The </w:t>
      </w:r>
      <w:r w:rsidR="00E274A9" w:rsidRPr="005E0C37">
        <w:rPr>
          <w:rFonts w:cstheme="minorHAnsi"/>
          <w:color w:val="000000" w:themeColor="text1"/>
        </w:rPr>
        <w:t xml:space="preserve">school </w:t>
      </w:r>
      <w:r w:rsidRPr="005E0C37">
        <w:rPr>
          <w:rFonts w:cstheme="minorHAnsi"/>
          <w:color w:val="000000" w:themeColor="text1"/>
        </w:rPr>
        <w:t xml:space="preserve">recognises that students with medical conditions should be properly supported so that they have full access to education, including </w:t>
      </w:r>
      <w:r w:rsidR="00E274A9" w:rsidRPr="005E0C37">
        <w:rPr>
          <w:rFonts w:cstheme="minorHAnsi"/>
          <w:color w:val="000000" w:themeColor="text1"/>
        </w:rPr>
        <w:t xml:space="preserve">school </w:t>
      </w:r>
      <w:r w:rsidRPr="005E0C37">
        <w:rPr>
          <w:rFonts w:cstheme="minorHAnsi"/>
          <w:color w:val="000000" w:themeColor="text1"/>
        </w:rPr>
        <w:t xml:space="preserve">trips and Physical Education. Some children with medical conditions may be disabled and where this is the case the </w:t>
      </w:r>
      <w:r w:rsidR="00E274A9" w:rsidRPr="005E0C37">
        <w:rPr>
          <w:rFonts w:cstheme="minorHAnsi"/>
          <w:color w:val="000000" w:themeColor="text1"/>
        </w:rPr>
        <w:t xml:space="preserve">school </w:t>
      </w:r>
      <w:r w:rsidRPr="005E0C37">
        <w:rPr>
          <w:rFonts w:cstheme="minorHAnsi"/>
          <w:color w:val="000000" w:themeColor="text1"/>
        </w:rPr>
        <w:t xml:space="preserve">will comply with its duties under the Equality Act 2010. </w:t>
      </w:r>
    </w:p>
    <w:p w14:paraId="6F462E8C" w14:textId="3845BF97" w:rsidR="00961A7B" w:rsidRPr="00D33092" w:rsidRDefault="00C75E78" w:rsidP="002F5999">
      <w:pPr>
        <w:jc w:val="both"/>
        <w:rPr>
          <w:rFonts w:cstheme="minorHAnsi"/>
          <w:strike/>
          <w:color w:val="000000" w:themeColor="text1"/>
        </w:rPr>
      </w:pPr>
      <w:r w:rsidRPr="005E0C37">
        <w:rPr>
          <w:rFonts w:cstheme="minorHAnsi"/>
          <w:color w:val="000000" w:themeColor="text1"/>
        </w:rPr>
        <w:t>A T</w:t>
      </w:r>
      <w:r w:rsidR="006E6BCB" w:rsidRPr="005E0C37">
        <w:rPr>
          <w:rFonts w:cstheme="minorHAnsi"/>
          <w:color w:val="000000" w:themeColor="text1"/>
        </w:rPr>
        <w:t>eaching Assistant</w:t>
      </w:r>
      <w:r w:rsidR="002F5999" w:rsidRPr="005E0C37">
        <w:rPr>
          <w:rFonts w:cstheme="minorHAnsi"/>
          <w:color w:val="000000" w:themeColor="text1"/>
        </w:rPr>
        <w:t xml:space="preserve"> is </w:t>
      </w:r>
      <w:r w:rsidRPr="005E0C37">
        <w:rPr>
          <w:rFonts w:cstheme="minorHAnsi"/>
          <w:color w:val="000000" w:themeColor="text1"/>
        </w:rPr>
        <w:t xml:space="preserve">the </w:t>
      </w:r>
      <w:r w:rsidR="002F5999" w:rsidRPr="005E0C37">
        <w:rPr>
          <w:rFonts w:cstheme="minorHAnsi"/>
          <w:color w:val="000000" w:themeColor="text1"/>
        </w:rPr>
        <w:t>identified Healthcare Co-</w:t>
      </w:r>
      <w:r w:rsidR="00E274A9" w:rsidRPr="005E0C37">
        <w:rPr>
          <w:rFonts w:cstheme="minorHAnsi"/>
          <w:color w:val="000000" w:themeColor="text1"/>
        </w:rPr>
        <w:t>o</w:t>
      </w:r>
      <w:r w:rsidR="002F5999" w:rsidRPr="005E0C37">
        <w:rPr>
          <w:rFonts w:cstheme="minorHAnsi"/>
          <w:color w:val="000000" w:themeColor="text1"/>
        </w:rPr>
        <w:t xml:space="preserve">rdinator within the </w:t>
      </w:r>
      <w:r w:rsidR="00E274A9" w:rsidRPr="005E0C37">
        <w:rPr>
          <w:rFonts w:cstheme="minorHAnsi"/>
          <w:color w:val="000000" w:themeColor="text1"/>
        </w:rPr>
        <w:t>school</w:t>
      </w:r>
      <w:r w:rsidR="002133EB">
        <w:rPr>
          <w:rFonts w:cstheme="minorHAnsi"/>
          <w:color w:val="000000" w:themeColor="text1"/>
        </w:rPr>
        <w:t>. The</w:t>
      </w:r>
      <w:r w:rsidR="002F5999" w:rsidRPr="005E0C37">
        <w:rPr>
          <w:rFonts w:cstheme="minorHAnsi"/>
          <w:color w:val="000000" w:themeColor="text1"/>
        </w:rPr>
        <w:t xml:space="preserve"> role involves generating </w:t>
      </w:r>
      <w:r w:rsidR="00D33092" w:rsidRPr="00001D10">
        <w:rPr>
          <w:rFonts w:cstheme="minorHAnsi"/>
          <w:color w:val="000000" w:themeColor="text1"/>
        </w:rPr>
        <w:t xml:space="preserve">individual </w:t>
      </w:r>
      <w:r w:rsidR="002F5999" w:rsidRPr="00001D10">
        <w:rPr>
          <w:rFonts w:cstheme="minorHAnsi"/>
          <w:color w:val="000000" w:themeColor="text1"/>
        </w:rPr>
        <w:t>Heal</w:t>
      </w:r>
      <w:r w:rsidR="002F5999" w:rsidRPr="005E0C37">
        <w:rPr>
          <w:rFonts w:cstheme="minorHAnsi"/>
          <w:color w:val="000000" w:themeColor="text1"/>
        </w:rPr>
        <w:t>thcare Plans for individual students with input from health professionals and families</w:t>
      </w:r>
      <w:r w:rsidR="00D33092">
        <w:rPr>
          <w:rFonts w:cstheme="minorHAnsi"/>
          <w:color w:val="000000" w:themeColor="text1"/>
        </w:rPr>
        <w:t xml:space="preserve"> </w:t>
      </w:r>
      <w:r w:rsidR="00D33092" w:rsidRPr="00001D10">
        <w:rPr>
          <w:rFonts w:cstheme="minorHAnsi"/>
          <w:color w:val="000000" w:themeColor="text1"/>
        </w:rPr>
        <w:t>and</w:t>
      </w:r>
      <w:r w:rsidR="00D33092">
        <w:rPr>
          <w:rFonts w:cstheme="minorHAnsi"/>
          <w:color w:val="000000" w:themeColor="text1"/>
        </w:rPr>
        <w:t xml:space="preserve"> </w:t>
      </w:r>
      <w:r w:rsidR="002F5999" w:rsidRPr="005E0C37">
        <w:rPr>
          <w:rFonts w:cstheme="minorHAnsi"/>
          <w:color w:val="000000" w:themeColor="text1"/>
        </w:rPr>
        <w:t>sharing information with staff</w:t>
      </w:r>
      <w:r w:rsidR="00D33092">
        <w:rPr>
          <w:rFonts w:cstheme="minorHAnsi"/>
          <w:color w:val="000000" w:themeColor="text1"/>
        </w:rPr>
        <w:t>.</w:t>
      </w:r>
      <w:r w:rsidR="002F5999" w:rsidRPr="005E0C37">
        <w:rPr>
          <w:rFonts w:cstheme="minorHAnsi"/>
          <w:color w:val="000000" w:themeColor="text1"/>
        </w:rPr>
        <w:t xml:space="preserve"> </w:t>
      </w:r>
    </w:p>
    <w:p w14:paraId="7274AC7D" w14:textId="6D15A2D1" w:rsidR="00CB2DF5" w:rsidRPr="005E0C37" w:rsidRDefault="00CB2DF5" w:rsidP="002F5999">
      <w:pPr>
        <w:jc w:val="both"/>
        <w:rPr>
          <w:rFonts w:cstheme="minorHAnsi"/>
          <w:color w:val="000000" w:themeColor="text1"/>
        </w:rPr>
      </w:pPr>
      <w:r w:rsidRPr="005E0C37">
        <w:rPr>
          <w:rFonts w:cstheme="minorHAnsi"/>
          <w:color w:val="000000" w:themeColor="text1"/>
        </w:rPr>
        <w:t xml:space="preserve">The </w:t>
      </w:r>
      <w:r w:rsidR="00E274A9" w:rsidRPr="005E0C37">
        <w:rPr>
          <w:rFonts w:cstheme="minorHAnsi"/>
          <w:color w:val="000000" w:themeColor="text1"/>
        </w:rPr>
        <w:t xml:space="preserve">school </w:t>
      </w:r>
      <w:r w:rsidRPr="005E0C37">
        <w:rPr>
          <w:rFonts w:cstheme="minorHAnsi"/>
          <w:color w:val="000000" w:themeColor="text1"/>
        </w:rPr>
        <w:t>follows the DfE guidance on administering medication i</w:t>
      </w:r>
      <w:r w:rsidR="0025347D">
        <w:rPr>
          <w:rFonts w:cstheme="minorHAnsi"/>
          <w:color w:val="000000" w:themeColor="text1"/>
        </w:rPr>
        <w:t xml:space="preserve">n school and this is managed </w:t>
      </w:r>
      <w:r w:rsidR="001A7640">
        <w:rPr>
          <w:rFonts w:cstheme="minorHAnsi"/>
          <w:color w:val="000000" w:themeColor="text1"/>
        </w:rPr>
        <w:t xml:space="preserve">by </w:t>
      </w:r>
      <w:r w:rsidR="0025347D">
        <w:rPr>
          <w:rFonts w:cstheme="minorHAnsi"/>
          <w:color w:val="000000" w:themeColor="text1"/>
        </w:rPr>
        <w:t xml:space="preserve">the </w:t>
      </w:r>
      <w:r w:rsidRPr="005E0C37">
        <w:rPr>
          <w:rFonts w:cstheme="minorHAnsi"/>
          <w:color w:val="000000" w:themeColor="text1"/>
        </w:rPr>
        <w:t>Teaching Assistant</w:t>
      </w:r>
      <w:r w:rsidR="0025347D">
        <w:rPr>
          <w:rFonts w:cstheme="minorHAnsi"/>
          <w:color w:val="000000" w:themeColor="text1"/>
        </w:rPr>
        <w:t xml:space="preserve"> team</w:t>
      </w:r>
      <w:r w:rsidRPr="005E0C37">
        <w:rPr>
          <w:rFonts w:cstheme="minorHAnsi"/>
          <w:color w:val="000000" w:themeColor="text1"/>
        </w:rPr>
        <w:t>. Parents are advised of the requirements for a signed consent form detailing th</w:t>
      </w:r>
      <w:r w:rsidR="00CC4A3A" w:rsidRPr="005E0C37">
        <w:rPr>
          <w:rFonts w:cstheme="minorHAnsi"/>
          <w:color w:val="000000" w:themeColor="text1"/>
        </w:rPr>
        <w:t>e medication to be administered, timings, dosages and possible side-effects.</w:t>
      </w:r>
    </w:p>
    <w:p w14:paraId="010A2C87" w14:textId="399A019A" w:rsidR="00317221" w:rsidRPr="00697848" w:rsidRDefault="00317221">
      <w:pPr>
        <w:rPr>
          <w:rFonts w:cstheme="minorHAnsi"/>
          <w:b/>
          <w:color w:val="000000" w:themeColor="text1"/>
          <w:sz w:val="24"/>
          <w:szCs w:val="24"/>
        </w:rPr>
      </w:pPr>
      <w:r w:rsidRPr="00697848">
        <w:rPr>
          <w:rFonts w:cstheme="minorHAnsi"/>
          <w:b/>
          <w:color w:val="000000" w:themeColor="text1"/>
          <w:sz w:val="24"/>
          <w:szCs w:val="24"/>
        </w:rPr>
        <w:t xml:space="preserve">Section </w:t>
      </w:r>
      <w:r w:rsidR="00F716AF" w:rsidRPr="00697848">
        <w:rPr>
          <w:rFonts w:cstheme="minorHAnsi"/>
          <w:b/>
          <w:color w:val="000000" w:themeColor="text1"/>
          <w:sz w:val="24"/>
          <w:szCs w:val="24"/>
        </w:rPr>
        <w:t xml:space="preserve">9 </w:t>
      </w:r>
      <w:r w:rsidRPr="00697848">
        <w:rPr>
          <w:rFonts w:cstheme="minorHAnsi"/>
          <w:b/>
          <w:color w:val="000000" w:themeColor="text1"/>
          <w:sz w:val="24"/>
          <w:szCs w:val="24"/>
        </w:rPr>
        <w:t>– Monitoring and Evaluation of SEND</w:t>
      </w:r>
    </w:p>
    <w:p w14:paraId="05E5BE09" w14:textId="0BFAFF7E" w:rsidR="001A7640" w:rsidRPr="005E0C37" w:rsidRDefault="00714E48" w:rsidP="00714E48">
      <w:pPr>
        <w:jc w:val="both"/>
        <w:rPr>
          <w:rFonts w:cstheme="minorHAnsi"/>
          <w:color w:val="000000" w:themeColor="text1"/>
        </w:rPr>
      </w:pPr>
      <w:r w:rsidRPr="005E0C37">
        <w:rPr>
          <w:rFonts w:cstheme="minorHAnsi"/>
          <w:color w:val="000000" w:themeColor="text1"/>
        </w:rPr>
        <w:t xml:space="preserve">The </w:t>
      </w:r>
      <w:r w:rsidR="00F716AF">
        <w:rPr>
          <w:rFonts w:cstheme="minorHAnsi"/>
          <w:color w:val="000000" w:themeColor="text1"/>
        </w:rPr>
        <w:t xml:space="preserve">SEND policy is monitored and reviewed annually. </w:t>
      </w:r>
    </w:p>
    <w:p w14:paraId="0059C834" w14:textId="37171472" w:rsidR="00317221" w:rsidRPr="00697848" w:rsidRDefault="00317221">
      <w:pPr>
        <w:rPr>
          <w:rFonts w:cstheme="minorHAnsi"/>
          <w:b/>
          <w:color w:val="000000" w:themeColor="text1"/>
          <w:sz w:val="24"/>
          <w:szCs w:val="24"/>
        </w:rPr>
      </w:pPr>
      <w:r w:rsidRPr="00697848">
        <w:rPr>
          <w:rFonts w:cstheme="minorHAnsi"/>
          <w:b/>
          <w:color w:val="000000" w:themeColor="text1"/>
          <w:sz w:val="24"/>
          <w:szCs w:val="24"/>
        </w:rPr>
        <w:t xml:space="preserve">Section </w:t>
      </w:r>
      <w:r w:rsidR="00BE21AA" w:rsidRPr="00697848">
        <w:rPr>
          <w:rFonts w:cstheme="minorHAnsi"/>
          <w:b/>
          <w:color w:val="000000" w:themeColor="text1"/>
          <w:sz w:val="24"/>
          <w:szCs w:val="24"/>
        </w:rPr>
        <w:t>10</w:t>
      </w:r>
      <w:r w:rsidRPr="00697848">
        <w:rPr>
          <w:rFonts w:cstheme="minorHAnsi"/>
          <w:b/>
          <w:color w:val="000000" w:themeColor="text1"/>
          <w:sz w:val="24"/>
          <w:szCs w:val="24"/>
        </w:rPr>
        <w:t xml:space="preserve"> – Training and Resources</w:t>
      </w:r>
    </w:p>
    <w:p w14:paraId="0F621117" w14:textId="223F2E2D" w:rsidR="00536873" w:rsidRPr="005E0C37" w:rsidRDefault="00536873" w:rsidP="00536873">
      <w:pPr>
        <w:jc w:val="both"/>
        <w:rPr>
          <w:rFonts w:eastAsia="Calibri" w:cstheme="minorHAnsi"/>
          <w:color w:val="000000" w:themeColor="text1"/>
        </w:rPr>
      </w:pPr>
      <w:r w:rsidRPr="005E0C37">
        <w:rPr>
          <w:rFonts w:eastAsia="Calibri" w:cstheme="minorHAnsi"/>
          <w:color w:val="000000" w:themeColor="text1"/>
        </w:rPr>
        <w:t xml:space="preserve">The delegated </w:t>
      </w:r>
      <w:r w:rsidR="008D67C1">
        <w:rPr>
          <w:rFonts w:eastAsia="Calibri" w:cstheme="minorHAnsi"/>
          <w:color w:val="000000" w:themeColor="text1"/>
        </w:rPr>
        <w:t>SEND</w:t>
      </w:r>
      <w:r w:rsidRPr="005E0C37">
        <w:rPr>
          <w:rFonts w:eastAsia="Calibri" w:cstheme="minorHAnsi"/>
          <w:color w:val="000000" w:themeColor="text1"/>
        </w:rPr>
        <w:t xml:space="preserve"> budget is used primarily to fund enhanced staffing within the </w:t>
      </w:r>
      <w:r w:rsidR="008D67C1">
        <w:rPr>
          <w:rFonts w:eastAsia="Calibri" w:cstheme="minorHAnsi"/>
          <w:color w:val="000000" w:themeColor="text1"/>
        </w:rPr>
        <w:t>SEND</w:t>
      </w:r>
      <w:r w:rsidRPr="005E0C37">
        <w:rPr>
          <w:rFonts w:eastAsia="Calibri" w:cstheme="minorHAnsi"/>
          <w:color w:val="000000" w:themeColor="text1"/>
        </w:rPr>
        <w:t xml:space="preserve"> team. The </w:t>
      </w:r>
      <w:r w:rsidR="00BF507A" w:rsidRPr="005E0C37">
        <w:rPr>
          <w:rFonts w:eastAsia="Calibri" w:cstheme="minorHAnsi"/>
          <w:color w:val="000000" w:themeColor="text1"/>
        </w:rPr>
        <w:t>school</w:t>
      </w:r>
      <w:r w:rsidRPr="005E0C37">
        <w:rPr>
          <w:rFonts w:eastAsia="Calibri" w:cstheme="minorHAnsi"/>
          <w:color w:val="000000" w:themeColor="text1"/>
        </w:rPr>
        <w:t xml:space="preserve"> has a team of Teaching Assistants</w:t>
      </w:r>
      <w:r w:rsidR="00E3358C">
        <w:rPr>
          <w:rFonts w:eastAsia="Calibri" w:cstheme="minorHAnsi"/>
          <w:color w:val="000000" w:themeColor="text1"/>
        </w:rPr>
        <w:t xml:space="preserve"> and </w:t>
      </w:r>
      <w:r w:rsidR="00BE21AA">
        <w:rPr>
          <w:rFonts w:eastAsia="Calibri" w:cstheme="minorHAnsi"/>
          <w:color w:val="000000" w:themeColor="text1"/>
        </w:rPr>
        <w:t>a</w:t>
      </w:r>
      <w:r w:rsidR="00E3358C">
        <w:rPr>
          <w:rFonts w:eastAsia="Calibri" w:cstheme="minorHAnsi"/>
          <w:color w:val="000000" w:themeColor="text1"/>
        </w:rPr>
        <w:t xml:space="preserve"> SENCO</w:t>
      </w:r>
      <w:r w:rsidR="00D0070C">
        <w:rPr>
          <w:rFonts w:eastAsia="Calibri" w:cstheme="minorHAnsi"/>
          <w:color w:val="000000" w:themeColor="text1"/>
        </w:rPr>
        <w:t xml:space="preserve"> Assistant</w:t>
      </w:r>
      <w:r w:rsidRPr="005E0C37">
        <w:rPr>
          <w:rFonts w:eastAsia="Calibri" w:cstheme="minorHAnsi"/>
          <w:color w:val="000000" w:themeColor="text1"/>
        </w:rPr>
        <w:t xml:space="preserve"> who are line-managed by the SENCO. Funding is also allocated to buying in specialist services where necessary.</w:t>
      </w:r>
    </w:p>
    <w:p w14:paraId="40365A8D" w14:textId="7AC1094A" w:rsidR="005C0294" w:rsidRPr="005E0C37" w:rsidRDefault="005C0294" w:rsidP="005C0294">
      <w:pPr>
        <w:jc w:val="both"/>
        <w:rPr>
          <w:rFonts w:ascii="Calibri" w:eastAsia="Calibri" w:hAnsi="Calibri" w:cs="Calibri"/>
          <w:color w:val="000000" w:themeColor="text1"/>
        </w:rPr>
      </w:pPr>
      <w:r w:rsidRPr="005E0C37">
        <w:rPr>
          <w:rFonts w:ascii="Calibri" w:eastAsia="Calibri" w:hAnsi="Calibri" w:cs="Calibri"/>
          <w:color w:val="000000" w:themeColor="text1"/>
        </w:rPr>
        <w:lastRenderedPageBreak/>
        <w:t>The CPD plan for this academic</w:t>
      </w:r>
      <w:r w:rsidR="00E3358C">
        <w:rPr>
          <w:rFonts w:ascii="Calibri" w:eastAsia="Calibri" w:hAnsi="Calibri" w:cs="Calibri"/>
          <w:color w:val="000000" w:themeColor="text1"/>
        </w:rPr>
        <w:t xml:space="preserve"> year is linked to </w:t>
      </w:r>
      <w:r w:rsidR="00BE21AA">
        <w:rPr>
          <w:rFonts w:ascii="Calibri" w:eastAsia="Calibri" w:hAnsi="Calibri" w:cs="Calibri"/>
          <w:color w:val="000000" w:themeColor="text1"/>
        </w:rPr>
        <w:t xml:space="preserve">the School Improvement Plan and focusses on teachers </w:t>
      </w:r>
      <w:r w:rsidR="00305D90">
        <w:rPr>
          <w:rFonts w:ascii="Calibri" w:eastAsia="Calibri" w:hAnsi="Calibri" w:cs="Calibri"/>
          <w:color w:val="000000" w:themeColor="text1"/>
        </w:rPr>
        <w:t xml:space="preserve">planning for Quality First Teaching and ensuring that all students, including those with SEND, </w:t>
      </w:r>
      <w:r w:rsidR="001A7640">
        <w:rPr>
          <w:rFonts w:ascii="Calibri" w:eastAsia="Calibri" w:hAnsi="Calibri" w:cs="Calibri"/>
          <w:color w:val="000000" w:themeColor="text1"/>
        </w:rPr>
        <w:t>are encouraged to develop their oracy skills.</w:t>
      </w:r>
    </w:p>
    <w:p w14:paraId="3209A112" w14:textId="4F72CFB6" w:rsidR="00317221" w:rsidRPr="00697848" w:rsidRDefault="00317221" w:rsidP="00E35986">
      <w:pPr>
        <w:spacing w:after="0"/>
        <w:jc w:val="both"/>
        <w:rPr>
          <w:rFonts w:cstheme="minorHAnsi"/>
          <w:b/>
          <w:color w:val="000000" w:themeColor="text1"/>
          <w:sz w:val="24"/>
          <w:szCs w:val="24"/>
        </w:rPr>
      </w:pPr>
      <w:r w:rsidRPr="00697848">
        <w:rPr>
          <w:rFonts w:cstheme="minorHAnsi"/>
          <w:b/>
          <w:color w:val="000000" w:themeColor="text1"/>
          <w:sz w:val="24"/>
          <w:szCs w:val="24"/>
        </w:rPr>
        <w:t xml:space="preserve">Section </w:t>
      </w:r>
      <w:r w:rsidR="00BE21AA" w:rsidRPr="00697848">
        <w:rPr>
          <w:rFonts w:cstheme="minorHAnsi"/>
          <w:b/>
          <w:color w:val="000000" w:themeColor="text1"/>
          <w:sz w:val="24"/>
          <w:szCs w:val="24"/>
        </w:rPr>
        <w:t>11</w:t>
      </w:r>
      <w:r w:rsidRPr="00697848">
        <w:rPr>
          <w:rFonts w:cstheme="minorHAnsi"/>
          <w:b/>
          <w:color w:val="000000" w:themeColor="text1"/>
          <w:sz w:val="24"/>
          <w:szCs w:val="24"/>
        </w:rPr>
        <w:t xml:space="preserve"> – Roles and Responsibilities</w:t>
      </w:r>
    </w:p>
    <w:p w14:paraId="36750F26" w14:textId="77777777" w:rsidR="00E35986" w:rsidRPr="005E0C37" w:rsidRDefault="00E35986" w:rsidP="00E35986">
      <w:pPr>
        <w:spacing w:after="0"/>
        <w:jc w:val="both"/>
        <w:rPr>
          <w:rFonts w:cstheme="minorHAnsi"/>
          <w:color w:val="000000" w:themeColor="text1"/>
        </w:rPr>
      </w:pPr>
    </w:p>
    <w:p w14:paraId="43D30457" w14:textId="77777777" w:rsidR="00277C6F" w:rsidRPr="005E0C37" w:rsidRDefault="00C10D31" w:rsidP="00C10D31">
      <w:pPr>
        <w:jc w:val="both"/>
        <w:rPr>
          <w:rFonts w:cstheme="minorHAnsi"/>
          <w:color w:val="000000" w:themeColor="text1"/>
        </w:rPr>
      </w:pPr>
      <w:r w:rsidRPr="005E0C37">
        <w:rPr>
          <w:rFonts w:cstheme="minorHAnsi"/>
          <w:color w:val="000000" w:themeColor="text1"/>
        </w:rPr>
        <w:t xml:space="preserve">The </w:t>
      </w:r>
      <w:r w:rsidR="008D67C1">
        <w:rPr>
          <w:rFonts w:cstheme="minorHAnsi"/>
          <w:color w:val="000000" w:themeColor="text1"/>
        </w:rPr>
        <w:t>SEND</w:t>
      </w:r>
      <w:r w:rsidRPr="005E0C37">
        <w:rPr>
          <w:rFonts w:cstheme="minorHAnsi"/>
          <w:color w:val="000000" w:themeColor="text1"/>
        </w:rPr>
        <w:t xml:space="preserve"> Governor is </w:t>
      </w:r>
      <w:r w:rsidR="001D501B" w:rsidRPr="001D501B">
        <w:rPr>
          <w:rFonts w:cstheme="minorHAnsi"/>
          <w:color w:val="000000" w:themeColor="text1"/>
        </w:rPr>
        <w:t>Professor Aspinall</w:t>
      </w:r>
      <w:r w:rsidR="00E274A9" w:rsidRPr="001D501B">
        <w:rPr>
          <w:rFonts w:cstheme="minorHAnsi"/>
          <w:color w:val="000000" w:themeColor="text1"/>
        </w:rPr>
        <w:t>, Chair of the Local Governing Body</w:t>
      </w:r>
      <w:r w:rsidR="006E6BCB" w:rsidRPr="001D501B">
        <w:rPr>
          <w:rFonts w:cstheme="minorHAnsi"/>
          <w:color w:val="000000" w:themeColor="text1"/>
        </w:rPr>
        <w:t xml:space="preserve">.  </w:t>
      </w:r>
      <w:r w:rsidRPr="001D501B">
        <w:rPr>
          <w:rFonts w:cstheme="minorHAnsi"/>
          <w:color w:val="000000" w:themeColor="text1"/>
        </w:rPr>
        <w:t>Her role</w:t>
      </w:r>
      <w:r w:rsidRPr="005E0C37">
        <w:rPr>
          <w:rFonts w:cstheme="minorHAnsi"/>
          <w:color w:val="000000" w:themeColor="text1"/>
        </w:rPr>
        <w:t xml:space="preserve"> is to support Ms Weekes in </w:t>
      </w:r>
      <w:r w:rsidR="001D501B" w:rsidRPr="005E0C37">
        <w:rPr>
          <w:rFonts w:cstheme="minorHAnsi"/>
          <w:color w:val="000000" w:themeColor="text1"/>
        </w:rPr>
        <w:t>determinin</w:t>
      </w:r>
      <w:r w:rsidR="001D501B">
        <w:rPr>
          <w:rFonts w:cstheme="minorHAnsi"/>
          <w:color w:val="000000" w:themeColor="text1"/>
        </w:rPr>
        <w:t>g</w:t>
      </w:r>
      <w:r w:rsidRPr="005E0C37">
        <w:rPr>
          <w:rFonts w:cstheme="minorHAnsi"/>
          <w:color w:val="000000" w:themeColor="text1"/>
        </w:rPr>
        <w:t xml:space="preserve"> the strategic development of </w:t>
      </w:r>
      <w:r w:rsidR="008D67C1">
        <w:rPr>
          <w:rFonts w:cstheme="minorHAnsi"/>
          <w:color w:val="000000" w:themeColor="text1"/>
        </w:rPr>
        <w:t>SEND</w:t>
      </w:r>
      <w:r w:rsidRPr="005E0C37">
        <w:rPr>
          <w:rFonts w:cstheme="minorHAnsi"/>
          <w:color w:val="000000" w:themeColor="text1"/>
        </w:rPr>
        <w:t xml:space="preserve"> at </w:t>
      </w:r>
      <w:r w:rsidR="00E274A9" w:rsidRPr="005E0C37">
        <w:rPr>
          <w:rFonts w:cstheme="minorHAnsi"/>
          <w:color w:val="000000" w:themeColor="text1"/>
        </w:rPr>
        <w:t xml:space="preserve">The Birkenhead Park School </w:t>
      </w:r>
      <w:r w:rsidRPr="005E0C37">
        <w:rPr>
          <w:rFonts w:cstheme="minorHAnsi"/>
          <w:color w:val="000000" w:themeColor="text1"/>
        </w:rPr>
        <w:t xml:space="preserve">and ensuring that the </w:t>
      </w:r>
      <w:r w:rsidR="00E274A9" w:rsidRPr="005E0C37">
        <w:rPr>
          <w:rFonts w:cstheme="minorHAnsi"/>
          <w:color w:val="000000" w:themeColor="text1"/>
        </w:rPr>
        <w:t xml:space="preserve">Local </w:t>
      </w:r>
      <w:r w:rsidRPr="005E0C37">
        <w:rPr>
          <w:rFonts w:cstheme="minorHAnsi"/>
          <w:color w:val="000000" w:themeColor="text1"/>
        </w:rPr>
        <w:t xml:space="preserve">Governing Body is informed and up-to-date on </w:t>
      </w:r>
      <w:r w:rsidR="008D67C1">
        <w:rPr>
          <w:rFonts w:cstheme="minorHAnsi"/>
          <w:color w:val="000000" w:themeColor="text1"/>
        </w:rPr>
        <w:t>SEND</w:t>
      </w:r>
      <w:r w:rsidRPr="005E0C37">
        <w:rPr>
          <w:rFonts w:cstheme="minorHAnsi"/>
          <w:color w:val="000000" w:themeColor="text1"/>
        </w:rPr>
        <w:t xml:space="preserve"> provision within the </w:t>
      </w:r>
      <w:r w:rsidR="00E274A9" w:rsidRPr="005E0C37">
        <w:rPr>
          <w:rFonts w:cstheme="minorHAnsi"/>
          <w:color w:val="000000" w:themeColor="text1"/>
        </w:rPr>
        <w:t>school</w:t>
      </w:r>
      <w:r w:rsidRPr="005E0C37">
        <w:rPr>
          <w:rFonts w:cstheme="minorHAnsi"/>
          <w:color w:val="000000" w:themeColor="text1"/>
        </w:rPr>
        <w:t>.</w:t>
      </w:r>
    </w:p>
    <w:p w14:paraId="4694F971" w14:textId="4486FE9E" w:rsidR="00317221" w:rsidRPr="00697848" w:rsidRDefault="00317221">
      <w:pPr>
        <w:rPr>
          <w:rFonts w:cstheme="minorHAnsi"/>
          <w:b/>
          <w:color w:val="000000" w:themeColor="text1"/>
          <w:sz w:val="24"/>
          <w:szCs w:val="24"/>
        </w:rPr>
      </w:pPr>
      <w:r w:rsidRPr="00697848">
        <w:rPr>
          <w:rFonts w:cstheme="minorHAnsi"/>
          <w:b/>
          <w:color w:val="000000" w:themeColor="text1"/>
          <w:sz w:val="24"/>
          <w:szCs w:val="24"/>
        </w:rPr>
        <w:t>Section 1</w:t>
      </w:r>
      <w:r w:rsidR="00BE21AA" w:rsidRPr="00697848">
        <w:rPr>
          <w:rFonts w:cstheme="minorHAnsi"/>
          <w:b/>
          <w:color w:val="000000" w:themeColor="text1"/>
          <w:sz w:val="24"/>
          <w:szCs w:val="24"/>
        </w:rPr>
        <w:t>2</w:t>
      </w:r>
      <w:r w:rsidRPr="00697848">
        <w:rPr>
          <w:rFonts w:cstheme="minorHAnsi"/>
          <w:b/>
          <w:color w:val="000000" w:themeColor="text1"/>
          <w:sz w:val="24"/>
          <w:szCs w:val="24"/>
        </w:rPr>
        <w:t xml:space="preserve"> – Dealing with Complaints</w:t>
      </w:r>
    </w:p>
    <w:p w14:paraId="0C14A134" w14:textId="687273E4" w:rsidR="00B32FCB" w:rsidRPr="00BE21AA" w:rsidRDefault="009F2849" w:rsidP="00BE21AA">
      <w:pPr>
        <w:jc w:val="both"/>
        <w:rPr>
          <w:rFonts w:eastAsia="Calibri" w:cstheme="minorHAnsi"/>
          <w:color w:val="000000" w:themeColor="text1"/>
        </w:rPr>
      </w:pPr>
      <w:r w:rsidRPr="005E0C37">
        <w:rPr>
          <w:rFonts w:eastAsia="Calibri" w:cstheme="minorHAnsi"/>
          <w:color w:val="000000" w:themeColor="text1"/>
        </w:rPr>
        <w:t xml:space="preserve">The </w:t>
      </w:r>
      <w:r w:rsidR="00E274A9" w:rsidRPr="005E0C37">
        <w:rPr>
          <w:rFonts w:eastAsia="Calibri" w:cstheme="minorHAnsi"/>
          <w:color w:val="000000" w:themeColor="text1"/>
        </w:rPr>
        <w:t xml:space="preserve">school </w:t>
      </w:r>
      <w:r w:rsidR="00A018E4">
        <w:rPr>
          <w:rFonts w:eastAsia="Calibri" w:cstheme="minorHAnsi"/>
          <w:color w:val="000000" w:themeColor="text1"/>
        </w:rPr>
        <w:t>has a C</w:t>
      </w:r>
      <w:r w:rsidRPr="005E0C37">
        <w:rPr>
          <w:rFonts w:eastAsia="Calibri" w:cstheme="minorHAnsi"/>
          <w:color w:val="000000" w:themeColor="text1"/>
        </w:rPr>
        <w:t>omplain</w:t>
      </w:r>
      <w:r w:rsidR="007F1B40" w:rsidRPr="005E0C37">
        <w:rPr>
          <w:rFonts w:eastAsia="Calibri" w:cstheme="minorHAnsi"/>
          <w:color w:val="000000" w:themeColor="text1"/>
        </w:rPr>
        <w:t xml:space="preserve">ts </w:t>
      </w:r>
      <w:r w:rsidR="00A018E4">
        <w:rPr>
          <w:rFonts w:eastAsia="Calibri" w:cstheme="minorHAnsi"/>
          <w:color w:val="000000" w:themeColor="text1"/>
        </w:rPr>
        <w:t>P</w:t>
      </w:r>
      <w:r w:rsidR="007F1B40" w:rsidRPr="005E0C37">
        <w:rPr>
          <w:rFonts w:eastAsia="Calibri" w:cstheme="minorHAnsi"/>
          <w:color w:val="000000" w:themeColor="text1"/>
        </w:rPr>
        <w:t xml:space="preserve">olicy which is available on the </w:t>
      </w:r>
      <w:r w:rsidR="00BF507A" w:rsidRPr="005E0C37">
        <w:rPr>
          <w:rFonts w:eastAsia="Calibri" w:cstheme="minorHAnsi"/>
          <w:color w:val="000000" w:themeColor="text1"/>
        </w:rPr>
        <w:t>school</w:t>
      </w:r>
      <w:r w:rsidR="007F1B40" w:rsidRPr="005E0C37">
        <w:rPr>
          <w:rFonts w:eastAsia="Calibri" w:cstheme="minorHAnsi"/>
          <w:color w:val="000000" w:themeColor="text1"/>
        </w:rPr>
        <w:t xml:space="preserve"> website.</w:t>
      </w:r>
      <w:r w:rsidRPr="005E0C37">
        <w:rPr>
          <w:rFonts w:eastAsia="Calibri" w:cstheme="minorHAnsi"/>
          <w:color w:val="000000" w:themeColor="text1"/>
        </w:rPr>
        <w:t xml:space="preserve"> </w:t>
      </w:r>
      <w:r w:rsidR="00CC2528">
        <w:rPr>
          <w:rFonts w:eastAsia="Calibri" w:cstheme="minorHAnsi"/>
          <w:color w:val="000000" w:themeColor="text1"/>
        </w:rPr>
        <w:t>Initial</w:t>
      </w:r>
      <w:r w:rsidRPr="005E0C37">
        <w:rPr>
          <w:rFonts w:eastAsia="Calibri" w:cstheme="minorHAnsi"/>
          <w:color w:val="000000" w:themeColor="text1"/>
        </w:rPr>
        <w:t xml:space="preserve"> complaints</w:t>
      </w:r>
      <w:r w:rsidR="001D501B">
        <w:rPr>
          <w:rFonts w:eastAsia="Calibri" w:cstheme="minorHAnsi"/>
          <w:color w:val="000000" w:themeColor="text1"/>
        </w:rPr>
        <w:t xml:space="preserve"> relating to </w:t>
      </w:r>
      <w:r w:rsidR="008D67C1">
        <w:rPr>
          <w:rFonts w:eastAsia="Calibri" w:cstheme="minorHAnsi"/>
          <w:color w:val="000000" w:themeColor="text1"/>
        </w:rPr>
        <w:t>SEND</w:t>
      </w:r>
      <w:r w:rsidR="001D501B">
        <w:rPr>
          <w:rFonts w:eastAsia="Calibri" w:cstheme="minorHAnsi"/>
          <w:color w:val="000000" w:themeColor="text1"/>
        </w:rPr>
        <w:t xml:space="preserve"> in sch</w:t>
      </w:r>
      <w:r w:rsidR="00BF507A" w:rsidRPr="005E0C37">
        <w:rPr>
          <w:rFonts w:eastAsia="Calibri" w:cstheme="minorHAnsi"/>
          <w:color w:val="000000" w:themeColor="text1"/>
        </w:rPr>
        <w:t>ool</w:t>
      </w:r>
      <w:r w:rsidRPr="005E0C37">
        <w:rPr>
          <w:rFonts w:eastAsia="Calibri" w:cstheme="minorHAnsi"/>
          <w:color w:val="000000" w:themeColor="text1"/>
        </w:rPr>
        <w:t xml:space="preserve"> would generally be resolved by </w:t>
      </w:r>
      <w:r w:rsidR="00D0070C" w:rsidRPr="005E0C37">
        <w:rPr>
          <w:rFonts w:eastAsia="Calibri" w:cstheme="minorHAnsi"/>
          <w:color w:val="000000" w:themeColor="text1"/>
        </w:rPr>
        <w:t>Mr</w:t>
      </w:r>
      <w:r w:rsidR="00D0070C">
        <w:rPr>
          <w:rFonts w:eastAsia="Calibri" w:cstheme="minorHAnsi"/>
          <w:color w:val="000000" w:themeColor="text1"/>
        </w:rPr>
        <w:t>s Canham</w:t>
      </w:r>
      <w:r w:rsidRPr="005E0C37">
        <w:rPr>
          <w:rFonts w:eastAsia="Calibri" w:cstheme="minorHAnsi"/>
          <w:color w:val="000000" w:themeColor="text1"/>
        </w:rPr>
        <w:t xml:space="preserve">, SENCO and a meeting offered to parents. The Local Authority also </w:t>
      </w:r>
      <w:r w:rsidR="009076AA" w:rsidRPr="005E0C37">
        <w:rPr>
          <w:rFonts w:eastAsia="Calibri" w:cstheme="minorHAnsi"/>
          <w:color w:val="000000" w:themeColor="text1"/>
        </w:rPr>
        <w:t>provides</w:t>
      </w:r>
      <w:r w:rsidRPr="005E0C37">
        <w:rPr>
          <w:rFonts w:eastAsia="Calibri" w:cstheme="minorHAnsi"/>
          <w:color w:val="000000" w:themeColor="text1"/>
        </w:rPr>
        <w:t xml:space="preserve"> an independent resolution service, Wirral SEND Partnership.</w:t>
      </w:r>
      <w:r w:rsidR="009076AA" w:rsidRPr="005E0C37">
        <w:rPr>
          <w:rFonts w:eastAsia="Calibri" w:cstheme="minorHAnsi"/>
          <w:color w:val="000000" w:themeColor="text1"/>
        </w:rPr>
        <w:t xml:space="preserve"> </w:t>
      </w:r>
      <w:r w:rsidRPr="005E0C37">
        <w:rPr>
          <w:rFonts w:eastAsia="Calibri" w:cstheme="minorHAnsi"/>
          <w:color w:val="000000" w:themeColor="text1"/>
        </w:rPr>
        <w:t xml:space="preserve">Their website is </w:t>
      </w:r>
      <w:hyperlink r:id="rId18" w:history="1">
        <w:r w:rsidRPr="005E0C37">
          <w:rPr>
            <w:rFonts w:eastAsia="Calibri" w:cstheme="minorHAnsi"/>
            <w:color w:val="000000" w:themeColor="text1"/>
            <w:u w:val="single"/>
          </w:rPr>
          <w:t>www.wired.me.uk</w:t>
        </w:r>
      </w:hyperlink>
      <w:r w:rsidRPr="005E0C37">
        <w:rPr>
          <w:rFonts w:eastAsia="Calibri" w:cstheme="minorHAnsi"/>
          <w:color w:val="000000" w:themeColor="text1"/>
        </w:rPr>
        <w:t>..</w:t>
      </w:r>
    </w:p>
    <w:p w14:paraId="0E7906C2" w14:textId="33DDC27D" w:rsidR="007F3EED" w:rsidRPr="005E0C37" w:rsidRDefault="007F3EED" w:rsidP="00BF507A">
      <w:pPr>
        <w:spacing w:after="0" w:line="240" w:lineRule="auto"/>
        <w:rPr>
          <w:rFonts w:cstheme="minorHAnsi"/>
          <w:b/>
          <w:color w:val="000000" w:themeColor="text1"/>
        </w:rPr>
      </w:pPr>
      <w:r w:rsidRPr="005E0C37">
        <w:rPr>
          <w:rFonts w:cstheme="minorHAnsi"/>
          <w:b/>
          <w:color w:val="000000" w:themeColor="text1"/>
        </w:rPr>
        <w:t xml:space="preserve">Ms </w:t>
      </w:r>
      <w:r w:rsidR="00277C6F" w:rsidRPr="005E0C37">
        <w:rPr>
          <w:rFonts w:cstheme="minorHAnsi"/>
          <w:b/>
          <w:color w:val="000000" w:themeColor="text1"/>
        </w:rPr>
        <w:t>Weekes</w:t>
      </w:r>
      <w:r w:rsidR="001A7640">
        <w:rPr>
          <w:rFonts w:cstheme="minorHAnsi"/>
          <w:b/>
          <w:color w:val="000000" w:themeColor="text1"/>
        </w:rPr>
        <w:t xml:space="preserve"> </w:t>
      </w:r>
    </w:p>
    <w:p w14:paraId="54050329" w14:textId="00D46F6A" w:rsidR="007F3EED" w:rsidRPr="005E0C37" w:rsidRDefault="00A7550F" w:rsidP="00BF507A">
      <w:pPr>
        <w:spacing w:after="0" w:line="240" w:lineRule="auto"/>
        <w:rPr>
          <w:rFonts w:cstheme="minorHAnsi"/>
          <w:b/>
          <w:color w:val="000000" w:themeColor="text1"/>
        </w:rPr>
      </w:pPr>
      <w:r w:rsidRPr="005E0C37">
        <w:rPr>
          <w:rFonts w:cstheme="minorHAnsi"/>
          <w:b/>
          <w:color w:val="000000" w:themeColor="text1"/>
        </w:rPr>
        <w:t>Assistant Headteacher/</w:t>
      </w:r>
      <w:r w:rsidR="00D0070C">
        <w:rPr>
          <w:rFonts w:cstheme="minorHAnsi"/>
          <w:b/>
          <w:color w:val="000000" w:themeColor="text1"/>
        </w:rPr>
        <w:t>SEND Strategic Lead</w:t>
      </w:r>
    </w:p>
    <w:p w14:paraId="2EB53342" w14:textId="5D7B04C2" w:rsidR="003E0412" w:rsidRDefault="003E0412" w:rsidP="00BF507A">
      <w:pPr>
        <w:spacing w:after="0" w:line="240" w:lineRule="auto"/>
        <w:rPr>
          <w:rFonts w:cstheme="minorHAnsi"/>
          <w:b/>
          <w:color w:val="000000" w:themeColor="text1"/>
        </w:rPr>
      </w:pPr>
    </w:p>
    <w:p w14:paraId="53726E07" w14:textId="76071C98" w:rsidR="001A7640" w:rsidRDefault="001A7640" w:rsidP="00BF507A">
      <w:pPr>
        <w:spacing w:after="0" w:line="240" w:lineRule="auto"/>
        <w:rPr>
          <w:rFonts w:cstheme="minorHAnsi"/>
          <w:b/>
          <w:color w:val="000000" w:themeColor="text1"/>
        </w:rPr>
      </w:pPr>
      <w:r>
        <w:rPr>
          <w:rFonts w:cstheme="minorHAnsi"/>
          <w:b/>
          <w:color w:val="000000" w:themeColor="text1"/>
        </w:rPr>
        <w:t>Mrs Canham</w:t>
      </w:r>
    </w:p>
    <w:p w14:paraId="6FC9574A" w14:textId="7BA2F37E" w:rsidR="001A7640" w:rsidRDefault="001A7640" w:rsidP="00BF507A">
      <w:pPr>
        <w:spacing w:after="0" w:line="240" w:lineRule="auto"/>
        <w:rPr>
          <w:rFonts w:cstheme="minorHAnsi"/>
          <w:b/>
          <w:color w:val="000000" w:themeColor="text1"/>
        </w:rPr>
      </w:pPr>
      <w:r>
        <w:rPr>
          <w:rFonts w:cstheme="minorHAnsi"/>
          <w:b/>
          <w:color w:val="000000" w:themeColor="text1"/>
        </w:rPr>
        <w:t>SENCO</w:t>
      </w:r>
    </w:p>
    <w:p w14:paraId="356428E7" w14:textId="5E81F0C5" w:rsidR="001A7640" w:rsidRDefault="001A7640" w:rsidP="00BF507A">
      <w:pPr>
        <w:spacing w:after="0" w:line="240" w:lineRule="auto"/>
        <w:rPr>
          <w:rFonts w:cstheme="minorHAnsi"/>
          <w:b/>
          <w:color w:val="000000" w:themeColor="text1"/>
        </w:rPr>
      </w:pPr>
    </w:p>
    <w:p w14:paraId="39FEA104" w14:textId="3FFA2686" w:rsidR="001A7640" w:rsidRDefault="001A7640" w:rsidP="00BF507A">
      <w:pPr>
        <w:spacing w:after="0" w:line="240" w:lineRule="auto"/>
        <w:rPr>
          <w:rFonts w:cstheme="minorHAnsi"/>
          <w:b/>
          <w:color w:val="000000" w:themeColor="text1"/>
        </w:rPr>
      </w:pPr>
      <w:r>
        <w:rPr>
          <w:rFonts w:cstheme="minorHAnsi"/>
          <w:b/>
          <w:color w:val="000000" w:themeColor="text1"/>
        </w:rPr>
        <w:t xml:space="preserve">September </w:t>
      </w:r>
      <w:r w:rsidRPr="00001D10">
        <w:rPr>
          <w:rFonts w:cstheme="minorHAnsi"/>
          <w:b/>
          <w:color w:val="000000" w:themeColor="text1"/>
        </w:rPr>
        <w:t>2</w:t>
      </w:r>
      <w:r w:rsidR="00D33092" w:rsidRPr="00001D10">
        <w:rPr>
          <w:rFonts w:cstheme="minorHAnsi"/>
          <w:b/>
          <w:color w:val="000000" w:themeColor="text1"/>
        </w:rPr>
        <w:t>025</w:t>
      </w:r>
    </w:p>
    <w:p w14:paraId="787C3886" w14:textId="77777777" w:rsidR="003E0412" w:rsidRDefault="003E0412" w:rsidP="00BF507A">
      <w:pPr>
        <w:spacing w:after="0" w:line="240" w:lineRule="auto"/>
        <w:rPr>
          <w:rFonts w:cstheme="minorHAnsi"/>
          <w:b/>
          <w:color w:val="000000" w:themeColor="text1"/>
        </w:rPr>
      </w:pPr>
    </w:p>
    <w:sectPr w:rsidR="003E0412" w:rsidSect="00D16175">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2844A" w14:textId="77777777" w:rsidR="00435F3B" w:rsidRDefault="00435F3B" w:rsidP="00E35986">
      <w:pPr>
        <w:spacing w:after="0" w:line="240" w:lineRule="auto"/>
      </w:pPr>
      <w:r>
        <w:separator/>
      </w:r>
    </w:p>
  </w:endnote>
  <w:endnote w:type="continuationSeparator" w:id="0">
    <w:p w14:paraId="17F68853" w14:textId="77777777" w:rsidR="00435F3B" w:rsidRDefault="00435F3B" w:rsidP="00E35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7CA5" w14:textId="77777777" w:rsidR="00D27648" w:rsidRDefault="00D27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B39C" w14:textId="77777777" w:rsidR="00D27648" w:rsidRDefault="00D276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0544" w14:textId="77777777" w:rsidR="00D27648" w:rsidRDefault="00D27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AC2AA" w14:textId="77777777" w:rsidR="00435F3B" w:rsidRDefault="00435F3B" w:rsidP="00E35986">
      <w:pPr>
        <w:spacing w:after="0" w:line="240" w:lineRule="auto"/>
      </w:pPr>
      <w:r>
        <w:separator/>
      </w:r>
    </w:p>
  </w:footnote>
  <w:footnote w:type="continuationSeparator" w:id="0">
    <w:p w14:paraId="0F56F8FA" w14:textId="77777777" w:rsidR="00435F3B" w:rsidRDefault="00435F3B" w:rsidP="00E35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2538" w14:textId="77777777" w:rsidR="00D27648" w:rsidRDefault="00D27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05FE" w14:textId="0F818A8D" w:rsidR="00D27648" w:rsidRDefault="00D276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9E3C" w14:textId="6582A2D0" w:rsidR="00D27648" w:rsidRDefault="00D27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15A1A26"/>
    <w:multiLevelType w:val="hybridMultilevel"/>
    <w:tmpl w:val="A9CA5A8A"/>
    <w:lvl w:ilvl="0" w:tplc="FD86A6FC">
      <w:start w:val="1"/>
      <w:numFmt w:val="bullet"/>
      <w:lvlText w:val="•"/>
      <w:lvlJc w:val="left"/>
      <w:pPr>
        <w:tabs>
          <w:tab w:val="num" w:pos="720"/>
        </w:tabs>
        <w:ind w:left="720" w:hanging="360"/>
      </w:pPr>
      <w:rPr>
        <w:rFonts w:ascii="Arial" w:hAnsi="Arial" w:hint="default"/>
      </w:rPr>
    </w:lvl>
    <w:lvl w:ilvl="1" w:tplc="BBA676B0" w:tentative="1">
      <w:start w:val="1"/>
      <w:numFmt w:val="bullet"/>
      <w:lvlText w:val="•"/>
      <w:lvlJc w:val="left"/>
      <w:pPr>
        <w:tabs>
          <w:tab w:val="num" w:pos="1440"/>
        </w:tabs>
        <w:ind w:left="1440" w:hanging="360"/>
      </w:pPr>
      <w:rPr>
        <w:rFonts w:ascii="Arial" w:hAnsi="Arial" w:hint="default"/>
      </w:rPr>
    </w:lvl>
    <w:lvl w:ilvl="2" w:tplc="BFAE0104" w:tentative="1">
      <w:start w:val="1"/>
      <w:numFmt w:val="bullet"/>
      <w:lvlText w:val="•"/>
      <w:lvlJc w:val="left"/>
      <w:pPr>
        <w:tabs>
          <w:tab w:val="num" w:pos="2160"/>
        </w:tabs>
        <w:ind w:left="2160" w:hanging="360"/>
      </w:pPr>
      <w:rPr>
        <w:rFonts w:ascii="Arial" w:hAnsi="Arial" w:hint="default"/>
      </w:rPr>
    </w:lvl>
    <w:lvl w:ilvl="3" w:tplc="6F5A3EDE" w:tentative="1">
      <w:start w:val="1"/>
      <w:numFmt w:val="bullet"/>
      <w:lvlText w:val="•"/>
      <w:lvlJc w:val="left"/>
      <w:pPr>
        <w:tabs>
          <w:tab w:val="num" w:pos="2880"/>
        </w:tabs>
        <w:ind w:left="2880" w:hanging="360"/>
      </w:pPr>
      <w:rPr>
        <w:rFonts w:ascii="Arial" w:hAnsi="Arial" w:hint="default"/>
      </w:rPr>
    </w:lvl>
    <w:lvl w:ilvl="4" w:tplc="52C26284" w:tentative="1">
      <w:start w:val="1"/>
      <w:numFmt w:val="bullet"/>
      <w:lvlText w:val="•"/>
      <w:lvlJc w:val="left"/>
      <w:pPr>
        <w:tabs>
          <w:tab w:val="num" w:pos="3600"/>
        </w:tabs>
        <w:ind w:left="3600" w:hanging="360"/>
      </w:pPr>
      <w:rPr>
        <w:rFonts w:ascii="Arial" w:hAnsi="Arial" w:hint="default"/>
      </w:rPr>
    </w:lvl>
    <w:lvl w:ilvl="5" w:tplc="CB34FF84" w:tentative="1">
      <w:start w:val="1"/>
      <w:numFmt w:val="bullet"/>
      <w:lvlText w:val="•"/>
      <w:lvlJc w:val="left"/>
      <w:pPr>
        <w:tabs>
          <w:tab w:val="num" w:pos="4320"/>
        </w:tabs>
        <w:ind w:left="4320" w:hanging="360"/>
      </w:pPr>
      <w:rPr>
        <w:rFonts w:ascii="Arial" w:hAnsi="Arial" w:hint="default"/>
      </w:rPr>
    </w:lvl>
    <w:lvl w:ilvl="6" w:tplc="11A2D142" w:tentative="1">
      <w:start w:val="1"/>
      <w:numFmt w:val="bullet"/>
      <w:lvlText w:val="•"/>
      <w:lvlJc w:val="left"/>
      <w:pPr>
        <w:tabs>
          <w:tab w:val="num" w:pos="5040"/>
        </w:tabs>
        <w:ind w:left="5040" w:hanging="360"/>
      </w:pPr>
      <w:rPr>
        <w:rFonts w:ascii="Arial" w:hAnsi="Arial" w:hint="default"/>
      </w:rPr>
    </w:lvl>
    <w:lvl w:ilvl="7" w:tplc="67DE2EDE" w:tentative="1">
      <w:start w:val="1"/>
      <w:numFmt w:val="bullet"/>
      <w:lvlText w:val="•"/>
      <w:lvlJc w:val="left"/>
      <w:pPr>
        <w:tabs>
          <w:tab w:val="num" w:pos="5760"/>
        </w:tabs>
        <w:ind w:left="5760" w:hanging="360"/>
      </w:pPr>
      <w:rPr>
        <w:rFonts w:ascii="Arial" w:hAnsi="Arial" w:hint="default"/>
      </w:rPr>
    </w:lvl>
    <w:lvl w:ilvl="8" w:tplc="42F0432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91B34F6"/>
    <w:multiLevelType w:val="hybridMultilevel"/>
    <w:tmpl w:val="89C85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F6B3170"/>
    <w:multiLevelType w:val="hybridMultilevel"/>
    <w:tmpl w:val="B1849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55067CB"/>
    <w:multiLevelType w:val="hybridMultilevel"/>
    <w:tmpl w:val="2B5A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7B43EC"/>
    <w:multiLevelType w:val="hybridMultilevel"/>
    <w:tmpl w:val="CA023962"/>
    <w:lvl w:ilvl="0" w:tplc="EF66E2C6">
      <w:start w:val="1"/>
      <w:numFmt w:val="bullet"/>
      <w:lvlText w:val="•"/>
      <w:lvlJc w:val="left"/>
      <w:pPr>
        <w:tabs>
          <w:tab w:val="num" w:pos="720"/>
        </w:tabs>
        <w:ind w:left="720" w:hanging="360"/>
      </w:pPr>
      <w:rPr>
        <w:rFonts w:ascii="Arial" w:hAnsi="Arial" w:hint="default"/>
      </w:rPr>
    </w:lvl>
    <w:lvl w:ilvl="1" w:tplc="76565DEC" w:tentative="1">
      <w:start w:val="1"/>
      <w:numFmt w:val="bullet"/>
      <w:lvlText w:val="•"/>
      <w:lvlJc w:val="left"/>
      <w:pPr>
        <w:tabs>
          <w:tab w:val="num" w:pos="1440"/>
        </w:tabs>
        <w:ind w:left="1440" w:hanging="360"/>
      </w:pPr>
      <w:rPr>
        <w:rFonts w:ascii="Arial" w:hAnsi="Arial" w:hint="default"/>
      </w:rPr>
    </w:lvl>
    <w:lvl w:ilvl="2" w:tplc="C450B150" w:tentative="1">
      <w:start w:val="1"/>
      <w:numFmt w:val="bullet"/>
      <w:lvlText w:val="•"/>
      <w:lvlJc w:val="left"/>
      <w:pPr>
        <w:tabs>
          <w:tab w:val="num" w:pos="2160"/>
        </w:tabs>
        <w:ind w:left="2160" w:hanging="360"/>
      </w:pPr>
      <w:rPr>
        <w:rFonts w:ascii="Arial" w:hAnsi="Arial" w:hint="default"/>
      </w:rPr>
    </w:lvl>
    <w:lvl w:ilvl="3" w:tplc="BA9A58D6" w:tentative="1">
      <w:start w:val="1"/>
      <w:numFmt w:val="bullet"/>
      <w:lvlText w:val="•"/>
      <w:lvlJc w:val="left"/>
      <w:pPr>
        <w:tabs>
          <w:tab w:val="num" w:pos="2880"/>
        </w:tabs>
        <w:ind w:left="2880" w:hanging="360"/>
      </w:pPr>
      <w:rPr>
        <w:rFonts w:ascii="Arial" w:hAnsi="Arial" w:hint="default"/>
      </w:rPr>
    </w:lvl>
    <w:lvl w:ilvl="4" w:tplc="7848C026" w:tentative="1">
      <w:start w:val="1"/>
      <w:numFmt w:val="bullet"/>
      <w:lvlText w:val="•"/>
      <w:lvlJc w:val="left"/>
      <w:pPr>
        <w:tabs>
          <w:tab w:val="num" w:pos="3600"/>
        </w:tabs>
        <w:ind w:left="3600" w:hanging="360"/>
      </w:pPr>
      <w:rPr>
        <w:rFonts w:ascii="Arial" w:hAnsi="Arial" w:hint="default"/>
      </w:rPr>
    </w:lvl>
    <w:lvl w:ilvl="5" w:tplc="07D274B2" w:tentative="1">
      <w:start w:val="1"/>
      <w:numFmt w:val="bullet"/>
      <w:lvlText w:val="•"/>
      <w:lvlJc w:val="left"/>
      <w:pPr>
        <w:tabs>
          <w:tab w:val="num" w:pos="4320"/>
        </w:tabs>
        <w:ind w:left="4320" w:hanging="360"/>
      </w:pPr>
      <w:rPr>
        <w:rFonts w:ascii="Arial" w:hAnsi="Arial" w:hint="default"/>
      </w:rPr>
    </w:lvl>
    <w:lvl w:ilvl="6" w:tplc="5BDC7048" w:tentative="1">
      <w:start w:val="1"/>
      <w:numFmt w:val="bullet"/>
      <w:lvlText w:val="•"/>
      <w:lvlJc w:val="left"/>
      <w:pPr>
        <w:tabs>
          <w:tab w:val="num" w:pos="5040"/>
        </w:tabs>
        <w:ind w:left="5040" w:hanging="360"/>
      </w:pPr>
      <w:rPr>
        <w:rFonts w:ascii="Arial" w:hAnsi="Arial" w:hint="default"/>
      </w:rPr>
    </w:lvl>
    <w:lvl w:ilvl="7" w:tplc="D9F88EE4" w:tentative="1">
      <w:start w:val="1"/>
      <w:numFmt w:val="bullet"/>
      <w:lvlText w:val="•"/>
      <w:lvlJc w:val="left"/>
      <w:pPr>
        <w:tabs>
          <w:tab w:val="num" w:pos="5760"/>
        </w:tabs>
        <w:ind w:left="5760" w:hanging="360"/>
      </w:pPr>
      <w:rPr>
        <w:rFonts w:ascii="Arial" w:hAnsi="Arial" w:hint="default"/>
      </w:rPr>
    </w:lvl>
    <w:lvl w:ilvl="8" w:tplc="3A867E9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6F73D74"/>
    <w:multiLevelType w:val="hybridMultilevel"/>
    <w:tmpl w:val="B01CCE82"/>
    <w:lvl w:ilvl="0" w:tplc="CA48E9EC">
      <w:start w:val="1"/>
      <w:numFmt w:val="bullet"/>
      <w:lvlText w:val="•"/>
      <w:lvlJc w:val="left"/>
      <w:pPr>
        <w:tabs>
          <w:tab w:val="num" w:pos="720"/>
        </w:tabs>
        <w:ind w:left="720" w:hanging="360"/>
      </w:pPr>
      <w:rPr>
        <w:rFonts w:ascii="Arial" w:hAnsi="Arial" w:hint="default"/>
      </w:rPr>
    </w:lvl>
    <w:lvl w:ilvl="1" w:tplc="C178AF02" w:tentative="1">
      <w:start w:val="1"/>
      <w:numFmt w:val="bullet"/>
      <w:lvlText w:val="•"/>
      <w:lvlJc w:val="left"/>
      <w:pPr>
        <w:tabs>
          <w:tab w:val="num" w:pos="1440"/>
        </w:tabs>
        <w:ind w:left="1440" w:hanging="360"/>
      </w:pPr>
      <w:rPr>
        <w:rFonts w:ascii="Arial" w:hAnsi="Arial" w:hint="default"/>
      </w:rPr>
    </w:lvl>
    <w:lvl w:ilvl="2" w:tplc="76D407F4" w:tentative="1">
      <w:start w:val="1"/>
      <w:numFmt w:val="bullet"/>
      <w:lvlText w:val="•"/>
      <w:lvlJc w:val="left"/>
      <w:pPr>
        <w:tabs>
          <w:tab w:val="num" w:pos="2160"/>
        </w:tabs>
        <w:ind w:left="2160" w:hanging="360"/>
      </w:pPr>
      <w:rPr>
        <w:rFonts w:ascii="Arial" w:hAnsi="Arial" w:hint="default"/>
      </w:rPr>
    </w:lvl>
    <w:lvl w:ilvl="3" w:tplc="76484D68" w:tentative="1">
      <w:start w:val="1"/>
      <w:numFmt w:val="bullet"/>
      <w:lvlText w:val="•"/>
      <w:lvlJc w:val="left"/>
      <w:pPr>
        <w:tabs>
          <w:tab w:val="num" w:pos="2880"/>
        </w:tabs>
        <w:ind w:left="2880" w:hanging="360"/>
      </w:pPr>
      <w:rPr>
        <w:rFonts w:ascii="Arial" w:hAnsi="Arial" w:hint="default"/>
      </w:rPr>
    </w:lvl>
    <w:lvl w:ilvl="4" w:tplc="2558FA2A" w:tentative="1">
      <w:start w:val="1"/>
      <w:numFmt w:val="bullet"/>
      <w:lvlText w:val="•"/>
      <w:lvlJc w:val="left"/>
      <w:pPr>
        <w:tabs>
          <w:tab w:val="num" w:pos="3600"/>
        </w:tabs>
        <w:ind w:left="3600" w:hanging="360"/>
      </w:pPr>
      <w:rPr>
        <w:rFonts w:ascii="Arial" w:hAnsi="Arial" w:hint="default"/>
      </w:rPr>
    </w:lvl>
    <w:lvl w:ilvl="5" w:tplc="B9B4E244" w:tentative="1">
      <w:start w:val="1"/>
      <w:numFmt w:val="bullet"/>
      <w:lvlText w:val="•"/>
      <w:lvlJc w:val="left"/>
      <w:pPr>
        <w:tabs>
          <w:tab w:val="num" w:pos="4320"/>
        </w:tabs>
        <w:ind w:left="4320" w:hanging="360"/>
      </w:pPr>
      <w:rPr>
        <w:rFonts w:ascii="Arial" w:hAnsi="Arial" w:hint="default"/>
      </w:rPr>
    </w:lvl>
    <w:lvl w:ilvl="6" w:tplc="E9EEF4BE" w:tentative="1">
      <w:start w:val="1"/>
      <w:numFmt w:val="bullet"/>
      <w:lvlText w:val="•"/>
      <w:lvlJc w:val="left"/>
      <w:pPr>
        <w:tabs>
          <w:tab w:val="num" w:pos="5040"/>
        </w:tabs>
        <w:ind w:left="5040" w:hanging="360"/>
      </w:pPr>
      <w:rPr>
        <w:rFonts w:ascii="Arial" w:hAnsi="Arial" w:hint="default"/>
      </w:rPr>
    </w:lvl>
    <w:lvl w:ilvl="7" w:tplc="D8F01592" w:tentative="1">
      <w:start w:val="1"/>
      <w:numFmt w:val="bullet"/>
      <w:lvlText w:val="•"/>
      <w:lvlJc w:val="left"/>
      <w:pPr>
        <w:tabs>
          <w:tab w:val="num" w:pos="5760"/>
        </w:tabs>
        <w:ind w:left="5760" w:hanging="360"/>
      </w:pPr>
      <w:rPr>
        <w:rFonts w:ascii="Arial" w:hAnsi="Arial" w:hint="default"/>
      </w:rPr>
    </w:lvl>
    <w:lvl w:ilvl="8" w:tplc="CA82956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A392947"/>
    <w:multiLevelType w:val="hybridMultilevel"/>
    <w:tmpl w:val="91563A78"/>
    <w:lvl w:ilvl="0" w:tplc="6D54942C">
      <w:start w:val="1"/>
      <w:numFmt w:val="bullet"/>
      <w:lvlText w:val="•"/>
      <w:lvlJc w:val="left"/>
      <w:pPr>
        <w:tabs>
          <w:tab w:val="num" w:pos="720"/>
        </w:tabs>
        <w:ind w:left="720" w:hanging="360"/>
      </w:pPr>
      <w:rPr>
        <w:rFonts w:ascii="Arial" w:hAnsi="Arial" w:hint="default"/>
      </w:rPr>
    </w:lvl>
    <w:lvl w:ilvl="1" w:tplc="DDC20ABE" w:tentative="1">
      <w:start w:val="1"/>
      <w:numFmt w:val="bullet"/>
      <w:lvlText w:val="•"/>
      <w:lvlJc w:val="left"/>
      <w:pPr>
        <w:tabs>
          <w:tab w:val="num" w:pos="1440"/>
        </w:tabs>
        <w:ind w:left="1440" w:hanging="360"/>
      </w:pPr>
      <w:rPr>
        <w:rFonts w:ascii="Arial" w:hAnsi="Arial" w:hint="default"/>
      </w:rPr>
    </w:lvl>
    <w:lvl w:ilvl="2" w:tplc="95E62D02" w:tentative="1">
      <w:start w:val="1"/>
      <w:numFmt w:val="bullet"/>
      <w:lvlText w:val="•"/>
      <w:lvlJc w:val="left"/>
      <w:pPr>
        <w:tabs>
          <w:tab w:val="num" w:pos="2160"/>
        </w:tabs>
        <w:ind w:left="2160" w:hanging="360"/>
      </w:pPr>
      <w:rPr>
        <w:rFonts w:ascii="Arial" w:hAnsi="Arial" w:hint="default"/>
      </w:rPr>
    </w:lvl>
    <w:lvl w:ilvl="3" w:tplc="2CA664D2" w:tentative="1">
      <w:start w:val="1"/>
      <w:numFmt w:val="bullet"/>
      <w:lvlText w:val="•"/>
      <w:lvlJc w:val="left"/>
      <w:pPr>
        <w:tabs>
          <w:tab w:val="num" w:pos="2880"/>
        </w:tabs>
        <w:ind w:left="2880" w:hanging="360"/>
      </w:pPr>
      <w:rPr>
        <w:rFonts w:ascii="Arial" w:hAnsi="Arial" w:hint="default"/>
      </w:rPr>
    </w:lvl>
    <w:lvl w:ilvl="4" w:tplc="2F72A75E" w:tentative="1">
      <w:start w:val="1"/>
      <w:numFmt w:val="bullet"/>
      <w:lvlText w:val="•"/>
      <w:lvlJc w:val="left"/>
      <w:pPr>
        <w:tabs>
          <w:tab w:val="num" w:pos="3600"/>
        </w:tabs>
        <w:ind w:left="3600" w:hanging="360"/>
      </w:pPr>
      <w:rPr>
        <w:rFonts w:ascii="Arial" w:hAnsi="Arial" w:hint="default"/>
      </w:rPr>
    </w:lvl>
    <w:lvl w:ilvl="5" w:tplc="502AAAC6" w:tentative="1">
      <w:start w:val="1"/>
      <w:numFmt w:val="bullet"/>
      <w:lvlText w:val="•"/>
      <w:lvlJc w:val="left"/>
      <w:pPr>
        <w:tabs>
          <w:tab w:val="num" w:pos="4320"/>
        </w:tabs>
        <w:ind w:left="4320" w:hanging="360"/>
      </w:pPr>
      <w:rPr>
        <w:rFonts w:ascii="Arial" w:hAnsi="Arial" w:hint="default"/>
      </w:rPr>
    </w:lvl>
    <w:lvl w:ilvl="6" w:tplc="030ADB24" w:tentative="1">
      <w:start w:val="1"/>
      <w:numFmt w:val="bullet"/>
      <w:lvlText w:val="•"/>
      <w:lvlJc w:val="left"/>
      <w:pPr>
        <w:tabs>
          <w:tab w:val="num" w:pos="5040"/>
        </w:tabs>
        <w:ind w:left="5040" w:hanging="360"/>
      </w:pPr>
      <w:rPr>
        <w:rFonts w:ascii="Arial" w:hAnsi="Arial" w:hint="default"/>
      </w:rPr>
    </w:lvl>
    <w:lvl w:ilvl="7" w:tplc="73CCF67E" w:tentative="1">
      <w:start w:val="1"/>
      <w:numFmt w:val="bullet"/>
      <w:lvlText w:val="•"/>
      <w:lvlJc w:val="left"/>
      <w:pPr>
        <w:tabs>
          <w:tab w:val="num" w:pos="5760"/>
        </w:tabs>
        <w:ind w:left="5760" w:hanging="360"/>
      </w:pPr>
      <w:rPr>
        <w:rFonts w:ascii="Arial" w:hAnsi="Arial" w:hint="default"/>
      </w:rPr>
    </w:lvl>
    <w:lvl w:ilvl="8" w:tplc="EB501D3E" w:tentative="1">
      <w:start w:val="1"/>
      <w:numFmt w:val="bullet"/>
      <w:lvlText w:val="•"/>
      <w:lvlJc w:val="left"/>
      <w:pPr>
        <w:tabs>
          <w:tab w:val="num" w:pos="6480"/>
        </w:tabs>
        <w:ind w:left="6480" w:hanging="360"/>
      </w:pPr>
      <w:rPr>
        <w:rFonts w:ascii="Arial" w:hAnsi="Arial" w:hint="default"/>
      </w:rPr>
    </w:lvl>
  </w:abstractNum>
  <w:num w:numId="1" w16cid:durableId="1053042539">
    <w:abstractNumId w:val="0"/>
  </w:num>
  <w:num w:numId="2" w16cid:durableId="1974601321">
    <w:abstractNumId w:val="4"/>
  </w:num>
  <w:num w:numId="3" w16cid:durableId="1138958961">
    <w:abstractNumId w:val="2"/>
  </w:num>
  <w:num w:numId="4" w16cid:durableId="1974558921">
    <w:abstractNumId w:val="3"/>
  </w:num>
  <w:num w:numId="5" w16cid:durableId="124591088">
    <w:abstractNumId w:val="6"/>
  </w:num>
  <w:num w:numId="6" w16cid:durableId="1553810444">
    <w:abstractNumId w:val="7"/>
  </w:num>
  <w:num w:numId="7" w16cid:durableId="621108938">
    <w:abstractNumId w:val="5"/>
  </w:num>
  <w:num w:numId="8" w16cid:durableId="996693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791"/>
    <w:rsid w:val="00001D10"/>
    <w:rsid w:val="00003EF0"/>
    <w:rsid w:val="0002000B"/>
    <w:rsid w:val="00033414"/>
    <w:rsid w:val="000409A6"/>
    <w:rsid w:val="00054E5E"/>
    <w:rsid w:val="00056EEE"/>
    <w:rsid w:val="000644A0"/>
    <w:rsid w:val="00073C1E"/>
    <w:rsid w:val="000B672E"/>
    <w:rsid w:val="000D16D4"/>
    <w:rsid w:val="000D1D88"/>
    <w:rsid w:val="000E5487"/>
    <w:rsid w:val="000E7F9A"/>
    <w:rsid w:val="00100A7B"/>
    <w:rsid w:val="00106B72"/>
    <w:rsid w:val="00112347"/>
    <w:rsid w:val="0011752E"/>
    <w:rsid w:val="00124E34"/>
    <w:rsid w:val="00135BF3"/>
    <w:rsid w:val="00143064"/>
    <w:rsid w:val="00144552"/>
    <w:rsid w:val="00147A81"/>
    <w:rsid w:val="00151531"/>
    <w:rsid w:val="00154925"/>
    <w:rsid w:val="00155006"/>
    <w:rsid w:val="0016289C"/>
    <w:rsid w:val="00164FBA"/>
    <w:rsid w:val="0017042F"/>
    <w:rsid w:val="00184212"/>
    <w:rsid w:val="00195AD0"/>
    <w:rsid w:val="001979F5"/>
    <w:rsid w:val="001A11DA"/>
    <w:rsid w:val="001A16E3"/>
    <w:rsid w:val="001A7640"/>
    <w:rsid w:val="001D501B"/>
    <w:rsid w:val="001E5259"/>
    <w:rsid w:val="001E7F38"/>
    <w:rsid w:val="002133EB"/>
    <w:rsid w:val="002337CD"/>
    <w:rsid w:val="0024346E"/>
    <w:rsid w:val="0025347D"/>
    <w:rsid w:val="00277109"/>
    <w:rsid w:val="00277C6F"/>
    <w:rsid w:val="002A5100"/>
    <w:rsid w:val="002B1EF0"/>
    <w:rsid w:val="002C6AB4"/>
    <w:rsid w:val="002E768F"/>
    <w:rsid w:val="002F3992"/>
    <w:rsid w:val="002F3D2B"/>
    <w:rsid w:val="002F5999"/>
    <w:rsid w:val="00303B6E"/>
    <w:rsid w:val="00305D90"/>
    <w:rsid w:val="00306D9C"/>
    <w:rsid w:val="003108F4"/>
    <w:rsid w:val="00317221"/>
    <w:rsid w:val="00321586"/>
    <w:rsid w:val="0032649C"/>
    <w:rsid w:val="00336AFD"/>
    <w:rsid w:val="00342F5D"/>
    <w:rsid w:val="00346086"/>
    <w:rsid w:val="00356045"/>
    <w:rsid w:val="00364D97"/>
    <w:rsid w:val="00365DF8"/>
    <w:rsid w:val="00366770"/>
    <w:rsid w:val="0039340A"/>
    <w:rsid w:val="003A189C"/>
    <w:rsid w:val="003C121D"/>
    <w:rsid w:val="003D3D55"/>
    <w:rsid w:val="003D78F5"/>
    <w:rsid w:val="003E0412"/>
    <w:rsid w:val="003E6031"/>
    <w:rsid w:val="00400BE1"/>
    <w:rsid w:val="00435F3B"/>
    <w:rsid w:val="0043733F"/>
    <w:rsid w:val="00443617"/>
    <w:rsid w:val="004671A1"/>
    <w:rsid w:val="004771B7"/>
    <w:rsid w:val="0048520D"/>
    <w:rsid w:val="004B4EED"/>
    <w:rsid w:val="004C0E7E"/>
    <w:rsid w:val="004F3456"/>
    <w:rsid w:val="00527704"/>
    <w:rsid w:val="00533933"/>
    <w:rsid w:val="00536873"/>
    <w:rsid w:val="00581147"/>
    <w:rsid w:val="005815C9"/>
    <w:rsid w:val="005B5F32"/>
    <w:rsid w:val="005C0294"/>
    <w:rsid w:val="005C2E35"/>
    <w:rsid w:val="005E0C37"/>
    <w:rsid w:val="005E662F"/>
    <w:rsid w:val="006137B0"/>
    <w:rsid w:val="00616CD4"/>
    <w:rsid w:val="00621D46"/>
    <w:rsid w:val="00626D1D"/>
    <w:rsid w:val="0067425C"/>
    <w:rsid w:val="00674628"/>
    <w:rsid w:val="006817C8"/>
    <w:rsid w:val="0069421F"/>
    <w:rsid w:val="00697848"/>
    <w:rsid w:val="006B218D"/>
    <w:rsid w:val="006B31D3"/>
    <w:rsid w:val="006C6C70"/>
    <w:rsid w:val="006C7757"/>
    <w:rsid w:val="006D5781"/>
    <w:rsid w:val="006E646E"/>
    <w:rsid w:val="006E6BCB"/>
    <w:rsid w:val="007002FA"/>
    <w:rsid w:val="00714E48"/>
    <w:rsid w:val="007421CF"/>
    <w:rsid w:val="00742DD5"/>
    <w:rsid w:val="007A7941"/>
    <w:rsid w:val="007B58E5"/>
    <w:rsid w:val="007C04EB"/>
    <w:rsid w:val="007D0A7A"/>
    <w:rsid w:val="007F1B40"/>
    <w:rsid w:val="007F3EED"/>
    <w:rsid w:val="008002E1"/>
    <w:rsid w:val="00843F5B"/>
    <w:rsid w:val="0086733C"/>
    <w:rsid w:val="0087272D"/>
    <w:rsid w:val="008A5CA4"/>
    <w:rsid w:val="008D67C1"/>
    <w:rsid w:val="008F1BD9"/>
    <w:rsid w:val="009076AA"/>
    <w:rsid w:val="00910AA3"/>
    <w:rsid w:val="00911A56"/>
    <w:rsid w:val="00937BB5"/>
    <w:rsid w:val="009475DE"/>
    <w:rsid w:val="00961A7B"/>
    <w:rsid w:val="00962AAC"/>
    <w:rsid w:val="0098012C"/>
    <w:rsid w:val="00990D56"/>
    <w:rsid w:val="00996864"/>
    <w:rsid w:val="009B048A"/>
    <w:rsid w:val="009C4AA7"/>
    <w:rsid w:val="009F2849"/>
    <w:rsid w:val="00A018E4"/>
    <w:rsid w:val="00A15562"/>
    <w:rsid w:val="00A7550F"/>
    <w:rsid w:val="00A760CD"/>
    <w:rsid w:val="00A8120F"/>
    <w:rsid w:val="00AB0A23"/>
    <w:rsid w:val="00AB3FD4"/>
    <w:rsid w:val="00AC1A9B"/>
    <w:rsid w:val="00AE70F8"/>
    <w:rsid w:val="00B07B90"/>
    <w:rsid w:val="00B10219"/>
    <w:rsid w:val="00B27C6F"/>
    <w:rsid w:val="00B32998"/>
    <w:rsid w:val="00B32FCB"/>
    <w:rsid w:val="00B365EA"/>
    <w:rsid w:val="00B412A6"/>
    <w:rsid w:val="00B45D28"/>
    <w:rsid w:val="00B90683"/>
    <w:rsid w:val="00BB67A4"/>
    <w:rsid w:val="00BB6D6C"/>
    <w:rsid w:val="00BC3268"/>
    <w:rsid w:val="00BE21AA"/>
    <w:rsid w:val="00BF2C4D"/>
    <w:rsid w:val="00BF2E52"/>
    <w:rsid w:val="00BF4E26"/>
    <w:rsid w:val="00BF507A"/>
    <w:rsid w:val="00BF7AF8"/>
    <w:rsid w:val="00C0631C"/>
    <w:rsid w:val="00C10D31"/>
    <w:rsid w:val="00C424C8"/>
    <w:rsid w:val="00C53F8D"/>
    <w:rsid w:val="00C576AE"/>
    <w:rsid w:val="00C6536B"/>
    <w:rsid w:val="00C75E78"/>
    <w:rsid w:val="00C842D9"/>
    <w:rsid w:val="00CA7553"/>
    <w:rsid w:val="00CB2DF5"/>
    <w:rsid w:val="00CB6EDF"/>
    <w:rsid w:val="00CC2528"/>
    <w:rsid w:val="00CC37F3"/>
    <w:rsid w:val="00CC4A3A"/>
    <w:rsid w:val="00CF551F"/>
    <w:rsid w:val="00CF7CFE"/>
    <w:rsid w:val="00D0070C"/>
    <w:rsid w:val="00D0192A"/>
    <w:rsid w:val="00D16175"/>
    <w:rsid w:val="00D27648"/>
    <w:rsid w:val="00D33092"/>
    <w:rsid w:val="00D378EE"/>
    <w:rsid w:val="00D47D7B"/>
    <w:rsid w:val="00D537C9"/>
    <w:rsid w:val="00D61ABB"/>
    <w:rsid w:val="00D62F84"/>
    <w:rsid w:val="00D6724E"/>
    <w:rsid w:val="00D77554"/>
    <w:rsid w:val="00D86624"/>
    <w:rsid w:val="00DA23F7"/>
    <w:rsid w:val="00DA503D"/>
    <w:rsid w:val="00DA5791"/>
    <w:rsid w:val="00DA6207"/>
    <w:rsid w:val="00DC1304"/>
    <w:rsid w:val="00DF08C9"/>
    <w:rsid w:val="00DF4F25"/>
    <w:rsid w:val="00E108C9"/>
    <w:rsid w:val="00E21E3B"/>
    <w:rsid w:val="00E26E7E"/>
    <w:rsid w:val="00E274A9"/>
    <w:rsid w:val="00E3358C"/>
    <w:rsid w:val="00E35986"/>
    <w:rsid w:val="00E65A8A"/>
    <w:rsid w:val="00E706E2"/>
    <w:rsid w:val="00E978E9"/>
    <w:rsid w:val="00EA285E"/>
    <w:rsid w:val="00EB3C93"/>
    <w:rsid w:val="00EB4C48"/>
    <w:rsid w:val="00ED3C22"/>
    <w:rsid w:val="00F06483"/>
    <w:rsid w:val="00F2247A"/>
    <w:rsid w:val="00F716AF"/>
    <w:rsid w:val="00FA19A6"/>
    <w:rsid w:val="00FA571E"/>
    <w:rsid w:val="00FC5975"/>
    <w:rsid w:val="00FE70BC"/>
    <w:rsid w:val="00FF5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DE41D3D"/>
  <w15:docId w15:val="{E989A25D-F0D1-42F2-9D1D-2EDF04B6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E26"/>
    <w:rPr>
      <w:color w:val="0000FF" w:themeColor="hyperlink"/>
      <w:u w:val="single"/>
    </w:rPr>
  </w:style>
  <w:style w:type="paragraph" w:styleId="ListParagraph">
    <w:name w:val="List Paragraph"/>
    <w:basedOn w:val="Normal"/>
    <w:uiPriority w:val="34"/>
    <w:qFormat/>
    <w:rsid w:val="005E662F"/>
    <w:pPr>
      <w:ind w:left="720"/>
      <w:contextualSpacing/>
    </w:pPr>
  </w:style>
  <w:style w:type="paragraph" w:styleId="Header">
    <w:name w:val="header"/>
    <w:basedOn w:val="Normal"/>
    <w:link w:val="HeaderChar"/>
    <w:uiPriority w:val="99"/>
    <w:unhideWhenUsed/>
    <w:rsid w:val="00E359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986"/>
  </w:style>
  <w:style w:type="paragraph" w:styleId="Footer">
    <w:name w:val="footer"/>
    <w:basedOn w:val="Normal"/>
    <w:link w:val="FooterChar"/>
    <w:uiPriority w:val="99"/>
    <w:unhideWhenUsed/>
    <w:rsid w:val="00E359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986"/>
  </w:style>
  <w:style w:type="table" w:styleId="TableGrid">
    <w:name w:val="Table Grid"/>
    <w:basedOn w:val="TableNormal"/>
    <w:uiPriority w:val="59"/>
    <w:rsid w:val="005B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7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109"/>
    <w:rPr>
      <w:rFonts w:ascii="Tahoma" w:hAnsi="Tahoma" w:cs="Tahoma"/>
      <w:sz w:val="16"/>
      <w:szCs w:val="16"/>
    </w:rPr>
  </w:style>
  <w:style w:type="table" w:customStyle="1" w:styleId="TableGrid1">
    <w:name w:val="Table Grid1"/>
    <w:basedOn w:val="TableNormal"/>
    <w:next w:val="TableGrid"/>
    <w:uiPriority w:val="59"/>
    <w:rsid w:val="00356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175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752E"/>
    <w:rPr>
      <w:rFonts w:asciiTheme="majorHAnsi" w:eastAsiaTheme="majorEastAsia" w:hAnsiTheme="majorHAnsi" w:cstheme="majorBidi"/>
      <w:color w:val="17365D" w:themeColor="text2" w:themeShade="BF"/>
      <w:spacing w:val="5"/>
      <w:kern w:val="28"/>
      <w:sz w:val="52"/>
      <w:szCs w:val="52"/>
    </w:rPr>
  </w:style>
  <w:style w:type="table" w:customStyle="1" w:styleId="TableGrid2">
    <w:name w:val="Table Grid2"/>
    <w:basedOn w:val="TableNormal"/>
    <w:next w:val="TableGrid"/>
    <w:uiPriority w:val="59"/>
    <w:rsid w:val="000D1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D1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D1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B6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53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53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62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84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E0C37"/>
    <w:rPr>
      <w:color w:val="800080" w:themeColor="followedHyperlink"/>
      <w:u w:val="single"/>
    </w:rPr>
  </w:style>
  <w:style w:type="paragraph" w:styleId="NoSpacing">
    <w:name w:val="No Spacing"/>
    <w:uiPriority w:val="1"/>
    <w:qFormat/>
    <w:rsid w:val="00B90683"/>
    <w:pPr>
      <w:spacing w:after="0" w:line="240" w:lineRule="auto"/>
    </w:pPr>
  </w:style>
  <w:style w:type="character" w:styleId="UnresolvedMention">
    <w:name w:val="Unresolved Mention"/>
    <w:basedOn w:val="DefaultParagraphFont"/>
    <w:uiPriority w:val="99"/>
    <w:semiHidden/>
    <w:unhideWhenUsed/>
    <w:rsid w:val="00BB6D6C"/>
    <w:rPr>
      <w:color w:val="605E5C"/>
      <w:shd w:val="clear" w:color="auto" w:fill="E1DFDD"/>
    </w:rPr>
  </w:style>
  <w:style w:type="paragraph" w:styleId="NormalWeb">
    <w:name w:val="Normal (Web)"/>
    <w:basedOn w:val="Normal"/>
    <w:uiPriority w:val="99"/>
    <w:semiHidden/>
    <w:unhideWhenUsed/>
    <w:rsid w:val="008F1BD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944584">
      <w:bodyDiv w:val="1"/>
      <w:marLeft w:val="0"/>
      <w:marRight w:val="0"/>
      <w:marTop w:val="0"/>
      <w:marBottom w:val="0"/>
      <w:divBdr>
        <w:top w:val="none" w:sz="0" w:space="0" w:color="auto"/>
        <w:left w:val="none" w:sz="0" w:space="0" w:color="auto"/>
        <w:bottom w:val="none" w:sz="0" w:space="0" w:color="auto"/>
        <w:right w:val="none" w:sz="0" w:space="0" w:color="auto"/>
      </w:divBdr>
      <w:divsChild>
        <w:div w:id="511839948">
          <w:marLeft w:val="547"/>
          <w:marRight w:val="0"/>
          <w:marTop w:val="77"/>
          <w:marBottom w:val="0"/>
          <w:divBdr>
            <w:top w:val="none" w:sz="0" w:space="0" w:color="auto"/>
            <w:left w:val="none" w:sz="0" w:space="0" w:color="auto"/>
            <w:bottom w:val="none" w:sz="0" w:space="0" w:color="auto"/>
            <w:right w:val="none" w:sz="0" w:space="0" w:color="auto"/>
          </w:divBdr>
        </w:div>
      </w:divsChild>
    </w:div>
    <w:div w:id="1041980748">
      <w:bodyDiv w:val="1"/>
      <w:marLeft w:val="0"/>
      <w:marRight w:val="0"/>
      <w:marTop w:val="0"/>
      <w:marBottom w:val="0"/>
      <w:divBdr>
        <w:top w:val="none" w:sz="0" w:space="0" w:color="auto"/>
        <w:left w:val="none" w:sz="0" w:space="0" w:color="auto"/>
        <w:bottom w:val="none" w:sz="0" w:space="0" w:color="auto"/>
        <w:right w:val="none" w:sz="0" w:space="0" w:color="auto"/>
      </w:divBdr>
      <w:divsChild>
        <w:div w:id="904996253">
          <w:marLeft w:val="547"/>
          <w:marRight w:val="0"/>
          <w:marTop w:val="77"/>
          <w:marBottom w:val="0"/>
          <w:divBdr>
            <w:top w:val="none" w:sz="0" w:space="0" w:color="auto"/>
            <w:left w:val="none" w:sz="0" w:space="0" w:color="auto"/>
            <w:bottom w:val="none" w:sz="0" w:space="0" w:color="auto"/>
            <w:right w:val="none" w:sz="0" w:space="0" w:color="auto"/>
          </w:divBdr>
        </w:div>
        <w:div w:id="1972665751">
          <w:marLeft w:val="547"/>
          <w:marRight w:val="0"/>
          <w:marTop w:val="77"/>
          <w:marBottom w:val="0"/>
          <w:divBdr>
            <w:top w:val="none" w:sz="0" w:space="0" w:color="auto"/>
            <w:left w:val="none" w:sz="0" w:space="0" w:color="auto"/>
            <w:bottom w:val="none" w:sz="0" w:space="0" w:color="auto"/>
            <w:right w:val="none" w:sz="0" w:space="0" w:color="auto"/>
          </w:divBdr>
        </w:div>
      </w:divsChild>
    </w:div>
    <w:div w:id="1396665042">
      <w:bodyDiv w:val="1"/>
      <w:marLeft w:val="0"/>
      <w:marRight w:val="0"/>
      <w:marTop w:val="0"/>
      <w:marBottom w:val="0"/>
      <w:divBdr>
        <w:top w:val="none" w:sz="0" w:space="0" w:color="auto"/>
        <w:left w:val="none" w:sz="0" w:space="0" w:color="auto"/>
        <w:bottom w:val="none" w:sz="0" w:space="0" w:color="auto"/>
        <w:right w:val="none" w:sz="0" w:space="0" w:color="auto"/>
      </w:divBdr>
      <w:divsChild>
        <w:div w:id="1800873743">
          <w:marLeft w:val="446"/>
          <w:marRight w:val="0"/>
          <w:marTop w:val="0"/>
          <w:marBottom w:val="0"/>
          <w:divBdr>
            <w:top w:val="none" w:sz="0" w:space="0" w:color="auto"/>
            <w:left w:val="none" w:sz="0" w:space="0" w:color="auto"/>
            <w:bottom w:val="none" w:sz="0" w:space="0" w:color="auto"/>
            <w:right w:val="none" w:sz="0" w:space="0" w:color="auto"/>
          </w:divBdr>
        </w:div>
        <w:div w:id="516624992">
          <w:marLeft w:val="446"/>
          <w:marRight w:val="0"/>
          <w:marTop w:val="0"/>
          <w:marBottom w:val="0"/>
          <w:divBdr>
            <w:top w:val="none" w:sz="0" w:space="0" w:color="auto"/>
            <w:left w:val="none" w:sz="0" w:space="0" w:color="auto"/>
            <w:bottom w:val="none" w:sz="0" w:space="0" w:color="auto"/>
            <w:right w:val="none" w:sz="0" w:space="0" w:color="auto"/>
          </w:divBdr>
        </w:div>
        <w:div w:id="179242960">
          <w:marLeft w:val="446"/>
          <w:marRight w:val="0"/>
          <w:marTop w:val="0"/>
          <w:marBottom w:val="0"/>
          <w:divBdr>
            <w:top w:val="none" w:sz="0" w:space="0" w:color="auto"/>
            <w:left w:val="none" w:sz="0" w:space="0" w:color="auto"/>
            <w:bottom w:val="none" w:sz="0" w:space="0" w:color="auto"/>
            <w:right w:val="none" w:sz="0" w:space="0" w:color="auto"/>
          </w:divBdr>
        </w:div>
        <w:div w:id="1614895458">
          <w:marLeft w:val="446"/>
          <w:marRight w:val="0"/>
          <w:marTop w:val="0"/>
          <w:marBottom w:val="0"/>
          <w:divBdr>
            <w:top w:val="none" w:sz="0" w:space="0" w:color="auto"/>
            <w:left w:val="none" w:sz="0" w:space="0" w:color="auto"/>
            <w:bottom w:val="none" w:sz="0" w:space="0" w:color="auto"/>
            <w:right w:val="none" w:sz="0" w:space="0" w:color="auto"/>
          </w:divBdr>
        </w:div>
        <w:div w:id="1389764643">
          <w:marLeft w:val="446"/>
          <w:marRight w:val="0"/>
          <w:marTop w:val="0"/>
          <w:marBottom w:val="0"/>
          <w:divBdr>
            <w:top w:val="none" w:sz="0" w:space="0" w:color="auto"/>
            <w:left w:val="none" w:sz="0" w:space="0" w:color="auto"/>
            <w:bottom w:val="none" w:sz="0" w:space="0" w:color="auto"/>
            <w:right w:val="none" w:sz="0" w:space="0" w:color="auto"/>
          </w:divBdr>
        </w:div>
        <w:div w:id="308900791">
          <w:marLeft w:val="446"/>
          <w:marRight w:val="0"/>
          <w:marTop w:val="0"/>
          <w:marBottom w:val="0"/>
          <w:divBdr>
            <w:top w:val="none" w:sz="0" w:space="0" w:color="auto"/>
            <w:left w:val="none" w:sz="0" w:space="0" w:color="auto"/>
            <w:bottom w:val="none" w:sz="0" w:space="0" w:color="auto"/>
            <w:right w:val="none" w:sz="0" w:space="0" w:color="auto"/>
          </w:divBdr>
        </w:div>
      </w:divsChild>
    </w:div>
    <w:div w:id="1820072417">
      <w:bodyDiv w:val="1"/>
      <w:marLeft w:val="0"/>
      <w:marRight w:val="0"/>
      <w:marTop w:val="0"/>
      <w:marBottom w:val="0"/>
      <w:divBdr>
        <w:top w:val="none" w:sz="0" w:space="0" w:color="auto"/>
        <w:left w:val="none" w:sz="0" w:space="0" w:color="auto"/>
        <w:bottom w:val="none" w:sz="0" w:space="0" w:color="auto"/>
        <w:right w:val="none" w:sz="0" w:space="0" w:color="auto"/>
      </w:divBdr>
      <w:divsChild>
        <w:div w:id="516962339">
          <w:marLeft w:val="547"/>
          <w:marRight w:val="0"/>
          <w:marTop w:val="77"/>
          <w:marBottom w:val="0"/>
          <w:divBdr>
            <w:top w:val="none" w:sz="0" w:space="0" w:color="auto"/>
            <w:left w:val="none" w:sz="0" w:space="0" w:color="auto"/>
            <w:bottom w:val="none" w:sz="0" w:space="0" w:color="auto"/>
            <w:right w:val="none" w:sz="0" w:space="0" w:color="auto"/>
          </w:divBdr>
        </w:div>
        <w:div w:id="177232698">
          <w:marLeft w:val="547"/>
          <w:marRight w:val="0"/>
          <w:marTop w:val="77"/>
          <w:marBottom w:val="0"/>
          <w:divBdr>
            <w:top w:val="none" w:sz="0" w:space="0" w:color="auto"/>
            <w:left w:val="none" w:sz="0" w:space="0" w:color="auto"/>
            <w:bottom w:val="none" w:sz="0" w:space="0" w:color="auto"/>
            <w:right w:val="none" w:sz="0" w:space="0" w:color="auto"/>
          </w:divBdr>
        </w:div>
      </w:divsChild>
    </w:div>
    <w:div w:id="1924298176">
      <w:bodyDiv w:val="1"/>
      <w:marLeft w:val="0"/>
      <w:marRight w:val="0"/>
      <w:marTop w:val="0"/>
      <w:marBottom w:val="0"/>
      <w:divBdr>
        <w:top w:val="none" w:sz="0" w:space="0" w:color="auto"/>
        <w:left w:val="none" w:sz="0" w:space="0" w:color="auto"/>
        <w:bottom w:val="none" w:sz="0" w:space="0" w:color="auto"/>
        <w:right w:val="none" w:sz="0" w:space="0" w:color="auto"/>
      </w:divBdr>
    </w:div>
    <w:div w:id="194708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s@birkenheadparkschool.com" TargetMode="External"/><Relationship Id="rId18" Type="http://schemas.openxmlformats.org/officeDocument/2006/relationships/hyperlink" Target="http://www.wired.me.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tbpsfs02a\slt$\Headteacher\The%20Birkenhead%20Park%20School\BPS%20Governing%20Body\Policies\mcm@birkenheadparkschool.com" TargetMode="External"/><Relationship Id="rId17" Type="http://schemas.openxmlformats.org/officeDocument/2006/relationships/hyperlink" Target="http://www.localofferwirral.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uploads/system/uploads/attachment_data/file/398815/SEND_Code_of_Practice_January_2015.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k@birkenheadparkschool.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jar@birkenheadparkschool.com" TargetMode="External"/><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jdi@birkenheadparkschool.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9E344-0F5F-4E31-893A-5FC5CD5FB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1962</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Lyndsey Weekes</dc:creator>
  <cp:lastModifiedBy>Caroline Gardner</cp:lastModifiedBy>
  <cp:revision>4</cp:revision>
  <cp:lastPrinted>2017-05-11T11:16:00Z</cp:lastPrinted>
  <dcterms:created xsi:type="dcterms:W3CDTF">2025-09-11T13:55:00Z</dcterms:created>
  <dcterms:modified xsi:type="dcterms:W3CDTF">2025-09-23T12:02:00Z</dcterms:modified>
</cp:coreProperties>
</file>