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C9BF45C" w:rsidP="5C9BF45C" w:rsidRDefault="5C9BF45C" w14:paraId="2F392608" w14:textId="062BE074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405FB1" w:rsidR="00405FB1" w:rsidP="5C9BF45C" w:rsidRDefault="00405FB1" w14:paraId="333A3E9E" w14:textId="77777777">
      <w:pPr>
        <w:rPr>
          <w:rFonts w:ascii="Arial" w:hAnsi="Arial" w:eastAsia="Arial" w:cs="Arial"/>
          <w:b w:val="1"/>
          <w:bCs w:val="1"/>
          <w:sz w:val="48"/>
          <w:szCs w:val="48"/>
        </w:rPr>
      </w:pPr>
      <w:r w:rsidRPr="5C9BF45C" w:rsidR="4F84579E">
        <w:rPr>
          <w:rFonts w:ascii="Arial" w:hAnsi="Arial" w:eastAsia="Arial" w:cs="Arial"/>
          <w:b w:val="1"/>
          <w:bCs w:val="1"/>
          <w:sz w:val="48"/>
          <w:szCs w:val="48"/>
        </w:rPr>
        <w:t>Blackpool Skills Academy – PSHE &amp; SMSC Policy</w:t>
      </w:r>
    </w:p>
    <w:p w:rsidR="09082A7D" w:rsidP="5C9BF45C" w:rsidRDefault="09082A7D" w14:paraId="6FE8EB2C" w14:textId="33B1B82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C9BF45C" w:rsidR="09082A7D">
        <w:rPr>
          <w:rFonts w:ascii="Arial" w:hAnsi="Arial" w:eastAsia="Arial" w:cs="Arial"/>
          <w:noProof w:val="0"/>
          <w:sz w:val="24"/>
          <w:szCs w:val="24"/>
          <w:lang w:val="en-GB"/>
        </w:rPr>
        <w:t>Author and Responsible Manager: Headteacher</w:t>
      </w:r>
    </w:p>
    <w:p w:rsidR="09082A7D" w:rsidP="5C9BF45C" w:rsidRDefault="09082A7D" w14:paraId="42C0BEC1" w14:textId="37983A8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C9BF45C" w:rsidR="09082A7D">
        <w:rPr>
          <w:rFonts w:ascii="Arial" w:hAnsi="Arial" w:eastAsia="Arial" w:cs="Arial"/>
          <w:noProof w:val="0"/>
          <w:sz w:val="24"/>
          <w:szCs w:val="24"/>
          <w:lang w:val="en-GB"/>
        </w:rPr>
        <w:t>Manual ID Number: BSA066</w:t>
      </w:r>
    </w:p>
    <w:p w:rsidR="09082A7D" w:rsidP="5C9BF45C" w:rsidRDefault="09082A7D" w14:paraId="5FAADAEF" w14:textId="0DF75AE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C9BF45C" w:rsidR="09082A7D">
        <w:rPr>
          <w:rFonts w:ascii="Arial" w:hAnsi="Arial" w:eastAsia="Arial" w:cs="Arial"/>
          <w:noProof w:val="0"/>
          <w:sz w:val="24"/>
          <w:szCs w:val="24"/>
          <w:lang w:val="en-GB"/>
        </w:rPr>
        <w:t>Version No: 1</w:t>
      </w:r>
    </w:p>
    <w:p w:rsidR="09082A7D" w:rsidP="5C9BF45C" w:rsidRDefault="09082A7D" w14:paraId="7A1E88BB" w14:textId="1E862C19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C9BF45C" w:rsidR="09082A7D">
        <w:rPr>
          <w:rFonts w:ascii="Arial" w:hAnsi="Arial" w:eastAsia="Arial" w:cs="Arial"/>
          <w:noProof w:val="0"/>
          <w:sz w:val="24"/>
          <w:szCs w:val="24"/>
          <w:lang w:val="en-GB"/>
        </w:rPr>
        <w:t>Date Approved: 19/08/2024</w:t>
      </w:r>
    </w:p>
    <w:p w:rsidR="09082A7D" w:rsidP="5C9BF45C" w:rsidRDefault="09082A7D" w14:paraId="617BC215" w14:textId="350FECF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C9BF45C" w:rsidR="09082A7D">
        <w:rPr>
          <w:rFonts w:ascii="Arial" w:hAnsi="Arial" w:eastAsia="Arial" w:cs="Arial"/>
          <w:noProof w:val="0"/>
          <w:sz w:val="24"/>
          <w:szCs w:val="24"/>
          <w:lang w:val="en-GB"/>
        </w:rPr>
        <w:t>Next Review Due: 19/08/2026</w:t>
      </w:r>
    </w:p>
    <w:p w:rsidR="09082A7D" w:rsidP="5C9BF45C" w:rsidRDefault="09082A7D" w14:paraId="5E61F7F1" w14:textId="66D02AD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C9BF45C" w:rsidR="09082A7D">
        <w:rPr>
          <w:rFonts w:ascii="Arial" w:hAnsi="Arial" w:eastAsia="Arial" w:cs="Arial"/>
          <w:noProof w:val="0"/>
          <w:sz w:val="24"/>
          <w:szCs w:val="24"/>
          <w:lang w:val="en-GB"/>
        </w:rPr>
        <w:t>Approved By: Headteacher</w:t>
      </w:r>
    </w:p>
    <w:p w:rsidR="09082A7D" w:rsidP="5C9BF45C" w:rsidRDefault="09082A7D" w14:paraId="391ACA19" w14:textId="765E3F4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C9BF45C" w:rsidR="09082A7D">
        <w:rPr>
          <w:rFonts w:ascii="Arial" w:hAnsi="Arial" w:eastAsia="Arial" w:cs="Arial"/>
          <w:noProof w:val="0"/>
          <w:sz w:val="24"/>
          <w:szCs w:val="24"/>
          <w:lang w:val="en-GB"/>
        </w:rPr>
        <w:t>Applicable to: Staff and Students</w:t>
      </w:r>
    </w:p>
    <w:p w:rsidR="09082A7D" w:rsidP="5C9BF45C" w:rsidRDefault="09082A7D" w14:paraId="54DC62D1" w14:textId="2A00162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C9BF45C" w:rsidR="09082A7D">
        <w:rPr>
          <w:rFonts w:ascii="Arial" w:hAnsi="Arial" w:eastAsia="Arial" w:cs="Arial"/>
          <w:noProof w:val="0"/>
          <w:sz w:val="24"/>
          <w:szCs w:val="24"/>
          <w:lang w:val="en-GB"/>
        </w:rPr>
        <w:t>Publication: Staff SharePoint and Website</w:t>
      </w:r>
    </w:p>
    <w:p w:rsidR="5C9BF45C" w:rsidP="5C9BF45C" w:rsidRDefault="5C9BF45C" w14:paraId="592C8E04" w14:textId="185A0456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405FB1" w:rsidR="00405FB1" w:rsidP="5C9BF45C" w:rsidRDefault="00405FB1" w14:paraId="5C80FB07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1. Policy Statement</w:t>
      </w:r>
    </w:p>
    <w:p w:rsidRPr="00405FB1" w:rsidR="00405FB1" w:rsidP="5C9BF45C" w:rsidRDefault="00405FB1" w14:paraId="5B2B2E42" w14:textId="07D208CF">
      <w:p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At Blackpool Skills Academy, we are committed to developing well-rounded, confident, and responsible young people. Our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 xml:space="preserve">Personal, Social,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Health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 xml:space="preserve"> and Economic Education (PSHE)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and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Spiritual, Moral, Social and Cultural (SMSC)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curriculum </w:t>
      </w:r>
      <w:r w:rsidRPr="5C9BF45C" w:rsidR="575A1243">
        <w:rPr>
          <w:rFonts w:ascii="Arial" w:hAnsi="Arial" w:eastAsia="Arial" w:cs="Arial"/>
          <w:sz w:val="24"/>
          <w:szCs w:val="24"/>
        </w:rPr>
        <w:t>support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learners’ personal development, wellbeing, and preparation for life beyond education.</w:t>
      </w:r>
    </w:p>
    <w:p w:rsidRPr="00405FB1" w:rsidR="00405FB1" w:rsidP="5C9BF45C" w:rsidRDefault="00405FB1" w14:paraId="229A7757" w14:textId="77777777">
      <w:p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Through a carefully structured and responsive approach, we empower our learners to make informed decisions, understand their rights and responsibilities, respect others, and develop the resilience and skills </w:t>
      </w:r>
      <w:r w:rsidRPr="5C9BF45C" w:rsidR="4F84579E">
        <w:rPr>
          <w:rFonts w:ascii="Arial" w:hAnsi="Arial" w:eastAsia="Arial" w:cs="Arial"/>
          <w:sz w:val="24"/>
          <w:szCs w:val="24"/>
        </w:rPr>
        <w:t>required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for successful, independent adult life.</w:t>
      </w:r>
    </w:p>
    <w:p w:rsidRPr="00405FB1" w:rsidR="00405FB1" w:rsidP="5C9BF45C" w:rsidRDefault="00405FB1" w14:paraId="1AE10486" w14:textId="7F3F8694">
      <w:pPr>
        <w:rPr>
          <w:rFonts w:ascii="Arial" w:hAnsi="Arial" w:eastAsia="Arial" w:cs="Arial"/>
          <w:sz w:val="24"/>
          <w:szCs w:val="24"/>
        </w:rPr>
      </w:pPr>
    </w:p>
    <w:p w:rsidRPr="00405FB1" w:rsidR="00405FB1" w:rsidP="5C9BF45C" w:rsidRDefault="00405FB1" w14:paraId="457739D5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2. Aims</w:t>
      </w:r>
    </w:p>
    <w:p w:rsidRPr="00405FB1" w:rsidR="00405FB1" w:rsidP="5C9BF45C" w:rsidRDefault="00405FB1" w14:paraId="09F28037" w14:textId="77777777">
      <w:p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The PSHE and SMSC provision at Blackpool Skills Academy aims to:</w:t>
      </w:r>
    </w:p>
    <w:p w:rsidRPr="00405FB1" w:rsidR="00405FB1" w:rsidP="5C9BF45C" w:rsidRDefault="00405FB1" w14:paraId="372D7DAC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Equip learners with the knowledge, skills, and attributes they need to manage their lives now and in the future.</w:t>
      </w:r>
    </w:p>
    <w:p w:rsidRPr="00405FB1" w:rsidR="00405FB1" w:rsidP="5C9BF45C" w:rsidRDefault="00405FB1" w14:paraId="673AF218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Support learners in making safe and healthy choices </w:t>
      </w:r>
      <w:r w:rsidRPr="5C9BF45C" w:rsidR="4F84579E">
        <w:rPr>
          <w:rFonts w:ascii="Arial" w:hAnsi="Arial" w:eastAsia="Arial" w:cs="Arial"/>
          <w:sz w:val="24"/>
          <w:szCs w:val="24"/>
        </w:rPr>
        <w:t>regarding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relationships, physical and mental health, online safety, and lifestyle.</w:t>
      </w:r>
    </w:p>
    <w:p w:rsidRPr="00405FB1" w:rsidR="00405FB1" w:rsidP="5C9BF45C" w:rsidRDefault="00405FB1" w14:paraId="5B666EEA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Develop learners’ understanding of fundamental British values, equality, and diversity.</w:t>
      </w:r>
    </w:p>
    <w:p w:rsidRPr="00405FB1" w:rsidR="00405FB1" w:rsidP="5C9BF45C" w:rsidRDefault="00405FB1" w14:paraId="03B9EBF1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Foster spiritual reflection, moral integrity, social confidence, and cultural awareness.</w:t>
      </w:r>
    </w:p>
    <w:p w:rsidRPr="00405FB1" w:rsidR="00405FB1" w:rsidP="5C9BF45C" w:rsidRDefault="00405FB1" w14:paraId="0E9D235E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Prepare learners for employment, further education, and adult responsibilities through practical life skills.</w:t>
      </w:r>
    </w:p>
    <w:p w:rsidRPr="00405FB1" w:rsidR="00405FB1" w:rsidP="5C9BF45C" w:rsidRDefault="00405FB1" w14:paraId="3D628412" w14:textId="431AC796">
      <w:pPr>
        <w:rPr>
          <w:rFonts w:ascii="Arial" w:hAnsi="Arial" w:eastAsia="Arial" w:cs="Arial"/>
          <w:sz w:val="24"/>
          <w:szCs w:val="24"/>
        </w:rPr>
      </w:pPr>
    </w:p>
    <w:p w:rsidRPr="00405FB1" w:rsidR="00405FB1" w:rsidP="5C9BF45C" w:rsidRDefault="00405FB1" w14:paraId="077185DA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3. Key Areas of Delivery</w:t>
      </w:r>
    </w:p>
    <w:p w:rsidRPr="00405FB1" w:rsidR="00405FB1" w:rsidP="5C9BF45C" w:rsidRDefault="00405FB1" w14:paraId="2928B179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PSHE Education includes:</w:t>
      </w:r>
    </w:p>
    <w:p w:rsidRPr="00405FB1" w:rsidR="00405FB1" w:rsidP="5C9BF45C" w:rsidRDefault="00405FB1" w14:paraId="192D280E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Health and Wellbeing: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Mental health, healthy lifestyles, substance misuse, personal safety (including online), sexual health, and physical wellbeing.</w:t>
      </w:r>
    </w:p>
    <w:p w:rsidRPr="00405FB1" w:rsidR="00405FB1" w:rsidP="5C9BF45C" w:rsidRDefault="00405FB1" w14:paraId="7466644B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Relationships and Sex Education (RSE):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Consent, respectful relationships, identity, family structures, and safeguarding.</w:t>
      </w:r>
    </w:p>
    <w:p w:rsidRPr="00405FB1" w:rsidR="00405FB1" w:rsidP="5C9BF45C" w:rsidRDefault="00405FB1" w14:paraId="17228ED4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Living in the Wider World: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Careers education, finance and budgeting, digital literacy, rights and responsibilities, and environmental sustainability.</w:t>
      </w:r>
    </w:p>
    <w:p w:rsidRPr="00405FB1" w:rsidR="00405FB1" w:rsidP="5C9BF45C" w:rsidRDefault="00405FB1" w14:paraId="23CE1EFA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SMSC Development includes:</w:t>
      </w:r>
    </w:p>
    <w:p w:rsidRPr="00405FB1" w:rsidR="00405FB1" w:rsidP="5C9BF45C" w:rsidRDefault="00405FB1" w14:paraId="35872CFF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Spiritual: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Exploring beliefs, faiths, identity, self-reflection, and creativity.</w:t>
      </w:r>
    </w:p>
    <w:p w:rsidRPr="00405FB1" w:rsidR="00405FB1" w:rsidP="5C9BF45C" w:rsidRDefault="00405FB1" w14:paraId="1DD5F3C0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Moral: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Understanding right and wrong, decision-making, law, and consequences.</w:t>
      </w:r>
    </w:p>
    <w:p w:rsidRPr="00405FB1" w:rsidR="00405FB1" w:rsidP="5C9BF45C" w:rsidRDefault="00405FB1" w14:paraId="33F4E0AC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Social: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</w:t>
      </w:r>
      <w:r w:rsidRPr="5C9BF45C" w:rsidR="4F84579E">
        <w:rPr>
          <w:rFonts w:ascii="Arial" w:hAnsi="Arial" w:eastAsia="Arial" w:cs="Arial"/>
          <w:sz w:val="24"/>
          <w:szCs w:val="24"/>
        </w:rPr>
        <w:t>Participating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in group work, respecting others, active citizenship, and teamwork.</w:t>
      </w:r>
    </w:p>
    <w:p w:rsidRPr="00405FB1" w:rsidR="00405FB1" w:rsidP="5C9BF45C" w:rsidRDefault="00405FB1" w14:paraId="545BEABE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Cultural: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Valuing diversity, exploring cultural heritage, global awareness, and engagement with different communities.</w:t>
      </w:r>
    </w:p>
    <w:p w:rsidRPr="00405FB1" w:rsidR="00405FB1" w:rsidP="5C9BF45C" w:rsidRDefault="00405FB1" w14:paraId="65496711" w14:textId="7567AE04">
      <w:pPr>
        <w:rPr>
          <w:rFonts w:ascii="Arial" w:hAnsi="Arial" w:eastAsia="Arial" w:cs="Arial"/>
          <w:sz w:val="24"/>
          <w:szCs w:val="24"/>
        </w:rPr>
      </w:pPr>
    </w:p>
    <w:p w:rsidRPr="00405FB1" w:rsidR="00405FB1" w:rsidP="5C9BF45C" w:rsidRDefault="00405FB1" w14:paraId="4C03F488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4. Delivery and Implementation</w:t>
      </w:r>
    </w:p>
    <w:p w:rsidRPr="00405FB1" w:rsidR="00405FB1" w:rsidP="5C9BF45C" w:rsidRDefault="00405FB1" w14:paraId="4EC8DAD3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PSHE is taught through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weekly sessions</w:t>
      </w:r>
      <w:r w:rsidRPr="5C9BF45C" w:rsidR="4F84579E">
        <w:rPr>
          <w:rFonts w:ascii="Arial" w:hAnsi="Arial" w:eastAsia="Arial" w:cs="Arial"/>
          <w:sz w:val="24"/>
          <w:szCs w:val="24"/>
        </w:rPr>
        <w:t>, form time activities, workshops, and whole-school theme days.</w:t>
      </w:r>
    </w:p>
    <w:p w:rsidRPr="00405FB1" w:rsidR="00405FB1" w:rsidP="5C9BF45C" w:rsidRDefault="00405FB1" w14:paraId="0A7FAD31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SMSC is embedded throughout the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wider curriculum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, school ethos, assemblies, enrichment activities, and through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learner voice opportunities</w:t>
      </w:r>
      <w:r w:rsidRPr="5C9BF45C" w:rsidR="4F84579E">
        <w:rPr>
          <w:rFonts w:ascii="Arial" w:hAnsi="Arial" w:eastAsia="Arial" w:cs="Arial"/>
          <w:sz w:val="24"/>
          <w:szCs w:val="24"/>
        </w:rPr>
        <w:t>.</w:t>
      </w:r>
    </w:p>
    <w:p w:rsidRPr="00405FB1" w:rsidR="00405FB1" w:rsidP="5C9BF45C" w:rsidRDefault="00405FB1" w14:paraId="5F23F0CA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Topics are delivered in a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safe and inclusive environment</w:t>
      </w:r>
      <w:r w:rsidRPr="5C9BF45C" w:rsidR="4F84579E">
        <w:rPr>
          <w:rFonts w:ascii="Arial" w:hAnsi="Arial" w:eastAsia="Arial" w:cs="Arial"/>
          <w:sz w:val="24"/>
          <w:szCs w:val="24"/>
        </w:rPr>
        <w:t>, allowing learners to explore sensitive issues with support and guidance.</w:t>
      </w:r>
    </w:p>
    <w:p w:rsidRPr="00405FB1" w:rsidR="00405FB1" w:rsidP="5C9BF45C" w:rsidRDefault="00405FB1" w14:paraId="00D953DF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The curriculum is adapted to meet the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needs of individual learners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, </w:t>
      </w:r>
      <w:r w:rsidRPr="5C9BF45C" w:rsidR="4F84579E">
        <w:rPr>
          <w:rFonts w:ascii="Arial" w:hAnsi="Arial" w:eastAsia="Arial" w:cs="Arial"/>
          <w:sz w:val="24"/>
          <w:szCs w:val="24"/>
        </w:rPr>
        <w:t>taking into account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SEND, prior knowledge, and personal circumstances.</w:t>
      </w:r>
    </w:p>
    <w:p w:rsidRPr="00405FB1" w:rsidR="00405FB1" w:rsidP="5C9BF45C" w:rsidRDefault="00405FB1" w14:paraId="2C73475D" w14:textId="258BB834">
      <w:pPr>
        <w:rPr>
          <w:rFonts w:ascii="Arial" w:hAnsi="Arial" w:eastAsia="Arial" w:cs="Arial"/>
          <w:sz w:val="24"/>
          <w:szCs w:val="24"/>
        </w:rPr>
      </w:pPr>
    </w:p>
    <w:p w:rsidRPr="00405FB1" w:rsidR="00405FB1" w:rsidP="5C9BF45C" w:rsidRDefault="00405FB1" w14:paraId="5D857AD9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5. Careers and Life Skills Integration</w:t>
      </w:r>
    </w:p>
    <w:p w:rsidRPr="00405FB1" w:rsidR="00405FB1" w:rsidP="5C9BF45C" w:rsidRDefault="00405FB1" w14:paraId="64C6C7C9" w14:textId="6B2FE7BE">
      <w:p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As a </w:t>
      </w:r>
      <w:r w:rsidRPr="5C9BF45C" w:rsidR="4F84579E">
        <w:rPr>
          <w:rFonts w:ascii="Arial" w:hAnsi="Arial" w:eastAsia="Arial" w:cs="Arial"/>
          <w:sz w:val="24"/>
          <w:szCs w:val="24"/>
        </w:rPr>
        <w:t>vocationally focused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provision, Blackpool Skills Academy places high importance on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careers education and preparation for adulthood</w:t>
      </w:r>
      <w:r w:rsidRPr="5C9BF45C" w:rsidR="4F84579E">
        <w:rPr>
          <w:rFonts w:ascii="Arial" w:hAnsi="Arial" w:eastAsia="Arial" w:cs="Arial"/>
          <w:sz w:val="24"/>
          <w:szCs w:val="24"/>
        </w:rPr>
        <w:t>:</w:t>
      </w:r>
    </w:p>
    <w:p w:rsidRPr="00405FB1" w:rsidR="00405FB1" w:rsidP="5C9BF45C" w:rsidRDefault="00405FB1" w14:paraId="38EB5039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Learners explore different careers and training pathways through external speakers, workplace visits, and college links.</w:t>
      </w:r>
    </w:p>
    <w:p w:rsidRPr="00405FB1" w:rsidR="00405FB1" w:rsidP="5C9BF45C" w:rsidRDefault="00405FB1" w14:paraId="36716B41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Life skills such as CV writing, interview preparation, travel training, and budgeting are built into PSHE lessons.</w:t>
      </w:r>
    </w:p>
    <w:p w:rsidRPr="00405FB1" w:rsidR="00405FB1" w:rsidP="5C9BF45C" w:rsidRDefault="00405FB1" w14:paraId="382C8092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The Gatsby Benchmarks guide our careers and employability provision.</w:t>
      </w:r>
    </w:p>
    <w:p w:rsidRPr="00405FB1" w:rsidR="00405FB1" w:rsidP="5C9BF45C" w:rsidRDefault="00405FB1" w14:paraId="1E4D205B" w14:textId="27DA4E59">
      <w:pPr>
        <w:rPr>
          <w:rFonts w:ascii="Arial" w:hAnsi="Arial" w:eastAsia="Arial" w:cs="Arial"/>
          <w:sz w:val="24"/>
          <w:szCs w:val="24"/>
        </w:rPr>
      </w:pPr>
    </w:p>
    <w:p w:rsidRPr="00405FB1" w:rsidR="00405FB1" w:rsidP="5C9BF45C" w:rsidRDefault="00405FB1" w14:paraId="0FDF0932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6. Safeguarding and RSE</w:t>
      </w:r>
    </w:p>
    <w:p w:rsidRPr="00405FB1" w:rsidR="00405FB1" w:rsidP="5C9BF45C" w:rsidRDefault="00405FB1" w14:paraId="7A70773C" w14:textId="77777777">
      <w:p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Relationships and Sex Education (RSE) is a statutory part of the PSHE curriculum and is taught in a way that is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age-appropriate, inclusive, and aligned with our safeguarding responsibilities</w:t>
      </w:r>
      <w:r w:rsidRPr="5C9BF45C" w:rsidR="4F84579E">
        <w:rPr>
          <w:rFonts w:ascii="Arial" w:hAnsi="Arial" w:eastAsia="Arial" w:cs="Arial"/>
          <w:sz w:val="24"/>
          <w:szCs w:val="24"/>
        </w:rPr>
        <w:t>.</w:t>
      </w:r>
    </w:p>
    <w:p w:rsidRPr="00405FB1" w:rsidR="00405FB1" w:rsidP="5C9BF45C" w:rsidRDefault="00405FB1" w14:paraId="479B4237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Content is delivered in line with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DfE statutory guidance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and </w:t>
      </w:r>
      <w:r w:rsidRPr="5C9BF45C" w:rsidR="4F84579E">
        <w:rPr>
          <w:rFonts w:ascii="Arial" w:hAnsi="Arial" w:eastAsia="Arial" w:cs="Arial"/>
          <w:sz w:val="24"/>
          <w:szCs w:val="24"/>
        </w:rPr>
        <w:t>with regard to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the needs and wishes of learners and their families.</w:t>
      </w:r>
    </w:p>
    <w:p w:rsidRPr="00405FB1" w:rsidR="00405FB1" w:rsidP="5C9BF45C" w:rsidRDefault="00405FB1" w14:paraId="2A4816EB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Staff delivering RSE receive </w:t>
      </w:r>
      <w:r w:rsidRPr="5C9BF45C" w:rsidR="4F84579E">
        <w:rPr>
          <w:rFonts w:ascii="Arial" w:hAnsi="Arial" w:eastAsia="Arial" w:cs="Arial"/>
          <w:sz w:val="24"/>
          <w:szCs w:val="24"/>
        </w:rPr>
        <w:t>appropriate training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and support.</w:t>
      </w:r>
    </w:p>
    <w:p w:rsidRPr="00405FB1" w:rsidR="00405FB1" w:rsidP="5C9BF45C" w:rsidRDefault="00405FB1" w14:paraId="2AA3EE2B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Parents/carers are informed about the content of the curriculum and have the right to request withdrawal from elements of sex education, where </w:t>
      </w:r>
      <w:r w:rsidRPr="5C9BF45C" w:rsidR="4F84579E">
        <w:rPr>
          <w:rFonts w:ascii="Arial" w:hAnsi="Arial" w:eastAsia="Arial" w:cs="Arial"/>
          <w:sz w:val="24"/>
          <w:szCs w:val="24"/>
        </w:rPr>
        <w:t>appropriate</w:t>
      </w:r>
      <w:r w:rsidRPr="5C9BF45C" w:rsidR="4F84579E">
        <w:rPr>
          <w:rFonts w:ascii="Arial" w:hAnsi="Arial" w:eastAsia="Arial" w:cs="Arial"/>
          <w:sz w:val="24"/>
          <w:szCs w:val="24"/>
        </w:rPr>
        <w:t>.</w:t>
      </w:r>
    </w:p>
    <w:p w:rsidRPr="00405FB1" w:rsidR="00405FB1" w:rsidP="5C9BF45C" w:rsidRDefault="00405FB1" w14:paraId="6DF4B552" w14:textId="7CFC7C94">
      <w:pPr>
        <w:rPr>
          <w:rFonts w:ascii="Arial" w:hAnsi="Arial" w:eastAsia="Arial" w:cs="Arial"/>
          <w:sz w:val="24"/>
          <w:szCs w:val="24"/>
        </w:rPr>
      </w:pPr>
    </w:p>
    <w:p w:rsidRPr="00405FB1" w:rsidR="00405FB1" w:rsidP="5C9BF45C" w:rsidRDefault="00405FB1" w14:paraId="5FDCF27D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7. Monitoring and Assessment</w:t>
      </w:r>
    </w:p>
    <w:p w:rsidRPr="00405FB1" w:rsidR="00405FB1" w:rsidP="5C9BF45C" w:rsidRDefault="00405FB1" w14:paraId="3A4F8E3C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Learner progress in PSHE is </w:t>
      </w:r>
      <w:r w:rsidRPr="5C9BF45C" w:rsidR="4F84579E">
        <w:rPr>
          <w:rFonts w:ascii="Arial" w:hAnsi="Arial" w:eastAsia="Arial" w:cs="Arial"/>
          <w:sz w:val="24"/>
          <w:szCs w:val="24"/>
        </w:rPr>
        <w:t>monitored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through </w:t>
      </w: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engagement, discussion, reflective journals, and project work</w:t>
      </w:r>
      <w:r w:rsidRPr="5C9BF45C" w:rsidR="4F84579E">
        <w:rPr>
          <w:rFonts w:ascii="Arial" w:hAnsi="Arial" w:eastAsia="Arial" w:cs="Arial"/>
          <w:sz w:val="24"/>
          <w:szCs w:val="24"/>
        </w:rPr>
        <w:t>.</w:t>
      </w:r>
    </w:p>
    <w:p w:rsidRPr="00405FB1" w:rsidR="00405FB1" w:rsidP="5C9BF45C" w:rsidRDefault="00405FB1" w14:paraId="1910720F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SMSC impact is </w:t>
      </w:r>
      <w:r w:rsidRPr="5C9BF45C" w:rsidR="4F84579E">
        <w:rPr>
          <w:rFonts w:ascii="Arial" w:hAnsi="Arial" w:eastAsia="Arial" w:cs="Arial"/>
          <w:sz w:val="24"/>
          <w:szCs w:val="24"/>
        </w:rPr>
        <w:t>evidenced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through classroom observations, learner feedback, enrichment participation, and behaviour for learning.</w:t>
      </w:r>
    </w:p>
    <w:p w:rsidRPr="00405FB1" w:rsidR="00405FB1" w:rsidP="5C9BF45C" w:rsidRDefault="00405FB1" w14:paraId="26F47042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The curriculum is reviewed annually to ensure it </w:t>
      </w:r>
      <w:r w:rsidRPr="5C9BF45C" w:rsidR="4F84579E">
        <w:rPr>
          <w:rFonts w:ascii="Arial" w:hAnsi="Arial" w:eastAsia="Arial" w:cs="Arial"/>
          <w:sz w:val="24"/>
          <w:szCs w:val="24"/>
        </w:rPr>
        <w:t>remains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relevant, inclusive, and responsive to current issues.</w:t>
      </w:r>
    </w:p>
    <w:p w:rsidRPr="00405FB1" w:rsidR="00405FB1" w:rsidP="5C9BF45C" w:rsidRDefault="00405FB1" w14:paraId="0A836068" w14:textId="7D442835">
      <w:pPr>
        <w:rPr>
          <w:rFonts w:ascii="Arial" w:hAnsi="Arial" w:eastAsia="Arial" w:cs="Arial"/>
          <w:sz w:val="24"/>
          <w:szCs w:val="24"/>
        </w:rPr>
      </w:pPr>
    </w:p>
    <w:p w:rsidRPr="00405FB1" w:rsidR="00405FB1" w:rsidP="5C9BF45C" w:rsidRDefault="00405FB1" w14:paraId="6D1633BF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8. Roles and Responsibilities</w:t>
      </w:r>
    </w:p>
    <w:p w:rsidRPr="00405FB1" w:rsidR="00405FB1" w:rsidP="5C9BF45C" w:rsidRDefault="00405FB1" w14:paraId="07CC088C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Senior Leadership Team (SLT):</w:t>
      </w:r>
    </w:p>
    <w:p w:rsidRPr="00405FB1" w:rsidR="00405FB1" w:rsidP="5C9BF45C" w:rsidRDefault="00405FB1" w14:paraId="3970948A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 xml:space="preserve">Oversee the strategic direction and </w:t>
      </w:r>
      <w:r w:rsidRPr="5C9BF45C" w:rsidR="4F84579E">
        <w:rPr>
          <w:rFonts w:ascii="Arial" w:hAnsi="Arial" w:eastAsia="Arial" w:cs="Arial"/>
          <w:sz w:val="24"/>
          <w:szCs w:val="24"/>
        </w:rPr>
        <w:t>impact</w:t>
      </w:r>
      <w:r w:rsidRPr="5C9BF45C" w:rsidR="4F84579E">
        <w:rPr>
          <w:rFonts w:ascii="Arial" w:hAnsi="Arial" w:eastAsia="Arial" w:cs="Arial"/>
          <w:sz w:val="24"/>
          <w:szCs w:val="24"/>
        </w:rPr>
        <w:t xml:space="preserve"> of the PSHE and SMSC provision.</w:t>
      </w:r>
    </w:p>
    <w:p w:rsidRPr="00405FB1" w:rsidR="00405FB1" w:rsidP="5C9BF45C" w:rsidRDefault="00405FB1" w14:paraId="2EFF3605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Ensure compliance with statutory responsibilities.</w:t>
      </w:r>
    </w:p>
    <w:p w:rsidRPr="00405FB1" w:rsidR="00405FB1" w:rsidP="5C9BF45C" w:rsidRDefault="00405FB1" w14:paraId="0FC82706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PSHE/SMSC Coordinator:</w:t>
      </w:r>
    </w:p>
    <w:p w:rsidRPr="00405FB1" w:rsidR="00405FB1" w:rsidP="5C9BF45C" w:rsidRDefault="00405FB1" w14:paraId="0C8DD66B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Design, plan, and review the curriculum.</w:t>
      </w:r>
    </w:p>
    <w:p w:rsidRPr="00405FB1" w:rsidR="00405FB1" w:rsidP="5C9BF45C" w:rsidRDefault="00405FB1" w14:paraId="3867740E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Support staff with resources, training, and guidance.</w:t>
      </w:r>
    </w:p>
    <w:p w:rsidRPr="00405FB1" w:rsidR="00405FB1" w:rsidP="5C9BF45C" w:rsidRDefault="00405FB1" w14:paraId="73DC04DD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C9BF45C" w:rsidR="4F84579E">
        <w:rPr>
          <w:rFonts w:ascii="Arial" w:hAnsi="Arial" w:eastAsia="Arial" w:cs="Arial"/>
          <w:b w:val="1"/>
          <w:bCs w:val="1"/>
          <w:sz w:val="24"/>
          <w:szCs w:val="24"/>
        </w:rPr>
        <w:t>All Staff:</w:t>
      </w:r>
    </w:p>
    <w:p w:rsidRPr="00405FB1" w:rsidR="00405FB1" w:rsidP="5C9BF45C" w:rsidRDefault="00405FB1" w14:paraId="5AB392F0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Model values of respect, tolerance, and professionalism.</w:t>
      </w:r>
    </w:p>
    <w:p w:rsidRPr="00405FB1" w:rsidR="00405FB1" w:rsidP="5C9BF45C" w:rsidRDefault="00405FB1" w14:paraId="3618D662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5C9BF45C" w:rsidR="4F84579E">
        <w:rPr>
          <w:rFonts w:ascii="Arial" w:hAnsi="Arial" w:eastAsia="Arial" w:cs="Arial"/>
          <w:sz w:val="24"/>
          <w:szCs w:val="24"/>
        </w:rPr>
        <w:t>Create safe, inclusive spaces for open discussion.</w:t>
      </w:r>
    </w:p>
    <w:p w:rsidR="0043420B" w:rsidP="5C9BF45C" w:rsidRDefault="0043420B" w14:paraId="1C215DA9" w14:textId="11EB2003">
      <w:pPr>
        <w:pStyle w:val="Normal"/>
        <w:rPr>
          <w:rFonts w:ascii="Arial" w:hAnsi="Arial" w:eastAsia="Arial" w:cs="Arial"/>
          <w:sz w:val="24"/>
          <w:szCs w:val="24"/>
        </w:rPr>
      </w:pPr>
    </w:p>
    <w:sectPr w:rsidR="0043420B"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ec410cee78f9403f"/>
      <w:headerReference w:type="first" r:id="Rae056aea2726431c"/>
      <w:footerReference w:type="default" r:id="R9343a1a86fbd4f0b"/>
      <w:footerReference w:type="first" r:id="R176dd795d2634d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9BF45C" w:rsidTr="5C9BF45C" w14:paraId="400ABFE2">
      <w:trPr>
        <w:trHeight w:val="300"/>
      </w:trPr>
      <w:tc>
        <w:tcPr>
          <w:tcW w:w="3005" w:type="dxa"/>
          <w:tcMar/>
        </w:tcPr>
        <w:p w:rsidR="5C9BF45C" w:rsidP="5C9BF45C" w:rsidRDefault="5C9BF45C" w14:paraId="0E2964AC" w14:textId="3CF601E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9BF45C" w:rsidP="5C9BF45C" w:rsidRDefault="5C9BF45C" w14:paraId="01542533" w14:textId="68EB3CE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9BF45C" w:rsidP="5C9BF45C" w:rsidRDefault="5C9BF45C" w14:paraId="77D36231" w14:textId="0E98D17D">
          <w:pPr>
            <w:pStyle w:val="Header"/>
            <w:bidi w:val="0"/>
            <w:ind w:right="-115"/>
            <w:jc w:val="right"/>
          </w:pPr>
        </w:p>
      </w:tc>
    </w:tr>
  </w:tbl>
  <w:p w:rsidR="5C9BF45C" w:rsidP="5C9BF45C" w:rsidRDefault="5C9BF45C" w14:paraId="3A614724" w14:textId="3865F8B6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9BF45C" w:rsidTr="5C9BF45C" w14:paraId="5C3BEB18">
      <w:trPr>
        <w:trHeight w:val="300"/>
      </w:trPr>
      <w:tc>
        <w:tcPr>
          <w:tcW w:w="3005" w:type="dxa"/>
          <w:tcMar/>
        </w:tcPr>
        <w:p w:rsidR="5C9BF45C" w:rsidP="5C9BF45C" w:rsidRDefault="5C9BF45C" w14:paraId="727FCBAB" w14:textId="437679F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9BF45C" w:rsidP="5C9BF45C" w:rsidRDefault="5C9BF45C" w14:paraId="74DB43E7" w14:textId="4922CA8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9BF45C" w:rsidP="5C9BF45C" w:rsidRDefault="5C9BF45C" w14:paraId="5E5DE1DE" w14:textId="318A083C">
          <w:pPr>
            <w:pStyle w:val="Header"/>
            <w:bidi w:val="0"/>
            <w:ind w:right="-115"/>
            <w:jc w:val="right"/>
          </w:pPr>
        </w:p>
      </w:tc>
    </w:tr>
  </w:tbl>
  <w:p w:rsidR="5C9BF45C" w:rsidP="5C9BF45C" w:rsidRDefault="5C9BF45C" w14:paraId="420A17EB" w14:textId="71A02BB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9BF45C" w:rsidTr="5C9BF45C" w14:paraId="682C1E1C">
      <w:trPr>
        <w:trHeight w:val="300"/>
      </w:trPr>
      <w:tc>
        <w:tcPr>
          <w:tcW w:w="3005" w:type="dxa"/>
          <w:tcMar/>
        </w:tcPr>
        <w:p w:rsidR="5C9BF45C" w:rsidP="5C9BF45C" w:rsidRDefault="5C9BF45C" w14:paraId="6C35481A" w14:textId="4F1893B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9BF45C" w:rsidP="5C9BF45C" w:rsidRDefault="5C9BF45C" w14:paraId="123D0847" w14:textId="1D4675E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9BF45C" w:rsidP="5C9BF45C" w:rsidRDefault="5C9BF45C" w14:paraId="196C3360" w14:textId="54898BB1">
          <w:pPr>
            <w:pStyle w:val="Header"/>
            <w:bidi w:val="0"/>
            <w:ind w:right="-115"/>
            <w:jc w:val="right"/>
          </w:pPr>
        </w:p>
      </w:tc>
    </w:tr>
  </w:tbl>
  <w:p w:rsidR="5C9BF45C" w:rsidP="5C9BF45C" w:rsidRDefault="5C9BF45C" w14:paraId="36969E1D" w14:textId="12AE342A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C9BF45C" w:rsidP="5C9BF45C" w:rsidRDefault="5C9BF45C" w14:paraId="53A87345" w14:textId="7ADF3545">
    <w:pPr>
      <w:pStyle w:val="Header"/>
      <w:bidi w:val="0"/>
    </w:pPr>
    <w:r w:rsidR="5C9BF45C">
      <w:drawing>
        <wp:inline wp14:editId="5BC6A7A3" wp14:anchorId="6D96B622">
          <wp:extent cx="3271155" cy="914400"/>
          <wp:effectExtent l="0" t="0" r="0" b="0"/>
          <wp:docPr id="114520071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5200711" name="Picture 1145200711"/>
                  <pic:cNvPicPr/>
                </pic:nvPicPr>
                <pic:blipFill>
                  <a:blip xmlns:r="http://schemas.openxmlformats.org/officeDocument/2006/relationships" r:embed="rId112788211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2c09c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5A3FB5"/>
    <w:multiLevelType w:val="multilevel"/>
    <w:tmpl w:val="82B8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7A5169"/>
    <w:multiLevelType w:val="multilevel"/>
    <w:tmpl w:val="028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0273B5"/>
    <w:multiLevelType w:val="multilevel"/>
    <w:tmpl w:val="4AB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D262EA"/>
    <w:multiLevelType w:val="multilevel"/>
    <w:tmpl w:val="DFB6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C621813"/>
    <w:multiLevelType w:val="multilevel"/>
    <w:tmpl w:val="7F28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6705D0D"/>
    <w:multiLevelType w:val="multilevel"/>
    <w:tmpl w:val="20A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A9576C4"/>
    <w:multiLevelType w:val="multilevel"/>
    <w:tmpl w:val="270E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FC15762"/>
    <w:multiLevelType w:val="multilevel"/>
    <w:tmpl w:val="1C9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2660DEF"/>
    <w:multiLevelType w:val="multilevel"/>
    <w:tmpl w:val="8B9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FD43FD1"/>
    <w:multiLevelType w:val="multilevel"/>
    <w:tmpl w:val="CE06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1">
    <w:abstractNumId w:val="10"/>
  </w:num>
  <w:num w:numId="1" w16cid:durableId="1137727056">
    <w:abstractNumId w:val="3"/>
  </w:num>
  <w:num w:numId="2" w16cid:durableId="1978729198">
    <w:abstractNumId w:val="9"/>
  </w:num>
  <w:num w:numId="3" w16cid:durableId="1198471091">
    <w:abstractNumId w:val="2"/>
  </w:num>
  <w:num w:numId="4" w16cid:durableId="1908344039">
    <w:abstractNumId w:val="4"/>
  </w:num>
  <w:num w:numId="5" w16cid:durableId="962462130">
    <w:abstractNumId w:val="7"/>
  </w:num>
  <w:num w:numId="6" w16cid:durableId="1810439955">
    <w:abstractNumId w:val="5"/>
  </w:num>
  <w:num w:numId="7" w16cid:durableId="74207176">
    <w:abstractNumId w:val="6"/>
  </w:num>
  <w:num w:numId="8" w16cid:durableId="1199469772">
    <w:abstractNumId w:val="8"/>
  </w:num>
  <w:num w:numId="9" w16cid:durableId="1567103834">
    <w:abstractNumId w:val="1"/>
  </w:num>
  <w:num w:numId="10" w16cid:durableId="92026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B1"/>
    <w:rsid w:val="00405FB1"/>
    <w:rsid w:val="0043420B"/>
    <w:rsid w:val="0059652A"/>
    <w:rsid w:val="0079001D"/>
    <w:rsid w:val="00823CAB"/>
    <w:rsid w:val="00CE010C"/>
    <w:rsid w:val="09082A7D"/>
    <w:rsid w:val="1319C579"/>
    <w:rsid w:val="4D6C2C32"/>
    <w:rsid w:val="4F84579E"/>
    <w:rsid w:val="575A1243"/>
    <w:rsid w:val="5C9BF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4F1E"/>
  <w15:chartTrackingRefBased/>
  <w15:docId w15:val="{21F7BC6C-703A-4891-A364-11AF5A95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F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F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5F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5F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05F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05F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5F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5F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5F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5F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5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F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5F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0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FB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05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F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5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FB1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C9BF45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C9BF45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ec410cee78f9403f" /><Relationship Type="http://schemas.openxmlformats.org/officeDocument/2006/relationships/header" Target="header2.xml" Id="Rae056aea2726431c" /><Relationship Type="http://schemas.openxmlformats.org/officeDocument/2006/relationships/footer" Target="footer.xml" Id="R9343a1a86fbd4f0b" /><Relationship Type="http://schemas.openxmlformats.org/officeDocument/2006/relationships/footer" Target="footer2.xml" Id="R176dd795d26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1278821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F0AC7C-43EF-4261-81D9-BC6F9485C49F}"/>
</file>

<file path=customXml/itemProps2.xml><?xml version="1.0" encoding="utf-8"?>
<ds:datastoreItem xmlns:ds="http://schemas.openxmlformats.org/officeDocument/2006/customXml" ds:itemID="{82F5F2A5-F7E4-4F15-A7A8-0F576CD4E5C3}"/>
</file>

<file path=customXml/itemProps3.xml><?xml version="1.0" encoding="utf-8"?>
<ds:datastoreItem xmlns:ds="http://schemas.openxmlformats.org/officeDocument/2006/customXml" ds:itemID="{961F5588-AC43-49B6-B3A2-B703A10780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Hodge</dc:creator>
  <cp:keywords/>
  <dc:description/>
  <cp:lastModifiedBy>Andy Iredale</cp:lastModifiedBy>
  <cp:revision>2</cp:revision>
  <dcterms:created xsi:type="dcterms:W3CDTF">2025-07-03T09:57:00Z</dcterms:created>
  <dcterms:modified xsi:type="dcterms:W3CDTF">2026-02-17T16:20:05Z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Order">
    <vt:r8>3108500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