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444C38" w:rsidR="00AD25FC" w:rsidP="1FA57E59" w:rsidRDefault="00444C38" w14:paraId="461DCC16" w14:textId="7660ED83">
      <w:pPr>
        <w:pStyle w:val="Heading1"/>
        <w:rPr>
          <w:rFonts w:ascii="Arial" w:hAnsi="Arial" w:cs="Arial"/>
          <w:color w:val="auto"/>
          <w:sz w:val="48"/>
          <w:szCs w:val="48"/>
        </w:rPr>
      </w:pPr>
      <w:r w:rsidRPr="1FA57E59" w:rsidR="00444C38">
        <w:rPr>
          <w:rFonts w:ascii="Arial" w:hAnsi="Arial" w:cs="Arial"/>
          <w:color w:val="auto"/>
          <w:sz w:val="48"/>
          <w:szCs w:val="48"/>
        </w:rPr>
        <w:t>Data Security Policy</w:t>
      </w:r>
    </w:p>
    <w:p w:rsidR="1FA57E59" w:rsidP="1FA57E59" w:rsidRDefault="1FA57E59" w14:paraId="6A614619" w14:textId="4FCF42AE">
      <w:pPr>
        <w:pStyle w:val="Normal"/>
      </w:pPr>
    </w:p>
    <w:p w:rsidR="53445989" w:rsidP="1FA57E59" w:rsidRDefault="53445989" w14:paraId="73F4C0A2" w14:textId="16D64D1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Author and Responsible Manager: Headteacher</w:t>
      </w:r>
    </w:p>
    <w:p w:rsidR="53445989" w:rsidP="1FA57E59" w:rsidRDefault="53445989" w14:paraId="760E6719" w14:textId="7560F2B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Manual ID Number: BSA077</w:t>
      </w:r>
    </w:p>
    <w:p w:rsidR="53445989" w:rsidP="1FA57E59" w:rsidRDefault="53445989" w14:paraId="458659C7" w14:textId="6D7B99AB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Version No: 1</w:t>
      </w:r>
    </w:p>
    <w:p w:rsidR="53445989" w:rsidP="1FA57E59" w:rsidRDefault="53445989" w14:paraId="75E0A08F" w14:textId="3EA1B23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Date Approved: 19/08/2024</w:t>
      </w:r>
    </w:p>
    <w:p w:rsidR="53445989" w:rsidP="1FA57E59" w:rsidRDefault="53445989" w14:paraId="72C67A29" w14:textId="69CBECF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Next Review Due: 19/08/2026</w:t>
      </w:r>
    </w:p>
    <w:p w:rsidR="53445989" w:rsidP="1FA57E59" w:rsidRDefault="53445989" w14:paraId="17653A6A" w14:textId="7C8A4F6D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Approved By: Headteacher</w:t>
      </w:r>
    </w:p>
    <w:p w:rsidR="53445989" w:rsidP="1FA57E59" w:rsidRDefault="53445989" w14:paraId="6AF8F10F" w14:textId="3BBD406A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Applicable to: Staff and Students</w:t>
      </w:r>
    </w:p>
    <w:p w:rsidR="53445989" w:rsidP="1FA57E59" w:rsidRDefault="53445989" w14:paraId="5C5A254B" w14:textId="317F5685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1FA57E59" w:rsidR="53445989">
        <w:rPr>
          <w:rFonts w:ascii="Arial" w:hAnsi="Arial" w:eastAsia="Arial" w:cs="Arial"/>
          <w:noProof w:val="0"/>
          <w:sz w:val="24"/>
          <w:szCs w:val="24"/>
          <w:lang w:val="en-US"/>
        </w:rPr>
        <w:t>Publication: Staff SharePoint and Website</w:t>
      </w:r>
    </w:p>
    <w:p w:rsidR="1FA57E59" w:rsidP="1FA57E59" w:rsidRDefault="1FA57E59" w14:paraId="31BFB115" w14:textId="6F2EFC95">
      <w:pPr>
        <w:pStyle w:val="Normal"/>
      </w:pPr>
    </w:p>
    <w:p w:rsidRPr="00444C38" w:rsidR="00AD25FC" w:rsidP="1FA57E59" w:rsidRDefault="00444C38" w14:paraId="002B4F06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1. Purpose</w:t>
      </w:r>
    </w:p>
    <w:p w:rsidRPr="00444C38" w:rsidR="00AD25FC" w:rsidP="1FA57E59" w:rsidRDefault="00444C38" w14:paraId="1883434B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Blackpool Skills Academy (BSA) is committed to protecting the confidentiality, integrity, and availability of all personal and </w:t>
      </w:r>
      <w:r w:rsidRPr="1FA57E59" w:rsidR="00444C38">
        <w:rPr>
          <w:rFonts w:cs="Arial"/>
          <w:color w:val="auto"/>
          <w:sz w:val="24"/>
          <w:szCs w:val="24"/>
        </w:rPr>
        <w:t>organisational</w:t>
      </w:r>
      <w:r w:rsidRPr="1FA57E59" w:rsidR="00444C38">
        <w:rPr>
          <w:rFonts w:cs="Arial"/>
          <w:color w:val="auto"/>
          <w:sz w:val="24"/>
          <w:szCs w:val="24"/>
        </w:rPr>
        <w:t xml:space="preserve"> data. This policy sets out how data is secured, managed, and protected in line with UK GDPR, Data Protection Act 2018, and safeguarding requirements.</w:t>
      </w:r>
    </w:p>
    <w:p w:rsidRPr="00444C38" w:rsidR="00AD25FC" w:rsidP="1FA57E59" w:rsidRDefault="00444C38" w14:paraId="7EB94ADE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2. Scope</w:t>
      </w:r>
    </w:p>
    <w:p w:rsidRPr="00444C38" w:rsidR="00AD25FC" w:rsidP="1FA57E59" w:rsidRDefault="00444C38" w14:paraId="257A1ED1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This policy applies to: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All staff, governors, contractors, and volunteers handling Academy data.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All forms of data: electronic, paper, verbal, images, and CCTV.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All systems, including </w:t>
      </w:r>
      <w:r w:rsidRPr="1FA57E59" w:rsidR="00444C38">
        <w:rPr>
          <w:rFonts w:cs="Arial"/>
          <w:color w:val="auto"/>
          <w:sz w:val="24"/>
          <w:szCs w:val="24"/>
        </w:rPr>
        <w:t>Bromcom</w:t>
      </w:r>
      <w:r w:rsidRPr="1FA57E59" w:rsidR="00444C38">
        <w:rPr>
          <w:rFonts w:cs="Arial"/>
          <w:color w:val="auto"/>
          <w:sz w:val="24"/>
          <w:szCs w:val="24"/>
        </w:rPr>
        <w:t xml:space="preserve"> MIS, email, HR/payroll systems, and therapy reports.</w:t>
      </w:r>
    </w:p>
    <w:p w:rsidRPr="00444C38" w:rsidR="00AD25FC" w:rsidP="1FA57E59" w:rsidRDefault="00444C38" w14:paraId="58FD00D4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3. Roles and Responsibilities</w:t>
      </w:r>
    </w:p>
    <w:p w:rsidRPr="00444C38" w:rsidR="00AD25FC" w:rsidP="1FA57E59" w:rsidRDefault="00444C38" w14:paraId="7D15BB19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- Data Controller: Blackpool Skills Academy.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Data Protection Lead (DPL): Responsible for ensuring compliance and reporting breaches.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All Staff: Must follow this policy, complete data protection training, and report incidents </w:t>
      </w:r>
      <w:r w:rsidRPr="1FA57E59" w:rsidR="00444C38">
        <w:rPr>
          <w:rFonts w:cs="Arial"/>
          <w:color w:val="auto"/>
          <w:sz w:val="24"/>
          <w:szCs w:val="24"/>
        </w:rPr>
        <w:t>immediately</w:t>
      </w:r>
      <w:r w:rsidRPr="1FA57E59" w:rsidR="00444C38">
        <w:rPr>
          <w:rFonts w:cs="Arial"/>
          <w:color w:val="auto"/>
          <w:sz w:val="24"/>
          <w:szCs w:val="24"/>
        </w:rPr>
        <w:t>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Third-Party Processors: Must </w:t>
      </w:r>
      <w:r w:rsidRPr="1FA57E59" w:rsidR="00444C38">
        <w:rPr>
          <w:rFonts w:cs="Arial"/>
          <w:color w:val="auto"/>
          <w:sz w:val="24"/>
          <w:szCs w:val="24"/>
        </w:rPr>
        <w:t>comply with</w:t>
      </w:r>
      <w:r w:rsidRPr="1FA57E59" w:rsidR="00444C38">
        <w:rPr>
          <w:rFonts w:cs="Arial"/>
          <w:color w:val="auto"/>
          <w:sz w:val="24"/>
          <w:szCs w:val="24"/>
        </w:rPr>
        <w:t xml:space="preserve"> GDPR and have contractual agreements in place.</w:t>
      </w:r>
    </w:p>
    <w:p w:rsidRPr="00444C38" w:rsidR="00AD25FC" w:rsidP="1FA57E59" w:rsidRDefault="00444C38" w14:paraId="45B7B879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4. Data Security Principles</w:t>
      </w:r>
    </w:p>
    <w:p w:rsidRPr="00444C38" w:rsidR="00AD25FC" w:rsidP="1FA57E59" w:rsidRDefault="00444C38" w14:paraId="342CE6AE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BSA will ensure: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Confidentiality: Data is accessible only to those </w:t>
      </w:r>
      <w:r w:rsidRPr="1FA57E59" w:rsidR="00444C38">
        <w:rPr>
          <w:rFonts w:cs="Arial"/>
          <w:color w:val="auto"/>
          <w:sz w:val="24"/>
          <w:szCs w:val="24"/>
        </w:rPr>
        <w:t>authorised</w:t>
      </w:r>
      <w:r w:rsidRPr="1FA57E59" w:rsidR="00444C38">
        <w:rPr>
          <w:rFonts w:cs="Arial"/>
          <w:color w:val="auto"/>
          <w:sz w:val="24"/>
          <w:szCs w:val="24"/>
        </w:rPr>
        <w:t>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Integrity: Data is </w:t>
      </w:r>
      <w:r w:rsidRPr="1FA57E59" w:rsidR="00444C38">
        <w:rPr>
          <w:rFonts w:cs="Arial"/>
          <w:color w:val="auto"/>
          <w:sz w:val="24"/>
          <w:szCs w:val="24"/>
        </w:rPr>
        <w:t>accurate</w:t>
      </w:r>
      <w:r w:rsidRPr="1FA57E59" w:rsidR="00444C38">
        <w:rPr>
          <w:rFonts w:cs="Arial"/>
          <w:color w:val="auto"/>
          <w:sz w:val="24"/>
          <w:szCs w:val="24"/>
        </w:rPr>
        <w:t>, up to date, and protected from alteration.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Availability: Data is accessible when </w:t>
      </w:r>
      <w:r w:rsidRPr="1FA57E59" w:rsidR="00444C38">
        <w:rPr>
          <w:rFonts w:cs="Arial"/>
          <w:color w:val="auto"/>
          <w:sz w:val="24"/>
          <w:szCs w:val="24"/>
        </w:rPr>
        <w:t>required</w:t>
      </w:r>
      <w:r w:rsidRPr="1FA57E59" w:rsidR="00444C38">
        <w:rPr>
          <w:rFonts w:cs="Arial"/>
          <w:color w:val="auto"/>
          <w:sz w:val="24"/>
          <w:szCs w:val="24"/>
        </w:rPr>
        <w:t xml:space="preserve"> for operational or safeguarding purposes.</w:t>
      </w:r>
    </w:p>
    <w:p w:rsidRPr="00444C38" w:rsidR="00AD25FC" w:rsidP="1FA57E59" w:rsidRDefault="00444C38" w14:paraId="399A6A31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5. Technical Measures</w:t>
      </w:r>
    </w:p>
    <w:p w:rsidRPr="00444C38" w:rsidR="00AD25FC" w:rsidP="1FA57E59" w:rsidRDefault="00444C38" w14:paraId="73E8B07D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- All Academy systems (e.g., </w:t>
      </w:r>
      <w:r w:rsidRPr="1FA57E59" w:rsidR="00444C38">
        <w:rPr>
          <w:rFonts w:cs="Arial"/>
          <w:color w:val="auto"/>
          <w:sz w:val="24"/>
          <w:szCs w:val="24"/>
        </w:rPr>
        <w:t>Bromcom</w:t>
      </w:r>
      <w:r w:rsidRPr="1FA57E59" w:rsidR="00444C38">
        <w:rPr>
          <w:rFonts w:cs="Arial"/>
          <w:color w:val="auto"/>
          <w:sz w:val="24"/>
          <w:szCs w:val="24"/>
        </w:rPr>
        <w:t xml:space="preserve"> MIS) are password-protected, encrypted, and regularly updated.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Strong password policies and 2-factor authentication are in place.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Regular data backups are performed and securely stored.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Academy devices (laptops, tablets, phones) are encrypted and tracked.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Firewalls, antivirus, and intrusion detection systems are </w:t>
      </w:r>
      <w:r w:rsidRPr="1FA57E59" w:rsidR="00444C38">
        <w:rPr>
          <w:rFonts w:cs="Arial"/>
          <w:color w:val="auto"/>
          <w:sz w:val="24"/>
          <w:szCs w:val="24"/>
        </w:rPr>
        <w:t>maintained</w:t>
      </w:r>
      <w:r w:rsidRPr="1FA57E59" w:rsidR="00444C38">
        <w:rPr>
          <w:rFonts w:cs="Arial"/>
          <w:color w:val="auto"/>
          <w:sz w:val="24"/>
          <w:szCs w:val="24"/>
        </w:rPr>
        <w:t>.</w:t>
      </w:r>
    </w:p>
    <w:p w:rsidRPr="00444C38" w:rsidR="00AD25FC" w:rsidP="1FA57E59" w:rsidRDefault="00444C38" w14:paraId="40C7B1AF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 xml:space="preserve">6. </w:t>
      </w:r>
      <w:r w:rsidRPr="1FA57E59" w:rsidR="00444C38">
        <w:rPr>
          <w:rFonts w:ascii="Arial" w:hAnsi="Arial" w:cs="Arial"/>
          <w:color w:val="auto"/>
          <w:sz w:val="24"/>
          <w:szCs w:val="24"/>
        </w:rPr>
        <w:t>Organisational</w:t>
      </w:r>
      <w:r w:rsidRPr="1FA57E59" w:rsidR="00444C38">
        <w:rPr>
          <w:rFonts w:ascii="Arial" w:hAnsi="Arial" w:cs="Arial"/>
          <w:color w:val="auto"/>
          <w:sz w:val="24"/>
          <w:szCs w:val="24"/>
        </w:rPr>
        <w:t xml:space="preserve"> Measures</w:t>
      </w:r>
    </w:p>
    <w:p w:rsidRPr="00444C38" w:rsidR="00AD25FC" w:rsidP="1FA57E59" w:rsidRDefault="00444C38" w14:paraId="47F84D3B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- Staff receive annual training in data protection and cyber security.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Role-based access ensures staff only see the data they need.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Data </w:t>
      </w:r>
      <w:r w:rsidRPr="1FA57E59" w:rsidR="00444C38">
        <w:rPr>
          <w:rFonts w:cs="Arial"/>
          <w:color w:val="auto"/>
          <w:sz w:val="24"/>
          <w:szCs w:val="24"/>
        </w:rPr>
        <w:t>minimisation</w:t>
      </w:r>
      <w:r w:rsidRPr="1FA57E59" w:rsidR="00444C38">
        <w:rPr>
          <w:rFonts w:cs="Arial"/>
          <w:color w:val="auto"/>
          <w:sz w:val="24"/>
          <w:szCs w:val="24"/>
        </w:rPr>
        <w:t xml:space="preserve">: only essential personal data is collected and </w:t>
      </w:r>
      <w:r w:rsidRPr="1FA57E59" w:rsidR="00444C38">
        <w:rPr>
          <w:rFonts w:cs="Arial"/>
          <w:color w:val="auto"/>
          <w:sz w:val="24"/>
          <w:szCs w:val="24"/>
        </w:rPr>
        <w:t>retained</w:t>
      </w:r>
      <w:r w:rsidRPr="1FA57E59" w:rsidR="00444C38">
        <w:rPr>
          <w:rFonts w:cs="Arial"/>
          <w:color w:val="auto"/>
          <w:sz w:val="24"/>
          <w:szCs w:val="24"/>
        </w:rPr>
        <w:t>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Regular audits of data processing and security arrangements are carried out.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Contractors, visitors, and external partners must </w:t>
      </w:r>
      <w:r w:rsidRPr="1FA57E59" w:rsidR="00444C38">
        <w:rPr>
          <w:rFonts w:cs="Arial"/>
          <w:color w:val="auto"/>
          <w:sz w:val="24"/>
          <w:szCs w:val="24"/>
        </w:rPr>
        <w:t>comply with</w:t>
      </w:r>
      <w:r w:rsidRPr="1FA57E59" w:rsidR="00444C38">
        <w:rPr>
          <w:rFonts w:cs="Arial"/>
          <w:color w:val="auto"/>
          <w:sz w:val="24"/>
          <w:szCs w:val="24"/>
        </w:rPr>
        <w:t xml:space="preserve"> Academy data security requirements.</w:t>
      </w:r>
    </w:p>
    <w:p w:rsidRPr="00444C38" w:rsidR="00AD25FC" w:rsidP="1FA57E59" w:rsidRDefault="00444C38" w14:paraId="1BB7B54A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7. Physical Security</w:t>
      </w:r>
    </w:p>
    <w:p w:rsidRPr="00444C38" w:rsidR="00AD25FC" w:rsidP="1FA57E59" w:rsidRDefault="00444C38" w14:paraId="71B29E17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- Paper records are stored in locked cabinets and secure offices.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Access to buildings is controlled via sign-in, ID badges, and CCTV monitoring.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Visitors are supervised at all times.</w:t>
      </w:r>
    </w:p>
    <w:p w:rsidRPr="00444C38" w:rsidR="00AD25FC" w:rsidP="1FA57E59" w:rsidRDefault="00444C38" w14:paraId="6C67B9C3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8. Data Sharing and Sub-Processors</w:t>
      </w:r>
    </w:p>
    <w:p w:rsidRPr="00444C38" w:rsidR="00AD25FC" w:rsidP="1FA57E59" w:rsidRDefault="00444C38" w14:paraId="624E4CC6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- Data is only shared where lawful and necessary (e.g., with Local Authorities, exam boards, NHS, safeguarding teams).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Data Processing Agreements (DPAs) are in place with all processors (e.g., </w:t>
      </w:r>
      <w:r w:rsidRPr="1FA57E59" w:rsidR="00444C38">
        <w:rPr>
          <w:rFonts w:cs="Arial"/>
          <w:color w:val="auto"/>
          <w:sz w:val="24"/>
          <w:szCs w:val="24"/>
        </w:rPr>
        <w:t>Bromcom</w:t>
      </w:r>
      <w:r w:rsidRPr="1FA57E59" w:rsidR="00444C38">
        <w:rPr>
          <w:rFonts w:cs="Arial"/>
          <w:color w:val="auto"/>
          <w:sz w:val="24"/>
          <w:szCs w:val="24"/>
        </w:rPr>
        <w:t>, payroll providers).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>- Processors must notify BSA of any sub-processors used and remain fully liable for their compliance.</w:t>
      </w:r>
    </w:p>
    <w:p w:rsidRPr="00444C38" w:rsidR="00AD25FC" w:rsidP="1FA57E59" w:rsidRDefault="00444C38" w14:paraId="70E42729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9. Incident Management and Breach Reporting</w:t>
      </w:r>
    </w:p>
    <w:p w:rsidRPr="00444C38" w:rsidR="00AD25FC" w:rsidP="1FA57E59" w:rsidRDefault="00444C38" w14:paraId="7BBF4AEC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- Any data breach or security incident must be reported </w:t>
      </w:r>
      <w:r w:rsidRPr="1FA57E59" w:rsidR="00444C38">
        <w:rPr>
          <w:rFonts w:cs="Arial"/>
          <w:color w:val="auto"/>
          <w:sz w:val="24"/>
          <w:szCs w:val="24"/>
        </w:rPr>
        <w:t>immediately</w:t>
      </w:r>
      <w:r w:rsidRPr="1FA57E59" w:rsidR="00444C38">
        <w:rPr>
          <w:rFonts w:cs="Arial"/>
          <w:color w:val="auto"/>
          <w:sz w:val="24"/>
          <w:szCs w:val="24"/>
        </w:rPr>
        <w:t xml:space="preserve"> to the Data Protection Lead.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The DPL will investigate, record, and where </w:t>
      </w:r>
      <w:r w:rsidRPr="1FA57E59" w:rsidR="00444C38">
        <w:rPr>
          <w:rFonts w:cs="Arial"/>
          <w:color w:val="auto"/>
          <w:sz w:val="24"/>
          <w:szCs w:val="24"/>
        </w:rPr>
        <w:t>required</w:t>
      </w:r>
      <w:r w:rsidRPr="1FA57E59" w:rsidR="00444C38">
        <w:rPr>
          <w:rFonts w:cs="Arial"/>
          <w:color w:val="auto"/>
          <w:sz w:val="24"/>
          <w:szCs w:val="24"/>
        </w:rPr>
        <w:t xml:space="preserve"> notify the ICO within </w:t>
      </w:r>
      <w:r w:rsidRPr="1FA57E59" w:rsidR="00444C38">
        <w:rPr>
          <w:rFonts w:cs="Arial"/>
          <w:color w:val="auto"/>
          <w:sz w:val="24"/>
          <w:szCs w:val="24"/>
        </w:rPr>
        <w:t>72 hours</w:t>
      </w:r>
      <w:r w:rsidRPr="1FA57E59" w:rsidR="00444C38">
        <w:rPr>
          <w:rFonts w:cs="Arial"/>
          <w:color w:val="auto"/>
          <w:sz w:val="24"/>
          <w:szCs w:val="24"/>
        </w:rPr>
        <w:t>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A log of all incidents will be </w:t>
      </w:r>
      <w:r w:rsidRPr="1FA57E59" w:rsidR="00444C38">
        <w:rPr>
          <w:rFonts w:cs="Arial"/>
          <w:color w:val="auto"/>
          <w:sz w:val="24"/>
          <w:szCs w:val="24"/>
        </w:rPr>
        <w:t>maintained</w:t>
      </w:r>
      <w:r w:rsidRPr="1FA57E59" w:rsidR="00444C38">
        <w:rPr>
          <w:rFonts w:cs="Arial"/>
          <w:color w:val="auto"/>
          <w:sz w:val="24"/>
          <w:szCs w:val="24"/>
        </w:rPr>
        <w:t xml:space="preserve"> and reviewed by SLT.</w:t>
      </w:r>
    </w:p>
    <w:p w:rsidRPr="00444C38" w:rsidR="00AD25FC" w:rsidP="1FA57E59" w:rsidRDefault="00444C38" w14:paraId="74AA49D3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10. Retention and Disposal</w:t>
      </w:r>
    </w:p>
    <w:p w:rsidRPr="00444C38" w:rsidR="00AD25FC" w:rsidP="1FA57E59" w:rsidRDefault="00444C38" w14:paraId="43DF1ADD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- Data is </w:t>
      </w:r>
      <w:r w:rsidRPr="1FA57E59" w:rsidR="00444C38">
        <w:rPr>
          <w:rFonts w:cs="Arial"/>
          <w:color w:val="auto"/>
          <w:sz w:val="24"/>
          <w:szCs w:val="24"/>
        </w:rPr>
        <w:t>retained</w:t>
      </w:r>
      <w:r w:rsidRPr="1FA57E59" w:rsidR="00444C38">
        <w:rPr>
          <w:rFonts w:cs="Arial"/>
          <w:color w:val="auto"/>
          <w:sz w:val="24"/>
          <w:szCs w:val="24"/>
        </w:rPr>
        <w:t xml:space="preserve"> in line with the Academy’s Retention Schedule (based on IRMS guidance).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- When no longer </w:t>
      </w:r>
      <w:r w:rsidRPr="1FA57E59" w:rsidR="00444C38">
        <w:rPr>
          <w:rFonts w:cs="Arial"/>
          <w:color w:val="auto"/>
          <w:sz w:val="24"/>
          <w:szCs w:val="24"/>
        </w:rPr>
        <w:t>required</w:t>
      </w:r>
      <w:r w:rsidRPr="1FA57E59" w:rsidR="00444C38">
        <w:rPr>
          <w:rFonts w:cs="Arial"/>
          <w:color w:val="auto"/>
          <w:sz w:val="24"/>
          <w:szCs w:val="24"/>
        </w:rPr>
        <w:t xml:space="preserve">, data will be securely </w:t>
      </w:r>
      <w:r w:rsidRPr="1FA57E59" w:rsidR="00444C38">
        <w:rPr>
          <w:rFonts w:cs="Arial"/>
          <w:color w:val="auto"/>
          <w:sz w:val="24"/>
          <w:szCs w:val="24"/>
        </w:rPr>
        <w:t>deleted</w:t>
      </w:r>
      <w:r w:rsidRPr="1FA57E59" w:rsidR="00444C38">
        <w:rPr>
          <w:rFonts w:cs="Arial"/>
          <w:color w:val="auto"/>
          <w:sz w:val="24"/>
          <w:szCs w:val="24"/>
        </w:rPr>
        <w:t xml:space="preserve"> (electronic) or shredded (paper).</w:t>
      </w:r>
    </w:p>
    <w:p w:rsidRPr="00444C38" w:rsidR="00AD25FC" w:rsidP="1FA57E59" w:rsidRDefault="00444C38" w14:paraId="611669D3" w14:textId="77777777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1FA57E59" w:rsidR="00444C38">
        <w:rPr>
          <w:rFonts w:ascii="Arial" w:hAnsi="Arial" w:cs="Arial"/>
          <w:color w:val="auto"/>
          <w:sz w:val="24"/>
          <w:szCs w:val="24"/>
        </w:rPr>
        <w:t>11. Monitoring and Review</w:t>
      </w:r>
    </w:p>
    <w:p w:rsidRPr="00444C38" w:rsidR="00AD25FC" w:rsidP="1FA57E59" w:rsidRDefault="00444C38" w14:paraId="33E69FD1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This policy will be reviewed annually, or sooner if required by legislation or </w:t>
      </w:r>
      <w:r w:rsidRPr="1FA57E59" w:rsidR="00444C38">
        <w:rPr>
          <w:rFonts w:cs="Arial"/>
          <w:color w:val="auto"/>
          <w:sz w:val="24"/>
          <w:szCs w:val="24"/>
        </w:rPr>
        <w:t>organisational</w:t>
      </w:r>
      <w:r w:rsidRPr="1FA57E59" w:rsidR="00444C38">
        <w:rPr>
          <w:rFonts w:cs="Arial"/>
          <w:color w:val="auto"/>
          <w:sz w:val="24"/>
          <w:szCs w:val="24"/>
        </w:rPr>
        <w:t xml:space="preserve"> change.</w:t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Compliance will be </w:t>
      </w:r>
      <w:r w:rsidRPr="1FA57E59" w:rsidR="00444C38">
        <w:rPr>
          <w:rFonts w:cs="Arial"/>
          <w:color w:val="auto"/>
          <w:sz w:val="24"/>
          <w:szCs w:val="24"/>
        </w:rPr>
        <w:t>monitored</w:t>
      </w:r>
      <w:r w:rsidRPr="1FA57E59" w:rsidR="00444C38">
        <w:rPr>
          <w:rFonts w:cs="Arial"/>
          <w:color w:val="auto"/>
          <w:sz w:val="24"/>
          <w:szCs w:val="24"/>
        </w:rPr>
        <w:t xml:space="preserve"> through audits, incident logs, and staff feedback.</w:t>
      </w:r>
    </w:p>
    <w:p w:rsidRPr="00444C38" w:rsidR="00AD25FC" w:rsidP="1FA57E59" w:rsidRDefault="00444C38" w14:paraId="318DD870" w14:textId="7F2499C4">
      <w:pPr>
        <w:rPr>
          <w:rFonts w:cs="Arial"/>
          <w:color w:val="auto"/>
          <w:sz w:val="24"/>
          <w:szCs w:val="24"/>
        </w:rPr>
      </w:pPr>
      <w:r>
        <w:br/>
      </w:r>
      <w:r>
        <w:br/>
      </w:r>
      <w:r w:rsidRPr="1FA57E59" w:rsidR="00444C38">
        <w:rPr>
          <w:rFonts w:cs="Arial"/>
          <w:color w:val="auto"/>
          <w:sz w:val="24"/>
          <w:szCs w:val="24"/>
        </w:rPr>
        <w:t xml:space="preserve">Signed: </w:t>
      </w:r>
      <w:r w:rsidR="00444C38">
        <w:drawing>
          <wp:inline wp14:editId="6A526439" wp14:anchorId="3A2BF4B5">
            <wp:extent cx="771525" cy="409575"/>
            <wp:effectExtent l="0" t="0" r="9525" b="9525"/>
            <wp:docPr id="1895758313" name="Picture 1895758313" descr="A black pentagram with a white background&#10;&#10;Description automatically generated with medium confidenc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95758313" name="Picture 1" descr="A black pentagram with a white background&#10;&#10;Description automatically generated with medium confidence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897" cy="415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4C38" w:rsidR="00AD25FC" w:rsidP="1FA57E59" w:rsidRDefault="00444C38" w14:paraId="29B50D6A" w14:textId="77777777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>Headteacher / Data Protection Lead</w:t>
      </w:r>
    </w:p>
    <w:p w:rsidRPr="00444C38" w:rsidR="00AD25FC" w:rsidP="1FA57E59" w:rsidRDefault="00444C38" w14:paraId="21D07559" w14:textId="39495952">
      <w:pPr>
        <w:rPr>
          <w:rFonts w:cs="Arial"/>
          <w:color w:val="auto"/>
          <w:sz w:val="24"/>
          <w:szCs w:val="24"/>
        </w:rPr>
      </w:pPr>
      <w:r w:rsidRPr="1FA57E59" w:rsidR="00444C38">
        <w:rPr>
          <w:rFonts w:cs="Arial"/>
          <w:color w:val="auto"/>
          <w:sz w:val="24"/>
          <w:szCs w:val="24"/>
        </w:rPr>
        <w:t xml:space="preserve">Date: </w:t>
      </w:r>
      <w:r w:rsidRPr="1FA57E59" w:rsidR="00444C38">
        <w:rPr>
          <w:rFonts w:cs="Arial"/>
          <w:color w:val="auto"/>
          <w:sz w:val="24"/>
          <w:szCs w:val="24"/>
        </w:rPr>
        <w:t>26/09/25</w:t>
      </w:r>
    </w:p>
    <w:sectPr w:rsidRPr="00444C38" w:rsidR="00AD25FC" w:rsidSect="00034616">
      <w:pgSz w:w="12240" w:h="15840" w:orient="portrait"/>
      <w:pgMar w:top="1440" w:right="1800" w:bottom="1440" w:left="1800" w:header="720" w:footer="720" w:gutter="0"/>
      <w:cols w:space="720"/>
      <w:docGrid w:linePitch="360"/>
      <w:titlePg w:val="1"/>
      <w:headerReference w:type="default" r:id="R2272c1cbdc61496c"/>
      <w:headerReference w:type="first" r:id="R14509468d5984bec"/>
      <w:footerReference w:type="default" r:id="R555b3154b0724fa5"/>
      <w:footerReference w:type="first" r:id="R9e3e0ad22dd1488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FA57E59" w:rsidTr="1FA57E59" w14:paraId="2FAF6422">
      <w:trPr>
        <w:trHeight w:val="300"/>
      </w:trPr>
      <w:tc>
        <w:tcPr>
          <w:tcW w:w="2880" w:type="dxa"/>
          <w:tcMar/>
        </w:tcPr>
        <w:p w:rsidR="1FA57E59" w:rsidP="1FA57E59" w:rsidRDefault="1FA57E59" w14:paraId="214963D0" w14:textId="080F604D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FA57E59" w:rsidP="1FA57E59" w:rsidRDefault="1FA57E59" w14:paraId="43F63570" w14:textId="71C303AD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FA57E59" w:rsidP="1FA57E59" w:rsidRDefault="1FA57E59" w14:paraId="263B7A49" w14:textId="495C88D2">
          <w:pPr>
            <w:pStyle w:val="Header"/>
            <w:bidi w:val="0"/>
            <w:ind w:right="-115"/>
            <w:jc w:val="right"/>
          </w:pPr>
        </w:p>
      </w:tc>
    </w:tr>
  </w:tbl>
  <w:p w:rsidR="1FA57E59" w:rsidP="1FA57E59" w:rsidRDefault="1FA57E59" w14:paraId="6CFB3F75" w14:textId="236807C1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FA57E59" w:rsidTr="1FA57E59" w14:paraId="315E21E0">
      <w:trPr>
        <w:trHeight w:val="300"/>
      </w:trPr>
      <w:tc>
        <w:tcPr>
          <w:tcW w:w="2880" w:type="dxa"/>
          <w:tcMar/>
        </w:tcPr>
        <w:p w:rsidR="1FA57E59" w:rsidP="1FA57E59" w:rsidRDefault="1FA57E59" w14:paraId="3AE585E1" w14:textId="1E016FE7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FA57E59" w:rsidP="1FA57E59" w:rsidRDefault="1FA57E59" w14:paraId="369D34F3" w14:textId="53B47AE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FA57E59" w:rsidP="1FA57E59" w:rsidRDefault="1FA57E59" w14:paraId="394018AE" w14:textId="378F92DC">
          <w:pPr>
            <w:pStyle w:val="Header"/>
            <w:bidi w:val="0"/>
            <w:ind w:right="-115"/>
            <w:jc w:val="right"/>
          </w:pPr>
        </w:p>
      </w:tc>
    </w:tr>
  </w:tbl>
  <w:p w:rsidR="1FA57E59" w:rsidP="1FA57E59" w:rsidRDefault="1FA57E59" w14:paraId="689B4697" w14:textId="34632793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FA57E59" w:rsidTr="1FA57E59" w14:paraId="7D44E33A">
      <w:trPr>
        <w:trHeight w:val="300"/>
      </w:trPr>
      <w:tc>
        <w:tcPr>
          <w:tcW w:w="2880" w:type="dxa"/>
          <w:tcMar/>
        </w:tcPr>
        <w:p w:rsidR="1FA57E59" w:rsidP="1FA57E59" w:rsidRDefault="1FA57E59" w14:paraId="165057DE" w14:textId="186E2909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1FA57E59" w:rsidP="1FA57E59" w:rsidRDefault="1FA57E59" w14:paraId="375E6FDB" w14:textId="749D1AFF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1FA57E59" w:rsidP="1FA57E59" w:rsidRDefault="1FA57E59" w14:paraId="652C5B07" w14:textId="106818D8">
          <w:pPr>
            <w:pStyle w:val="Header"/>
            <w:bidi w:val="0"/>
            <w:ind w:right="-115"/>
            <w:jc w:val="right"/>
          </w:pPr>
        </w:p>
      </w:tc>
    </w:tr>
  </w:tbl>
  <w:p w:rsidR="1FA57E59" w:rsidP="1FA57E59" w:rsidRDefault="1FA57E59" w14:paraId="3A77D22B" w14:textId="45F1C7BA">
    <w:pPr>
      <w:pStyle w:val="Header"/>
      <w:bidi w:val="0"/>
    </w:pPr>
  </w:p>
</w:hdr>
</file>

<file path=word/header2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p w:rsidR="1FA57E59" w:rsidP="1FA57E59" w:rsidRDefault="1FA57E59" w14:paraId="19688297" w14:textId="58E26CB3">
    <w:pPr>
      <w:pStyle w:val="Header"/>
      <w:bidi w:val="0"/>
    </w:pPr>
    <w:r w:rsidR="1FA57E59">
      <w:drawing>
        <wp:inline wp14:editId="47065A78" wp14:anchorId="0E986E22">
          <wp:extent cx="3271395" cy="914400"/>
          <wp:effectExtent l="0" t="0" r="0" b="0"/>
          <wp:docPr id="4853534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485353496" name="Picture 485353496"/>
                  <pic:cNvPicPr/>
                </pic:nvPicPr>
                <pic:blipFill>
                  <a:blip xmlns:r="http://schemas.openxmlformats.org/officeDocument/2006/relationships" r:embed="rId102746127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32713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778ee6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0">
    <w:abstractNumId w:val="9"/>
  </w:num>
  <w:num w:numId="1" w16cid:durableId="474569298">
    <w:abstractNumId w:val="8"/>
  </w:num>
  <w:num w:numId="2" w16cid:durableId="575240952">
    <w:abstractNumId w:val="6"/>
  </w:num>
  <w:num w:numId="3" w16cid:durableId="1052727213">
    <w:abstractNumId w:val="5"/>
  </w:num>
  <w:num w:numId="4" w16cid:durableId="104276900">
    <w:abstractNumId w:val="4"/>
  </w:num>
  <w:num w:numId="5" w16cid:durableId="650910165">
    <w:abstractNumId w:val="7"/>
  </w:num>
  <w:num w:numId="6" w16cid:durableId="280771988">
    <w:abstractNumId w:val="3"/>
  </w:num>
  <w:num w:numId="7" w16cid:durableId="767971798">
    <w:abstractNumId w:val="2"/>
  </w:num>
  <w:num w:numId="8" w16cid:durableId="1591812926">
    <w:abstractNumId w:val="1"/>
  </w:num>
  <w:num w:numId="9" w16cid:durableId="14165526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0F0"/>
    <w:rsid w:val="00444C38"/>
    <w:rsid w:val="00AA1D8D"/>
    <w:rsid w:val="00AD25FC"/>
    <w:rsid w:val="00B47730"/>
    <w:rsid w:val="00CB0664"/>
    <w:rsid w:val="00FC693F"/>
    <w:rsid w:val="0B81ED6F"/>
    <w:rsid w:val="1FA57E59"/>
    <w:rsid w:val="53445989"/>
    <w:rsid w:val="6326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5AEB5C"/>
  <w14:defaultImageDpi w14:val="300"/>
  <w15:docId w15:val="{57FC00CE-9D34-4261-96E3-ABBE7C9720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693F"/>
    <w:rPr>
      <w:rFonts w:ascii="Arial" w:hAnsi="Arial" w:eastAsia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customXml" Target="../customXml/item4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0" /><Relationship Type="http://schemas.openxmlformats.org/officeDocument/2006/relationships/settings" Target="settings.xml" Id="rId4" /><Relationship Type="http://schemas.openxmlformats.org/officeDocument/2006/relationships/customXml" Target="../customXml/item2.xml" Id="rId9" /><Relationship Type="http://schemas.openxmlformats.org/officeDocument/2006/relationships/header" Target="header.xml" Id="R2272c1cbdc61496c" /><Relationship Type="http://schemas.openxmlformats.org/officeDocument/2006/relationships/header" Target="header2.xml" Id="R14509468d5984bec" /><Relationship Type="http://schemas.openxmlformats.org/officeDocument/2006/relationships/footer" Target="footer.xml" Id="R555b3154b0724fa5" /><Relationship Type="http://schemas.openxmlformats.org/officeDocument/2006/relationships/footer" Target="footer2.xml" Id="R9e3e0ad22dd1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Id102746127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2777F4BD659489987D3AF9A79B629" ma:contentTypeVersion="16" ma:contentTypeDescription="Create a new document." ma:contentTypeScope="" ma:versionID="7c3b1a5ee4cd64c8e28ed7f3a679d2d5">
  <xsd:schema xmlns:xsd="http://www.w3.org/2001/XMLSchema" xmlns:xs="http://www.w3.org/2001/XMLSchema" xmlns:p="http://schemas.microsoft.com/office/2006/metadata/properties" xmlns:ns2="7410f791-1dd3-4651-ab2f-f0689a2cedc2" xmlns:ns3="96e2b771-4bb3-4d6e-96c5-1e0c108901ad" targetNamespace="http://schemas.microsoft.com/office/2006/metadata/properties" ma:root="true" ma:fieldsID="85da0bcba113a895a6345faac3b3afca" ns2:_="" ns3:_="">
    <xsd:import namespace="7410f791-1dd3-4651-ab2f-f0689a2cedc2"/>
    <xsd:import namespace="96e2b771-4bb3-4d6e-96c5-1e0c108901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0f791-1dd3-4651-ab2f-f0689a2ce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0d0eb88-04c7-450d-8c84-9c27b6599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2b771-4bb3-4d6e-96c5-1e0c108901a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f2bda5-b64b-4745-8682-07b8c7b0c532}" ma:internalName="TaxCatchAll" ma:showField="CatchAllData" ma:web="96e2b771-4bb3-4d6e-96c5-1e0c108901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e2b771-4bb3-4d6e-96c5-1e0c108901ad" xsi:nil="true"/>
    <lcf76f155ced4ddcb4097134ff3c332f xmlns="7410f791-1dd3-4651-ab2f-f0689a2cedc2">
      <Terms xmlns="http://schemas.microsoft.com/office/infopath/2007/PartnerControls"/>
    </lcf76f155ced4ddcb4097134ff3c332f>
    <SharedWithUsers xmlns="96e2b771-4bb3-4d6e-96c5-1e0c108901a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F839E28-6B7F-4D86-A72F-C4EA0C789AB3}"/>
</file>

<file path=customXml/itemProps3.xml><?xml version="1.0" encoding="utf-8"?>
<ds:datastoreItem xmlns:ds="http://schemas.openxmlformats.org/officeDocument/2006/customXml" ds:itemID="{98D44097-D690-4B63-81A5-23BC10C39CD7}"/>
</file>

<file path=customXml/itemProps4.xml><?xml version="1.0" encoding="utf-8"?>
<ds:datastoreItem xmlns:ds="http://schemas.openxmlformats.org/officeDocument/2006/customXml" ds:itemID="{D0638DDC-EE72-403A-925D-FBE288C53D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Andy Iredale</cp:lastModifiedBy>
  <cp:revision>3</cp:revision>
  <dcterms:created xsi:type="dcterms:W3CDTF">2025-09-26T08:30:00Z</dcterms:created>
  <dcterms:modified xsi:type="dcterms:W3CDTF">2026-02-18T08:55:36Z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0x010100A822777F4BD659489987D3AF9A79B629</vt:lpwstr>
  </property>
  <property fmtid="{D5CDD505-2E9C-101B-9397-08002B2CF9AE}" pid="3" name="Order">
    <vt:r8>3242900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