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1F79" w14:textId="5347C726" w:rsidR="00737DB5" w:rsidRPr="00ED7E56" w:rsidRDefault="00D74DBD" w:rsidP="00D74DBD">
      <w:pPr>
        <w:jc w:val="center"/>
        <w:rPr>
          <w:rFonts w:ascii="NTFPreCursivefk" w:hAnsi="NTFPreCursivefk"/>
          <w:b/>
          <w:sz w:val="28"/>
          <w:szCs w:val="24"/>
        </w:rPr>
      </w:pPr>
      <w:r w:rsidRPr="00ED7E56">
        <w:rPr>
          <w:rFonts w:ascii="NTFPreCursivefk" w:hAnsi="NTFPreCursivefk"/>
          <w:b/>
          <w:sz w:val="28"/>
          <w:szCs w:val="24"/>
        </w:rPr>
        <w:t xml:space="preserve">EYFS </w:t>
      </w:r>
      <w:r w:rsidR="00737DB5" w:rsidRPr="00ED7E56">
        <w:rPr>
          <w:rFonts w:ascii="NTFPreCursivefk" w:hAnsi="NTFPreCursivefk"/>
          <w:b/>
          <w:sz w:val="28"/>
          <w:szCs w:val="24"/>
        </w:rPr>
        <w:t>Phonic &amp; Reading Progress</w:t>
      </w:r>
      <w:r w:rsidRPr="00ED7E56">
        <w:rPr>
          <w:rFonts w:ascii="NTFPreCursivefk" w:hAnsi="NTFPreCursivefk"/>
          <w:b/>
          <w:sz w:val="28"/>
          <w:szCs w:val="24"/>
        </w:rPr>
        <w:t>ion Map</w:t>
      </w:r>
    </w:p>
    <w:p w14:paraId="034BE6C8" w14:textId="67B2C2C2" w:rsidR="009F23D5" w:rsidRPr="00ED7E56" w:rsidRDefault="009F23D5" w:rsidP="009F23D5">
      <w:pPr>
        <w:rPr>
          <w:rFonts w:ascii="NTFPreCursivefk" w:hAnsi="NTFPreCursivefk"/>
          <w:b/>
          <w:sz w:val="32"/>
          <w:szCs w:val="32"/>
        </w:rPr>
      </w:pPr>
      <w:r w:rsidRPr="00ED7E56">
        <w:rPr>
          <w:rFonts w:ascii="NTFPreCursivefk" w:hAnsi="NTFPreCursivefk"/>
          <w:b/>
          <w:sz w:val="32"/>
          <w:szCs w:val="32"/>
        </w:rPr>
        <w:t>Nursery</w:t>
      </w:r>
    </w:p>
    <w:p w14:paraId="0508CF26" w14:textId="6FF603EB" w:rsidR="009F23D5" w:rsidRPr="00530070" w:rsidRDefault="00902571" w:rsidP="009F23D5">
      <w:pPr>
        <w:rPr>
          <w:rFonts w:ascii="NTPreCursivefk" w:hAnsi="NTPreCursivefk"/>
          <w:bCs/>
          <w:sz w:val="32"/>
          <w:szCs w:val="32"/>
        </w:rPr>
      </w:pPr>
      <w:r w:rsidRPr="00530070">
        <w:rPr>
          <w:rFonts w:ascii="NTPreCursivefk" w:hAnsi="NTPreCursivefk"/>
          <w:bCs/>
          <w:sz w:val="32"/>
          <w:szCs w:val="32"/>
        </w:rPr>
        <w:t>Children in our nursery are taught Phase 1 of Letters and Sounds. They move through Aspects1-6, learning and consolidating the associated skills. Aspect 7 runs alongside these throughout the year, with children having lots of opportunity to develop their oral blending and segmenting skills in readiness for reading and writing.</w:t>
      </w:r>
    </w:p>
    <w:tbl>
      <w:tblPr>
        <w:tblStyle w:val="TableGrid"/>
        <w:tblpPr w:leftFromText="180" w:rightFromText="180" w:vertAnchor="page" w:horzAnchor="margin" w:tblpY="3421"/>
        <w:tblW w:w="15477" w:type="dxa"/>
        <w:tblLook w:val="04A0" w:firstRow="1" w:lastRow="0" w:firstColumn="1" w:lastColumn="0" w:noHBand="0" w:noVBand="1"/>
      </w:tblPr>
      <w:tblGrid>
        <w:gridCol w:w="3310"/>
        <w:gridCol w:w="6083"/>
        <w:gridCol w:w="6084"/>
      </w:tblGrid>
      <w:tr w:rsidR="009F23D5" w:rsidRPr="005141F8" w14:paraId="16CE86A2" w14:textId="77777777" w:rsidTr="00902571">
        <w:trPr>
          <w:trHeight w:val="150"/>
        </w:trPr>
        <w:tc>
          <w:tcPr>
            <w:tcW w:w="3310" w:type="dxa"/>
          </w:tcPr>
          <w:p w14:paraId="27B6FB79" w14:textId="77777777" w:rsidR="009F23D5" w:rsidRPr="00ED7E56" w:rsidRDefault="009F23D5" w:rsidP="00902571">
            <w:pPr>
              <w:rPr>
                <w:rFonts w:ascii="NTFPreCursivefk" w:hAnsi="NTFPreCursivefk"/>
                <w:sz w:val="32"/>
                <w:szCs w:val="32"/>
              </w:rPr>
            </w:pPr>
            <w:r w:rsidRPr="00ED7E56">
              <w:rPr>
                <w:rFonts w:ascii="NTFPreCursivefk" w:hAnsi="NTFPreCursivefk"/>
                <w:sz w:val="32"/>
                <w:szCs w:val="32"/>
              </w:rPr>
              <w:t>Aspect</w:t>
            </w:r>
          </w:p>
        </w:tc>
        <w:tc>
          <w:tcPr>
            <w:tcW w:w="12167" w:type="dxa"/>
            <w:gridSpan w:val="2"/>
          </w:tcPr>
          <w:p w14:paraId="31DA17C4" w14:textId="072669BA" w:rsidR="009F23D5" w:rsidRPr="00ED7E56" w:rsidRDefault="009F23D5" w:rsidP="00902571">
            <w:pPr>
              <w:rPr>
                <w:rFonts w:ascii="NTFPreCursivefk" w:hAnsi="NTFPreCursivefk"/>
                <w:sz w:val="32"/>
                <w:szCs w:val="32"/>
              </w:rPr>
            </w:pPr>
            <w:r w:rsidRPr="00ED7E56">
              <w:rPr>
                <w:rFonts w:ascii="NTFPreCursivefk" w:hAnsi="NTFPreCursivefk"/>
                <w:sz w:val="32"/>
                <w:szCs w:val="32"/>
              </w:rPr>
              <w:t>Strand</w:t>
            </w:r>
            <w:r w:rsidRPr="00ED7E56">
              <w:rPr>
                <w:rFonts w:ascii="NTFPreCursivefk" w:hAnsi="NTFPreCursivefk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9F23D5" w:rsidRPr="005141F8" w14:paraId="6693A385" w14:textId="77777777" w:rsidTr="00902571">
        <w:trPr>
          <w:trHeight w:val="63"/>
        </w:trPr>
        <w:tc>
          <w:tcPr>
            <w:tcW w:w="3310" w:type="dxa"/>
            <w:vMerge w:val="restart"/>
          </w:tcPr>
          <w:p w14:paraId="0C0FB2D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1 Environmental sounds</w:t>
            </w:r>
          </w:p>
        </w:tc>
        <w:tc>
          <w:tcPr>
            <w:tcW w:w="12167" w:type="dxa"/>
            <w:gridSpan w:val="2"/>
          </w:tcPr>
          <w:p w14:paraId="514BDE1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Identify sounds they hear inside/outside</w:t>
            </w:r>
          </w:p>
        </w:tc>
      </w:tr>
      <w:tr w:rsidR="009F23D5" w:rsidRPr="005141F8" w14:paraId="5C7D11AC" w14:textId="77777777" w:rsidTr="00902571">
        <w:trPr>
          <w:trHeight w:val="63"/>
        </w:trPr>
        <w:tc>
          <w:tcPr>
            <w:tcW w:w="3310" w:type="dxa"/>
            <w:vMerge/>
          </w:tcPr>
          <w:p w14:paraId="48F501A1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7A4C4EEF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Make noises on different surfaces with hands or drumsticks</w:t>
            </w:r>
          </w:p>
        </w:tc>
      </w:tr>
      <w:tr w:rsidR="009F23D5" w:rsidRPr="005141F8" w14:paraId="1A7900BB" w14:textId="77777777" w:rsidTr="00902571">
        <w:trPr>
          <w:trHeight w:val="63"/>
        </w:trPr>
        <w:tc>
          <w:tcPr>
            <w:tcW w:w="3310" w:type="dxa"/>
            <w:vMerge/>
          </w:tcPr>
          <w:p w14:paraId="451BCE39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56C3394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Sing at different volumes</w:t>
            </w:r>
          </w:p>
        </w:tc>
      </w:tr>
      <w:tr w:rsidR="009F23D5" w:rsidRPr="005141F8" w14:paraId="491721B9" w14:textId="77777777" w:rsidTr="00902571">
        <w:trPr>
          <w:trHeight w:val="63"/>
        </w:trPr>
        <w:tc>
          <w:tcPr>
            <w:tcW w:w="3310" w:type="dxa"/>
            <w:vMerge/>
          </w:tcPr>
          <w:p w14:paraId="2F1DD8A8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70D6CE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Be able to recreate a simple sequence of sounds</w:t>
            </w:r>
          </w:p>
        </w:tc>
      </w:tr>
      <w:tr w:rsidR="009F23D5" w:rsidRPr="005141F8" w14:paraId="6CFAB332" w14:textId="77777777" w:rsidTr="00902571">
        <w:trPr>
          <w:trHeight w:val="63"/>
        </w:trPr>
        <w:tc>
          <w:tcPr>
            <w:tcW w:w="3310" w:type="dxa"/>
            <w:vMerge/>
          </w:tcPr>
          <w:p w14:paraId="1775873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12D0BD4B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Identify some sounds they prefer from a choice</w:t>
            </w:r>
          </w:p>
        </w:tc>
      </w:tr>
      <w:tr w:rsidR="009F23D5" w:rsidRPr="005141F8" w14:paraId="000608E6" w14:textId="77777777" w:rsidTr="00902571">
        <w:trPr>
          <w:trHeight w:val="63"/>
        </w:trPr>
        <w:tc>
          <w:tcPr>
            <w:tcW w:w="3310" w:type="dxa"/>
            <w:vMerge/>
          </w:tcPr>
          <w:p w14:paraId="68B973E8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DA0771B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Add appropriate sound effects to stories with support</w:t>
            </w:r>
          </w:p>
        </w:tc>
      </w:tr>
      <w:tr w:rsidR="009F23D5" w:rsidRPr="005141F8" w14:paraId="6D679DDE" w14:textId="77777777" w:rsidTr="00902571">
        <w:trPr>
          <w:trHeight w:val="63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02901AFA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9F23D5" w:rsidRPr="005141F8" w14:paraId="14DB27B1" w14:textId="77777777" w:rsidTr="00902571">
        <w:trPr>
          <w:trHeight w:val="125"/>
        </w:trPr>
        <w:tc>
          <w:tcPr>
            <w:tcW w:w="3310" w:type="dxa"/>
            <w:vMerge w:val="restart"/>
          </w:tcPr>
          <w:p w14:paraId="3B204C39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2 Instrumental sounds</w:t>
            </w:r>
          </w:p>
        </w:tc>
        <w:tc>
          <w:tcPr>
            <w:tcW w:w="12167" w:type="dxa"/>
            <w:gridSpan w:val="2"/>
          </w:tcPr>
          <w:p w14:paraId="6118F0CF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Identify an instrument being played behind a screen</w:t>
            </w:r>
          </w:p>
        </w:tc>
      </w:tr>
      <w:tr w:rsidR="009F23D5" w:rsidRPr="005141F8" w14:paraId="7C856981" w14:textId="77777777" w:rsidTr="00902571">
        <w:trPr>
          <w:trHeight w:val="125"/>
        </w:trPr>
        <w:tc>
          <w:tcPr>
            <w:tcW w:w="3310" w:type="dxa"/>
            <w:vMerge/>
          </w:tcPr>
          <w:p w14:paraId="368E79C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12E1D3C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Play an instrument louder or quieter</w:t>
            </w:r>
          </w:p>
        </w:tc>
      </w:tr>
      <w:tr w:rsidR="009F23D5" w:rsidRPr="005141F8" w14:paraId="274C930A" w14:textId="77777777" w:rsidTr="00902571">
        <w:trPr>
          <w:trHeight w:val="125"/>
        </w:trPr>
        <w:tc>
          <w:tcPr>
            <w:tcW w:w="3310" w:type="dxa"/>
            <w:vMerge/>
          </w:tcPr>
          <w:p w14:paraId="252D6443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596C357B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Stop and start playing an instrument at a signal</w:t>
            </w:r>
          </w:p>
        </w:tc>
      </w:tr>
      <w:tr w:rsidR="009F23D5" w:rsidRPr="005141F8" w14:paraId="2A6A64F8" w14:textId="77777777" w:rsidTr="00902571">
        <w:trPr>
          <w:trHeight w:val="125"/>
        </w:trPr>
        <w:tc>
          <w:tcPr>
            <w:tcW w:w="3310" w:type="dxa"/>
            <w:vMerge/>
          </w:tcPr>
          <w:p w14:paraId="3FB1BAED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05CFD3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Play instruments in front of others, alone or as part of a group</w:t>
            </w:r>
          </w:p>
        </w:tc>
      </w:tr>
      <w:tr w:rsidR="009F23D5" w:rsidRPr="005141F8" w14:paraId="7BF2A9F2" w14:textId="77777777" w:rsidTr="00902571">
        <w:trPr>
          <w:trHeight w:val="125"/>
        </w:trPr>
        <w:tc>
          <w:tcPr>
            <w:tcW w:w="3310" w:type="dxa"/>
            <w:vMerge/>
          </w:tcPr>
          <w:p w14:paraId="4EB056F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5E04DF2D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Choose instruments to complement animal sounds</w:t>
            </w:r>
          </w:p>
        </w:tc>
      </w:tr>
      <w:tr w:rsidR="009F23D5" w:rsidRPr="005141F8" w14:paraId="58E25218" w14:textId="77777777" w:rsidTr="00902571">
        <w:trPr>
          <w:trHeight w:val="125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276E98A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9F23D5" w:rsidRPr="005141F8" w14:paraId="2B8AAD4A" w14:textId="77777777" w:rsidTr="00902571">
        <w:trPr>
          <w:trHeight w:val="125"/>
        </w:trPr>
        <w:tc>
          <w:tcPr>
            <w:tcW w:w="3310" w:type="dxa"/>
            <w:vMerge w:val="restart"/>
          </w:tcPr>
          <w:p w14:paraId="7D745B5A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3 Body Percussion</w:t>
            </w:r>
          </w:p>
        </w:tc>
        <w:tc>
          <w:tcPr>
            <w:tcW w:w="12167" w:type="dxa"/>
            <w:gridSpan w:val="2"/>
          </w:tcPr>
          <w:p w14:paraId="73E17677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Copy a body sound such as a clap</w:t>
            </w:r>
          </w:p>
        </w:tc>
      </w:tr>
      <w:tr w:rsidR="009F23D5" w:rsidRPr="005141F8" w14:paraId="04632E0A" w14:textId="77777777" w:rsidTr="00902571">
        <w:trPr>
          <w:trHeight w:val="125"/>
        </w:trPr>
        <w:tc>
          <w:tcPr>
            <w:tcW w:w="3310" w:type="dxa"/>
            <w:vMerge/>
          </w:tcPr>
          <w:p w14:paraId="0226C5AE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47A56DD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Join in with action songs</w:t>
            </w:r>
          </w:p>
        </w:tc>
      </w:tr>
      <w:tr w:rsidR="009F23D5" w:rsidRPr="005141F8" w14:paraId="650570C2" w14:textId="77777777" w:rsidTr="00902571">
        <w:trPr>
          <w:trHeight w:val="125"/>
        </w:trPr>
        <w:tc>
          <w:tcPr>
            <w:tcW w:w="3310" w:type="dxa"/>
            <w:vMerge/>
          </w:tcPr>
          <w:p w14:paraId="6BE9E04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064D781C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Identify a body sound</w:t>
            </w:r>
          </w:p>
        </w:tc>
      </w:tr>
      <w:tr w:rsidR="009F23D5" w:rsidRPr="005141F8" w14:paraId="39FE7CF8" w14:textId="77777777" w:rsidTr="00902571">
        <w:trPr>
          <w:trHeight w:val="125"/>
        </w:trPr>
        <w:tc>
          <w:tcPr>
            <w:tcW w:w="3310" w:type="dxa"/>
            <w:vMerge/>
          </w:tcPr>
          <w:p w14:paraId="1CC3B139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1A729D0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Suggest times to be noisy or quiet</w:t>
            </w:r>
          </w:p>
        </w:tc>
      </w:tr>
      <w:tr w:rsidR="009F23D5" w:rsidRPr="005141F8" w14:paraId="5CC0130A" w14:textId="77777777" w:rsidTr="00902571">
        <w:trPr>
          <w:trHeight w:val="125"/>
        </w:trPr>
        <w:tc>
          <w:tcPr>
            <w:tcW w:w="3310" w:type="dxa"/>
            <w:vMerge/>
            <w:tcBorders>
              <w:bottom w:val="single" w:sz="4" w:space="0" w:color="auto"/>
            </w:tcBorders>
          </w:tcPr>
          <w:p w14:paraId="730CF9C0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  <w:tcBorders>
              <w:bottom w:val="single" w:sz="4" w:space="0" w:color="auto"/>
            </w:tcBorders>
          </w:tcPr>
          <w:p w14:paraId="53D63BC7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Move their body in response to music/ sounds</w:t>
            </w:r>
          </w:p>
        </w:tc>
      </w:tr>
      <w:tr w:rsidR="009F23D5" w14:paraId="5F5B4860" w14:textId="77777777" w:rsidTr="00902571">
        <w:trPr>
          <w:trHeight w:val="125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4FA746FD" w14:textId="77777777" w:rsidR="009F23D5" w:rsidRPr="00ED7E56" w:rsidRDefault="009F23D5" w:rsidP="00902571">
            <w:pPr>
              <w:rPr>
                <w:rFonts w:ascii="NTFPreCursivefk" w:hAnsi="NTFPreCursivefk"/>
              </w:rPr>
            </w:pPr>
          </w:p>
        </w:tc>
      </w:tr>
      <w:tr w:rsidR="009F23D5" w:rsidRPr="005141F8" w14:paraId="5719D196" w14:textId="77777777" w:rsidTr="00902571">
        <w:trPr>
          <w:trHeight w:val="75"/>
        </w:trPr>
        <w:tc>
          <w:tcPr>
            <w:tcW w:w="3310" w:type="dxa"/>
            <w:vMerge w:val="restart"/>
          </w:tcPr>
          <w:p w14:paraId="4BF47D5D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4 Rhythm and Rhyme</w:t>
            </w:r>
          </w:p>
        </w:tc>
        <w:tc>
          <w:tcPr>
            <w:tcW w:w="12167" w:type="dxa"/>
            <w:gridSpan w:val="2"/>
          </w:tcPr>
          <w:p w14:paraId="7D7A479A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Join in with repetitive story/song refrains</w:t>
            </w:r>
          </w:p>
        </w:tc>
      </w:tr>
      <w:tr w:rsidR="009F23D5" w:rsidRPr="005141F8" w14:paraId="7BEE666B" w14:textId="77777777" w:rsidTr="00902571">
        <w:trPr>
          <w:trHeight w:val="75"/>
        </w:trPr>
        <w:tc>
          <w:tcPr>
            <w:tcW w:w="3310" w:type="dxa"/>
            <w:vMerge/>
          </w:tcPr>
          <w:p w14:paraId="148A3E0A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167AB13E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Move in time with a beat</w:t>
            </w:r>
          </w:p>
        </w:tc>
      </w:tr>
      <w:tr w:rsidR="009F23D5" w:rsidRPr="005141F8" w14:paraId="74875CCF" w14:textId="77777777" w:rsidTr="00902571">
        <w:trPr>
          <w:trHeight w:val="75"/>
        </w:trPr>
        <w:tc>
          <w:tcPr>
            <w:tcW w:w="3310" w:type="dxa"/>
            <w:vMerge/>
          </w:tcPr>
          <w:p w14:paraId="03DC2158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EF7D3DC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Play rhyming bingo</w:t>
            </w:r>
          </w:p>
        </w:tc>
      </w:tr>
      <w:tr w:rsidR="009F23D5" w:rsidRPr="005141F8" w14:paraId="51B5F3A6" w14:textId="77777777" w:rsidTr="00902571">
        <w:trPr>
          <w:trHeight w:val="75"/>
        </w:trPr>
        <w:tc>
          <w:tcPr>
            <w:tcW w:w="3310" w:type="dxa"/>
            <w:vMerge/>
          </w:tcPr>
          <w:p w14:paraId="080072C1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143F0BD7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Match rhyming items</w:t>
            </w:r>
          </w:p>
        </w:tc>
      </w:tr>
      <w:tr w:rsidR="009F23D5" w:rsidRPr="005141F8" w14:paraId="71E0210B" w14:textId="77777777" w:rsidTr="00902571">
        <w:trPr>
          <w:trHeight w:val="75"/>
        </w:trPr>
        <w:tc>
          <w:tcPr>
            <w:tcW w:w="3310" w:type="dxa"/>
            <w:vMerge/>
          </w:tcPr>
          <w:p w14:paraId="4C50F827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594CC9A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Complete a familiar rhyme</w:t>
            </w:r>
          </w:p>
        </w:tc>
      </w:tr>
      <w:tr w:rsidR="009F23D5" w:rsidRPr="005141F8" w14:paraId="19A72CA1" w14:textId="77777777" w:rsidTr="00902571">
        <w:trPr>
          <w:trHeight w:val="75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3E6090FE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9F23D5" w:rsidRPr="005141F8" w14:paraId="6C16A1AB" w14:textId="77777777" w:rsidTr="00902571">
        <w:trPr>
          <w:trHeight w:val="75"/>
        </w:trPr>
        <w:tc>
          <w:tcPr>
            <w:tcW w:w="3310" w:type="dxa"/>
            <w:vMerge w:val="restart"/>
          </w:tcPr>
          <w:p w14:paraId="3D67D37C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5 Alliteration</w:t>
            </w:r>
          </w:p>
        </w:tc>
        <w:tc>
          <w:tcPr>
            <w:tcW w:w="12167" w:type="dxa"/>
            <w:gridSpan w:val="2"/>
          </w:tcPr>
          <w:p w14:paraId="53292253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Match 2 items that have the same initial sound</w:t>
            </w:r>
          </w:p>
        </w:tc>
      </w:tr>
      <w:tr w:rsidR="009F23D5" w:rsidRPr="005141F8" w14:paraId="4EDC0925" w14:textId="77777777" w:rsidTr="00902571">
        <w:trPr>
          <w:trHeight w:val="75"/>
        </w:trPr>
        <w:tc>
          <w:tcPr>
            <w:tcW w:w="3310" w:type="dxa"/>
            <w:vMerge/>
          </w:tcPr>
          <w:p w14:paraId="3B44FCF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60A902C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 xml:space="preserve">Copy exaggerated sounds such as </w:t>
            </w:r>
            <w:proofErr w:type="spellStart"/>
            <w:r w:rsidRPr="00ED7E56">
              <w:rPr>
                <w:rFonts w:ascii="NTFPreCursivefk" w:hAnsi="NTFPreCursivefk"/>
                <w:sz w:val="24"/>
                <w:szCs w:val="24"/>
              </w:rPr>
              <w:t>ssssssss</w:t>
            </w:r>
            <w:proofErr w:type="spellEnd"/>
          </w:p>
        </w:tc>
      </w:tr>
      <w:tr w:rsidR="009F23D5" w:rsidRPr="005141F8" w14:paraId="595AFEA1" w14:textId="77777777" w:rsidTr="00902571">
        <w:trPr>
          <w:trHeight w:val="75"/>
        </w:trPr>
        <w:tc>
          <w:tcPr>
            <w:tcW w:w="3310" w:type="dxa"/>
            <w:vMerge/>
          </w:tcPr>
          <w:p w14:paraId="6A57B88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424E854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Suggest a person/object when given an initial sound</w:t>
            </w:r>
          </w:p>
        </w:tc>
      </w:tr>
      <w:tr w:rsidR="009F23D5" w:rsidRPr="005141F8" w14:paraId="726721E2" w14:textId="77777777" w:rsidTr="00902571">
        <w:trPr>
          <w:trHeight w:val="75"/>
        </w:trPr>
        <w:tc>
          <w:tcPr>
            <w:tcW w:w="3310" w:type="dxa"/>
            <w:vMerge/>
          </w:tcPr>
          <w:p w14:paraId="12E75589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4FC92396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Suggest non-words beginning with a selected initial sound</w:t>
            </w:r>
          </w:p>
        </w:tc>
      </w:tr>
      <w:tr w:rsidR="009F23D5" w:rsidRPr="005141F8" w14:paraId="46D7093D" w14:textId="77777777" w:rsidTr="00902571">
        <w:trPr>
          <w:trHeight w:val="75"/>
        </w:trPr>
        <w:tc>
          <w:tcPr>
            <w:tcW w:w="3310" w:type="dxa"/>
            <w:vMerge/>
          </w:tcPr>
          <w:p w14:paraId="798BC69F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024FB4C8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Can make correct mouth movements for simple sounds</w:t>
            </w:r>
          </w:p>
        </w:tc>
      </w:tr>
      <w:tr w:rsidR="009F23D5" w:rsidRPr="005141F8" w14:paraId="4DA95AA1" w14:textId="77777777" w:rsidTr="00902571">
        <w:trPr>
          <w:trHeight w:val="75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428A45ED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9F23D5" w:rsidRPr="005141F8" w14:paraId="6B2EFF7C" w14:textId="77777777" w:rsidTr="00902571">
        <w:trPr>
          <w:trHeight w:val="56"/>
        </w:trPr>
        <w:tc>
          <w:tcPr>
            <w:tcW w:w="3310" w:type="dxa"/>
            <w:vMerge w:val="restart"/>
          </w:tcPr>
          <w:p w14:paraId="7506C1E7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6 Voice Sounds</w:t>
            </w:r>
          </w:p>
        </w:tc>
        <w:tc>
          <w:tcPr>
            <w:tcW w:w="12167" w:type="dxa"/>
            <w:gridSpan w:val="2"/>
          </w:tcPr>
          <w:p w14:paraId="1F49BEF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Explore mouth movements such as blowing, sucking, wiggling their tongue</w:t>
            </w:r>
          </w:p>
        </w:tc>
      </w:tr>
      <w:tr w:rsidR="009F23D5" w:rsidRPr="005141F8" w14:paraId="09D8D3FA" w14:textId="77777777" w:rsidTr="00902571">
        <w:trPr>
          <w:trHeight w:val="53"/>
        </w:trPr>
        <w:tc>
          <w:tcPr>
            <w:tcW w:w="3310" w:type="dxa"/>
            <w:vMerge/>
          </w:tcPr>
          <w:p w14:paraId="050C336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401BE97A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 xml:space="preserve">Make voice sounds such as </w:t>
            </w:r>
            <w:proofErr w:type="spellStart"/>
            <w:r w:rsidRPr="00ED7E56">
              <w:rPr>
                <w:rFonts w:ascii="NTFPreCursivefk" w:hAnsi="NTFPreCursivefk"/>
                <w:sz w:val="24"/>
                <w:szCs w:val="24"/>
              </w:rPr>
              <w:t>weeeee</w:t>
            </w:r>
            <w:proofErr w:type="spellEnd"/>
          </w:p>
        </w:tc>
      </w:tr>
      <w:tr w:rsidR="009F23D5" w:rsidRPr="005141F8" w14:paraId="29C5BA13" w14:textId="77777777" w:rsidTr="00902571">
        <w:trPr>
          <w:trHeight w:val="53"/>
        </w:trPr>
        <w:tc>
          <w:tcPr>
            <w:tcW w:w="3310" w:type="dxa"/>
            <w:vMerge/>
          </w:tcPr>
          <w:p w14:paraId="5E48CB73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29B1EC5F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Experiment with their voice sounds such as shouting, whispering and squeaking.</w:t>
            </w:r>
          </w:p>
        </w:tc>
      </w:tr>
      <w:tr w:rsidR="009F23D5" w:rsidRPr="005141F8" w14:paraId="1EF925AA" w14:textId="77777777" w:rsidTr="00902571">
        <w:trPr>
          <w:trHeight w:val="53"/>
        </w:trPr>
        <w:tc>
          <w:tcPr>
            <w:tcW w:w="3310" w:type="dxa"/>
            <w:vMerge/>
          </w:tcPr>
          <w:p w14:paraId="21804245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507B22F6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Experiment with different animal sounds</w:t>
            </w:r>
          </w:p>
        </w:tc>
      </w:tr>
      <w:tr w:rsidR="009F23D5" w:rsidRPr="005141F8" w14:paraId="358C80FE" w14:textId="77777777" w:rsidTr="00902571">
        <w:trPr>
          <w:trHeight w:val="326"/>
        </w:trPr>
        <w:tc>
          <w:tcPr>
            <w:tcW w:w="3310" w:type="dxa"/>
            <w:vMerge/>
          </w:tcPr>
          <w:p w14:paraId="5726AC9E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01B91CA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Describe a sound such as high, low, short, quiet</w:t>
            </w:r>
          </w:p>
        </w:tc>
      </w:tr>
      <w:tr w:rsidR="009F23D5" w:rsidRPr="005141F8" w14:paraId="013D28E4" w14:textId="77777777" w:rsidTr="00902571">
        <w:trPr>
          <w:trHeight w:val="53"/>
        </w:trPr>
        <w:tc>
          <w:tcPr>
            <w:tcW w:w="3310" w:type="dxa"/>
            <w:vMerge/>
          </w:tcPr>
          <w:p w14:paraId="6A3D59B4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2167" w:type="dxa"/>
            <w:gridSpan w:val="2"/>
          </w:tcPr>
          <w:p w14:paraId="4EA73F88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Can copy sound talk e.g. p-i-n</w:t>
            </w:r>
          </w:p>
        </w:tc>
      </w:tr>
      <w:tr w:rsidR="009F23D5" w:rsidRPr="005141F8" w14:paraId="65358BD0" w14:textId="77777777" w:rsidTr="00902571">
        <w:trPr>
          <w:trHeight w:val="53"/>
        </w:trPr>
        <w:tc>
          <w:tcPr>
            <w:tcW w:w="15477" w:type="dxa"/>
            <w:gridSpan w:val="3"/>
            <w:shd w:val="clear" w:color="auto" w:fill="D9D9D9" w:themeFill="background1" w:themeFillShade="D9"/>
          </w:tcPr>
          <w:p w14:paraId="22565632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9F23D5" w:rsidRPr="005141F8" w14:paraId="3AE96453" w14:textId="77777777" w:rsidTr="00902571">
        <w:trPr>
          <w:trHeight w:val="327"/>
        </w:trPr>
        <w:tc>
          <w:tcPr>
            <w:tcW w:w="3310" w:type="dxa"/>
            <w:vMerge w:val="restart"/>
          </w:tcPr>
          <w:p w14:paraId="52419320" w14:textId="77777777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7 Oral blending and segmenting</w:t>
            </w:r>
          </w:p>
        </w:tc>
        <w:tc>
          <w:tcPr>
            <w:tcW w:w="6083" w:type="dxa"/>
          </w:tcPr>
          <w:p w14:paraId="2657F0FC" w14:textId="0912050E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Identify items by oral blending e.g. t-a-p…tap!</w:t>
            </w:r>
          </w:p>
        </w:tc>
        <w:tc>
          <w:tcPr>
            <w:tcW w:w="6083" w:type="dxa"/>
            <w:vMerge w:val="restart"/>
          </w:tcPr>
          <w:p w14:paraId="38B60BA4" w14:textId="5479A08D" w:rsidR="009F23D5" w:rsidRPr="00ED7E56" w:rsidRDefault="00EF18FD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This aspect is taught alongside all other aspects throughout the year.</w:t>
            </w:r>
          </w:p>
        </w:tc>
      </w:tr>
      <w:tr w:rsidR="009F23D5" w:rsidRPr="005141F8" w14:paraId="6AD6EFD2" w14:textId="77777777" w:rsidTr="00902571">
        <w:trPr>
          <w:trHeight w:val="313"/>
        </w:trPr>
        <w:tc>
          <w:tcPr>
            <w:tcW w:w="3310" w:type="dxa"/>
            <w:vMerge/>
          </w:tcPr>
          <w:p w14:paraId="2FCE8805" w14:textId="77777777" w:rsidR="009F23D5" w:rsidRPr="005141F8" w:rsidRDefault="009F23D5" w:rsidP="0090257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6083" w:type="dxa"/>
          </w:tcPr>
          <w:p w14:paraId="4D039BF6" w14:textId="6EC0F910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Speak in sound talk e.g. d-o-g</w:t>
            </w:r>
          </w:p>
        </w:tc>
        <w:tc>
          <w:tcPr>
            <w:tcW w:w="6083" w:type="dxa"/>
            <w:vMerge/>
          </w:tcPr>
          <w:p w14:paraId="2144E376" w14:textId="674E96FF" w:rsidR="009F23D5" w:rsidRPr="005141F8" w:rsidRDefault="009F23D5" w:rsidP="0090257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F23D5" w:rsidRPr="005141F8" w14:paraId="6727F6E3" w14:textId="77777777" w:rsidTr="00902571">
        <w:trPr>
          <w:trHeight w:val="313"/>
        </w:trPr>
        <w:tc>
          <w:tcPr>
            <w:tcW w:w="3310" w:type="dxa"/>
            <w:vMerge/>
          </w:tcPr>
          <w:p w14:paraId="52BB2FD8" w14:textId="77777777" w:rsidR="009F23D5" w:rsidRPr="005141F8" w:rsidRDefault="009F23D5" w:rsidP="0090257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6083" w:type="dxa"/>
          </w:tcPr>
          <w:p w14:paraId="25B68D11" w14:textId="219916F2" w:rsidR="009F23D5" w:rsidRPr="00ED7E56" w:rsidRDefault="009F23D5" w:rsidP="00902571">
            <w:pPr>
              <w:rPr>
                <w:rFonts w:ascii="NTFPreCursivefk" w:hAnsi="NTFPreCursivefk"/>
                <w:sz w:val="24"/>
                <w:szCs w:val="24"/>
              </w:rPr>
            </w:pPr>
            <w:r w:rsidRPr="00ED7E56">
              <w:rPr>
                <w:rFonts w:ascii="NTFPreCursivefk" w:hAnsi="NTFPreCursivefk"/>
                <w:sz w:val="24"/>
                <w:szCs w:val="24"/>
              </w:rPr>
              <w:t>Count or clap out phonemes in CVC words.</w:t>
            </w:r>
          </w:p>
        </w:tc>
        <w:tc>
          <w:tcPr>
            <w:tcW w:w="6083" w:type="dxa"/>
            <w:vMerge/>
          </w:tcPr>
          <w:p w14:paraId="72274250" w14:textId="4E6F7A60" w:rsidR="009F23D5" w:rsidRPr="005141F8" w:rsidRDefault="009F23D5" w:rsidP="00902571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2696159A" w14:textId="77777777" w:rsidR="00902571" w:rsidRPr="00902571" w:rsidRDefault="00902571" w:rsidP="00902571">
      <w:pPr>
        <w:rPr>
          <w:rFonts w:ascii="NTPreCursivefk" w:hAnsi="NTPreCursivefk"/>
          <w:b/>
          <w:bCs/>
          <w:sz w:val="32"/>
          <w:szCs w:val="32"/>
        </w:rPr>
      </w:pPr>
      <w:bookmarkStart w:id="0" w:name="_GoBack"/>
      <w:bookmarkEnd w:id="0"/>
    </w:p>
    <w:p w14:paraId="66C76F9D" w14:textId="0C11BC7F" w:rsidR="00902571" w:rsidRDefault="00902571" w:rsidP="00902571">
      <w:pPr>
        <w:rPr>
          <w:rFonts w:ascii="NTPreCursivefk" w:hAnsi="NTPreCursivefk"/>
          <w:b/>
          <w:bCs/>
          <w:sz w:val="32"/>
          <w:szCs w:val="32"/>
        </w:rPr>
      </w:pPr>
      <w:r w:rsidRPr="00902571">
        <w:rPr>
          <w:rFonts w:ascii="NTPreCursivefk" w:hAnsi="NTPreCursivefk"/>
          <w:b/>
          <w:bCs/>
          <w:sz w:val="32"/>
          <w:szCs w:val="32"/>
        </w:rPr>
        <w:t>Reception</w:t>
      </w:r>
    </w:p>
    <w:p w14:paraId="03AB80F4" w14:textId="77777777" w:rsidR="00A62105" w:rsidRPr="00530070" w:rsidRDefault="00902571" w:rsidP="00902571">
      <w:pPr>
        <w:rPr>
          <w:rFonts w:ascii="NTPreCursivefk" w:hAnsi="NTPreCursivefk"/>
          <w:bCs/>
          <w:sz w:val="32"/>
          <w:szCs w:val="32"/>
        </w:rPr>
      </w:pPr>
      <w:r w:rsidRPr="00530070">
        <w:rPr>
          <w:rFonts w:ascii="NTPreCursivefk" w:hAnsi="NTPreCursivefk"/>
          <w:bCs/>
          <w:sz w:val="32"/>
          <w:szCs w:val="32"/>
        </w:rPr>
        <w:t>In Rece</w:t>
      </w:r>
      <w:r w:rsidR="00F75C2E" w:rsidRPr="00530070">
        <w:rPr>
          <w:rFonts w:ascii="NTPreCursivefk" w:hAnsi="NTPreCursivefk"/>
          <w:bCs/>
          <w:sz w:val="32"/>
          <w:szCs w:val="32"/>
        </w:rPr>
        <w:t>ption, our children are taught</w:t>
      </w:r>
      <w:r w:rsidRPr="00530070">
        <w:rPr>
          <w:rFonts w:ascii="NTPreCursivefk" w:hAnsi="NTPreCursivefk"/>
          <w:bCs/>
          <w:sz w:val="32"/>
          <w:szCs w:val="32"/>
        </w:rPr>
        <w:t xml:space="preserve"> Phases 2, 3 and 4 of Letters and Sounds</w:t>
      </w:r>
      <w:r w:rsidR="00F75C2E" w:rsidRPr="00530070">
        <w:rPr>
          <w:rFonts w:ascii="NTPreCursivefk" w:hAnsi="NTPreCursivefk"/>
          <w:bCs/>
          <w:sz w:val="32"/>
          <w:szCs w:val="32"/>
        </w:rPr>
        <w:t xml:space="preserve">, using our bespoke mnemonics and picture cards for each phoneme. </w:t>
      </w:r>
      <w:r w:rsidR="00A62105" w:rsidRPr="00530070">
        <w:rPr>
          <w:rFonts w:ascii="NTPreCursivefk" w:hAnsi="NTPreCursivefk"/>
          <w:bCs/>
          <w:sz w:val="32"/>
          <w:szCs w:val="32"/>
        </w:rPr>
        <w:t>Our children apply and consolidate their phonic knowledge by reading Phonics Bug books at home and a combination of Phonics Bugs and Bug Club books in Guided Reading.</w:t>
      </w:r>
    </w:p>
    <w:p w14:paraId="3122B1A3" w14:textId="657ECE9B" w:rsidR="00902571" w:rsidRPr="00530070" w:rsidRDefault="00F75C2E" w:rsidP="00902571">
      <w:pPr>
        <w:rPr>
          <w:rFonts w:ascii="NTPreCursivefk" w:hAnsi="NTPreCursivefk"/>
          <w:bCs/>
          <w:sz w:val="32"/>
          <w:szCs w:val="32"/>
        </w:rPr>
      </w:pPr>
      <w:r w:rsidRPr="00530070">
        <w:rPr>
          <w:rFonts w:ascii="NTPreCursivefk" w:hAnsi="NTPreCursivefk"/>
          <w:bCs/>
          <w:sz w:val="32"/>
          <w:szCs w:val="32"/>
        </w:rPr>
        <w:t>From Spring 1 Term, the children are s</w:t>
      </w:r>
      <w:r w:rsidR="00A62105" w:rsidRPr="00530070">
        <w:rPr>
          <w:rFonts w:ascii="NTPreCursivefk" w:hAnsi="NTPreCursivefk"/>
          <w:bCs/>
          <w:sz w:val="32"/>
          <w:szCs w:val="32"/>
        </w:rPr>
        <w:t xml:space="preserve">treamed into 4 different </w:t>
      </w:r>
      <w:r w:rsidRPr="00530070">
        <w:rPr>
          <w:rFonts w:ascii="NTPreCursivefk" w:hAnsi="NTPreCursivefk"/>
          <w:bCs/>
          <w:sz w:val="32"/>
          <w:szCs w:val="32"/>
        </w:rPr>
        <w:t>groups according to the pace of their progress in Phonics</w:t>
      </w:r>
      <w:r w:rsidR="00A62105" w:rsidRPr="00530070">
        <w:rPr>
          <w:rFonts w:ascii="NTPreCursivefk" w:hAnsi="NTPreCursivefk"/>
          <w:bCs/>
          <w:sz w:val="32"/>
          <w:szCs w:val="32"/>
        </w:rPr>
        <w:t>, each led by a member of the Early Years team</w:t>
      </w:r>
      <w:r w:rsidRPr="00530070">
        <w:rPr>
          <w:rFonts w:ascii="NTPreCursivefk" w:hAnsi="NTPreCursivefk"/>
          <w:bCs/>
          <w:sz w:val="32"/>
          <w:szCs w:val="32"/>
        </w:rPr>
        <w:t xml:space="preserve">. The children’s learning is tracked closely throughout the year to ensure </w:t>
      </w:r>
      <w:r w:rsidR="00A62105" w:rsidRPr="00530070">
        <w:rPr>
          <w:rFonts w:ascii="NTPreCursivefk" w:hAnsi="NTPreCursivefk"/>
          <w:bCs/>
          <w:sz w:val="32"/>
          <w:szCs w:val="32"/>
        </w:rPr>
        <w:t>that our teaching matches their current phonic needs. Staff rotate between the groups to keep track of all of the children’s needs.</w:t>
      </w:r>
    </w:p>
    <w:p w14:paraId="1E2DCE63" w14:textId="690C2662" w:rsidR="00A62105" w:rsidRPr="00530070" w:rsidRDefault="00A62105" w:rsidP="00902571">
      <w:pPr>
        <w:rPr>
          <w:rFonts w:ascii="NTPreCursivefk" w:hAnsi="NTPreCursivefk"/>
          <w:bCs/>
          <w:sz w:val="32"/>
          <w:szCs w:val="32"/>
        </w:rPr>
      </w:pPr>
      <w:r w:rsidRPr="00530070">
        <w:rPr>
          <w:rFonts w:ascii="NTPreCursivefk" w:hAnsi="NTPreCursivefk"/>
          <w:bCs/>
          <w:sz w:val="32"/>
          <w:szCs w:val="32"/>
        </w:rPr>
        <w:t xml:space="preserve">For those children who are showing readiness, we begin to teach Phase 5, typically in the </w:t>
      </w:r>
      <w:r w:rsidR="00530070" w:rsidRPr="00530070">
        <w:rPr>
          <w:rFonts w:ascii="NTPreCursivefk" w:hAnsi="NTPreCursivefk"/>
          <w:bCs/>
          <w:sz w:val="32"/>
          <w:szCs w:val="32"/>
        </w:rPr>
        <w:t>summer</w:t>
      </w:r>
      <w:r w:rsidRPr="00530070">
        <w:rPr>
          <w:rFonts w:ascii="NTPreCursivefk" w:hAnsi="NTPreCursivefk"/>
          <w:bCs/>
          <w:sz w:val="32"/>
          <w:szCs w:val="32"/>
        </w:rPr>
        <w:t xml:space="preserve"> term. </w:t>
      </w:r>
    </w:p>
    <w:p w14:paraId="6E0E23AD" w14:textId="5D36A2F1" w:rsidR="00530070" w:rsidRPr="00530070" w:rsidRDefault="00530070" w:rsidP="00902571">
      <w:pPr>
        <w:rPr>
          <w:rFonts w:ascii="NTPreCursivefk" w:hAnsi="NTPreCursivefk"/>
          <w:bCs/>
          <w:sz w:val="32"/>
          <w:szCs w:val="32"/>
        </w:rPr>
      </w:pPr>
      <w:r w:rsidRPr="00530070">
        <w:rPr>
          <w:rFonts w:ascii="NTPreCursivefk" w:hAnsi="NTPreCursivefk"/>
          <w:bCs/>
          <w:sz w:val="32"/>
          <w:szCs w:val="32"/>
        </w:rPr>
        <w:t xml:space="preserve">Typical Phonics Progression is as follows: </w:t>
      </w:r>
    </w:p>
    <w:p w14:paraId="1415D6F0" w14:textId="77777777" w:rsidR="00530070" w:rsidRDefault="00530070" w:rsidP="00902571">
      <w:pPr>
        <w:rPr>
          <w:rFonts w:ascii="NTPreCursivefk" w:hAnsi="NTPreCursivefk"/>
          <w:b/>
          <w:bCs/>
          <w:sz w:val="32"/>
          <w:szCs w:val="32"/>
        </w:rPr>
      </w:pPr>
    </w:p>
    <w:p w14:paraId="24E3716F" w14:textId="77777777" w:rsidR="00530070" w:rsidRPr="00902571" w:rsidRDefault="00530070" w:rsidP="00902571">
      <w:pPr>
        <w:rPr>
          <w:rFonts w:ascii="NTPreCursivefk" w:hAnsi="NTPreCursivefk"/>
          <w:b/>
          <w:bCs/>
          <w:sz w:val="32"/>
          <w:szCs w:val="32"/>
        </w:rPr>
      </w:pPr>
    </w:p>
    <w:p w14:paraId="5E92AAB3" w14:textId="27B028C2" w:rsidR="00737DB5" w:rsidRPr="002429C6" w:rsidRDefault="00D74DBD" w:rsidP="00D74DBD">
      <w:pPr>
        <w:jc w:val="center"/>
        <w:rPr>
          <w:rFonts w:ascii="NTPreCursivefk" w:hAnsi="NTPreCursivefk"/>
          <w:b/>
          <w:bCs/>
        </w:rPr>
      </w:pPr>
      <w:r w:rsidRPr="002429C6">
        <w:rPr>
          <w:rFonts w:ascii="NTPreCursivefk" w:hAnsi="NTPreCursivefk"/>
          <w:b/>
          <w:bCs/>
        </w:rPr>
        <w:lastRenderedPageBreak/>
        <w:t>High Frequency Word Tracker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2164"/>
        <w:gridCol w:w="1985"/>
        <w:gridCol w:w="2007"/>
        <w:gridCol w:w="1539"/>
        <w:gridCol w:w="1539"/>
        <w:gridCol w:w="1539"/>
        <w:gridCol w:w="1539"/>
      </w:tblGrid>
      <w:tr w:rsidR="00902571" w:rsidRPr="002429C6" w14:paraId="247D0CC4" w14:textId="77777777" w:rsidTr="00D74DBD">
        <w:trPr>
          <w:jc w:val="center"/>
        </w:trPr>
        <w:tc>
          <w:tcPr>
            <w:tcW w:w="3076" w:type="dxa"/>
            <w:gridSpan w:val="2"/>
            <w:shd w:val="clear" w:color="auto" w:fill="FFC000"/>
          </w:tcPr>
          <w:p w14:paraId="5D98FAF1" w14:textId="06E2215F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Phase 2</w:t>
            </w:r>
          </w:p>
        </w:tc>
        <w:tc>
          <w:tcPr>
            <w:tcW w:w="6156" w:type="dxa"/>
            <w:gridSpan w:val="3"/>
            <w:shd w:val="clear" w:color="auto" w:fill="7030A0"/>
          </w:tcPr>
          <w:p w14:paraId="24BF6618" w14:textId="589CD131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Phase 3</w:t>
            </w:r>
          </w:p>
        </w:tc>
        <w:tc>
          <w:tcPr>
            <w:tcW w:w="6156" w:type="dxa"/>
            <w:gridSpan w:val="4"/>
            <w:shd w:val="clear" w:color="auto" w:fill="00B050"/>
          </w:tcPr>
          <w:p w14:paraId="4E18B24D" w14:textId="3D76F2FD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Phase 4</w:t>
            </w:r>
          </w:p>
        </w:tc>
      </w:tr>
      <w:tr w:rsidR="009F23D5" w:rsidRPr="002429C6" w14:paraId="3437BC9E" w14:textId="77777777" w:rsidTr="00737DB5">
        <w:trPr>
          <w:jc w:val="center"/>
        </w:trPr>
        <w:tc>
          <w:tcPr>
            <w:tcW w:w="1538" w:type="dxa"/>
          </w:tcPr>
          <w:p w14:paraId="1470D8D8" w14:textId="3F2E381C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I</w:t>
            </w:r>
          </w:p>
          <w:p w14:paraId="3D998C54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the</w:t>
            </w:r>
          </w:p>
          <w:p w14:paraId="6C5F780B" w14:textId="665C2251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to</w:t>
            </w:r>
          </w:p>
        </w:tc>
        <w:tc>
          <w:tcPr>
            <w:tcW w:w="1538" w:type="dxa"/>
          </w:tcPr>
          <w:p w14:paraId="26B0EE0D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no</w:t>
            </w:r>
          </w:p>
          <w:p w14:paraId="68C9F126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go</w:t>
            </w:r>
          </w:p>
          <w:p w14:paraId="258D2AB8" w14:textId="30B57F49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into</w:t>
            </w:r>
          </w:p>
        </w:tc>
        <w:tc>
          <w:tcPr>
            <w:tcW w:w="2164" w:type="dxa"/>
          </w:tcPr>
          <w:p w14:paraId="32088E90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he</w:t>
            </w:r>
          </w:p>
          <w:p w14:paraId="58C8BD06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she</w:t>
            </w:r>
          </w:p>
          <w:p w14:paraId="130ADC9C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we</w:t>
            </w:r>
          </w:p>
          <w:p w14:paraId="25C27887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me</w:t>
            </w:r>
          </w:p>
          <w:p w14:paraId="33AC9DE6" w14:textId="1EB8542F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be</w:t>
            </w:r>
          </w:p>
        </w:tc>
        <w:tc>
          <w:tcPr>
            <w:tcW w:w="1985" w:type="dxa"/>
          </w:tcPr>
          <w:p w14:paraId="2B7D17E0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was</w:t>
            </w:r>
          </w:p>
          <w:p w14:paraId="4014CED6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you</w:t>
            </w:r>
          </w:p>
          <w:p w14:paraId="00325E38" w14:textId="0026C05B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are</w:t>
            </w:r>
          </w:p>
        </w:tc>
        <w:tc>
          <w:tcPr>
            <w:tcW w:w="2007" w:type="dxa"/>
          </w:tcPr>
          <w:p w14:paraId="555333FA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her</w:t>
            </w:r>
          </w:p>
          <w:p w14:paraId="73FDECB6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all</w:t>
            </w:r>
          </w:p>
          <w:p w14:paraId="6F6EFBB9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they</w:t>
            </w:r>
          </w:p>
          <w:p w14:paraId="0C7C2F9A" w14:textId="0FBBE0EB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me</w:t>
            </w:r>
          </w:p>
        </w:tc>
        <w:tc>
          <w:tcPr>
            <w:tcW w:w="1539" w:type="dxa"/>
          </w:tcPr>
          <w:p w14:paraId="3F186265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said</w:t>
            </w:r>
          </w:p>
          <w:p w14:paraId="20AE7081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have</w:t>
            </w:r>
          </w:p>
          <w:p w14:paraId="2E1CAEDF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like</w:t>
            </w:r>
          </w:p>
          <w:p w14:paraId="133AF04E" w14:textId="09544E4C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so</w:t>
            </w:r>
          </w:p>
        </w:tc>
        <w:tc>
          <w:tcPr>
            <w:tcW w:w="1539" w:type="dxa"/>
          </w:tcPr>
          <w:p w14:paraId="23095D91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do</w:t>
            </w:r>
          </w:p>
          <w:p w14:paraId="43E3A241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some</w:t>
            </w:r>
          </w:p>
          <w:p w14:paraId="694AB856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some</w:t>
            </w:r>
          </w:p>
          <w:p w14:paraId="57218D24" w14:textId="41C3C11A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little</w:t>
            </w:r>
          </w:p>
        </w:tc>
        <w:tc>
          <w:tcPr>
            <w:tcW w:w="1539" w:type="dxa"/>
          </w:tcPr>
          <w:p w14:paraId="2DFD50B3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one</w:t>
            </w:r>
          </w:p>
          <w:p w14:paraId="7E9C1A21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were</w:t>
            </w:r>
          </w:p>
          <w:p w14:paraId="3D308FBF" w14:textId="7D34ABAE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there</w:t>
            </w:r>
          </w:p>
        </w:tc>
        <w:tc>
          <w:tcPr>
            <w:tcW w:w="1539" w:type="dxa"/>
          </w:tcPr>
          <w:p w14:paraId="234C2E55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what</w:t>
            </w:r>
          </w:p>
          <w:p w14:paraId="7749807B" w14:textId="77777777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went</w:t>
            </w:r>
          </w:p>
          <w:p w14:paraId="0B075AEC" w14:textId="33BD5A8D" w:rsidR="00737DB5" w:rsidRPr="002429C6" w:rsidRDefault="00737DB5" w:rsidP="00D74DBD">
            <w:pPr>
              <w:jc w:val="center"/>
              <w:rPr>
                <w:rFonts w:ascii="NTPreCursivefk" w:hAnsi="NTPreCursivefk"/>
                <w:sz w:val="24"/>
                <w:szCs w:val="24"/>
              </w:rPr>
            </w:pPr>
            <w:r w:rsidRPr="002429C6">
              <w:rPr>
                <w:rFonts w:ascii="NTPreCursivefk" w:hAnsi="NTPreCursivefk"/>
                <w:sz w:val="24"/>
                <w:szCs w:val="24"/>
              </w:rPr>
              <w:t>out</w:t>
            </w:r>
          </w:p>
        </w:tc>
      </w:tr>
    </w:tbl>
    <w:p w14:paraId="7272BFE5" w14:textId="0247A81F" w:rsidR="00737DB5" w:rsidRPr="002429C6" w:rsidRDefault="00737DB5" w:rsidP="00D74DBD">
      <w:pPr>
        <w:jc w:val="center"/>
        <w:rPr>
          <w:rFonts w:ascii="NTPreCursivefk" w:hAnsi="NTPreCursivefk"/>
        </w:rPr>
      </w:pPr>
    </w:p>
    <w:p w14:paraId="12095906" w14:textId="7338B7AC" w:rsidR="00737DB5" w:rsidRPr="002429C6" w:rsidRDefault="00737DB5" w:rsidP="00D74DBD">
      <w:pPr>
        <w:jc w:val="center"/>
        <w:rPr>
          <w:rFonts w:ascii="NTPreCursivefk" w:hAnsi="NTPreCursivefk"/>
          <w:b/>
          <w:bCs/>
        </w:rPr>
      </w:pPr>
      <w:r w:rsidRPr="002429C6">
        <w:rPr>
          <w:rFonts w:ascii="NTPreCursivefk" w:hAnsi="NTPreCursivefk"/>
          <w:b/>
          <w:bCs/>
        </w:rPr>
        <w:t>Phase 2/3 Tracker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2559"/>
        <w:gridCol w:w="2560"/>
        <w:gridCol w:w="2560"/>
        <w:gridCol w:w="2560"/>
        <w:gridCol w:w="2564"/>
      </w:tblGrid>
      <w:tr w:rsidR="00737DB5" w:rsidRPr="002429C6" w14:paraId="492E033F" w14:textId="77777777" w:rsidTr="00D74DBD">
        <w:trPr>
          <w:trHeight w:val="214"/>
        </w:trPr>
        <w:tc>
          <w:tcPr>
            <w:tcW w:w="15362" w:type="dxa"/>
            <w:gridSpan w:val="6"/>
            <w:shd w:val="clear" w:color="auto" w:fill="FFC000"/>
          </w:tcPr>
          <w:p w14:paraId="6513D723" w14:textId="07A837AE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Phase 2</w:t>
            </w:r>
          </w:p>
        </w:tc>
      </w:tr>
      <w:tr w:rsidR="00737DB5" w:rsidRPr="002429C6" w14:paraId="469C7244" w14:textId="77777777" w:rsidTr="00530070">
        <w:trPr>
          <w:trHeight w:val="222"/>
        </w:trPr>
        <w:tc>
          <w:tcPr>
            <w:tcW w:w="2559" w:type="dxa"/>
          </w:tcPr>
          <w:p w14:paraId="053F7091" w14:textId="0D539C9F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s a t p</w:t>
            </w:r>
          </w:p>
        </w:tc>
        <w:tc>
          <w:tcPr>
            <w:tcW w:w="2559" w:type="dxa"/>
          </w:tcPr>
          <w:p w14:paraId="6DCE14A2" w14:textId="70E1F49C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i n m d</w:t>
            </w:r>
          </w:p>
        </w:tc>
        <w:tc>
          <w:tcPr>
            <w:tcW w:w="2560" w:type="dxa"/>
          </w:tcPr>
          <w:p w14:paraId="15FA8044" w14:textId="21D41DB7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g o c k</w:t>
            </w:r>
          </w:p>
        </w:tc>
        <w:tc>
          <w:tcPr>
            <w:tcW w:w="2560" w:type="dxa"/>
          </w:tcPr>
          <w:p w14:paraId="46177C75" w14:textId="438229DD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ck e u r</w:t>
            </w:r>
          </w:p>
        </w:tc>
        <w:tc>
          <w:tcPr>
            <w:tcW w:w="2560" w:type="dxa"/>
          </w:tcPr>
          <w:p w14:paraId="0E0E607C" w14:textId="73A38DFC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h b f ff</w:t>
            </w:r>
          </w:p>
        </w:tc>
        <w:tc>
          <w:tcPr>
            <w:tcW w:w="2564" w:type="dxa"/>
          </w:tcPr>
          <w:p w14:paraId="58982F91" w14:textId="43E82E97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 xml:space="preserve">l </w:t>
            </w:r>
            <w:proofErr w:type="spellStart"/>
            <w:r w:rsidRPr="002429C6">
              <w:rPr>
                <w:rFonts w:ascii="NTPreCursivefk" w:hAnsi="NTPreCursivefk"/>
              </w:rPr>
              <w:t>ll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ss</w:t>
            </w:r>
            <w:proofErr w:type="spellEnd"/>
          </w:p>
        </w:tc>
      </w:tr>
    </w:tbl>
    <w:p w14:paraId="61EB4582" w14:textId="0B108BC3" w:rsidR="00737DB5" w:rsidRPr="002429C6" w:rsidRDefault="00737DB5" w:rsidP="00D74DBD">
      <w:pPr>
        <w:jc w:val="center"/>
        <w:rPr>
          <w:rFonts w:ascii="NTPreCursivefk" w:hAnsi="NTPreCursivef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  <w:gridCol w:w="2197"/>
        <w:gridCol w:w="2197"/>
        <w:gridCol w:w="2201"/>
      </w:tblGrid>
      <w:tr w:rsidR="00737DB5" w:rsidRPr="002429C6" w14:paraId="0AC23256" w14:textId="5DC45122" w:rsidTr="00D74DBD">
        <w:trPr>
          <w:trHeight w:val="250"/>
        </w:trPr>
        <w:tc>
          <w:tcPr>
            <w:tcW w:w="15383" w:type="dxa"/>
            <w:gridSpan w:val="7"/>
            <w:shd w:val="clear" w:color="auto" w:fill="7030A0"/>
          </w:tcPr>
          <w:p w14:paraId="4F696B67" w14:textId="21747460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Phase 3</w:t>
            </w:r>
          </w:p>
        </w:tc>
      </w:tr>
      <w:tr w:rsidR="00737DB5" w:rsidRPr="002429C6" w14:paraId="44E43756" w14:textId="1A4A3765" w:rsidTr="00530070">
        <w:trPr>
          <w:trHeight w:val="260"/>
        </w:trPr>
        <w:tc>
          <w:tcPr>
            <w:tcW w:w="2197" w:type="dxa"/>
          </w:tcPr>
          <w:p w14:paraId="5711C43D" w14:textId="33BB83EE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j v w x</w:t>
            </w:r>
          </w:p>
        </w:tc>
        <w:tc>
          <w:tcPr>
            <w:tcW w:w="2197" w:type="dxa"/>
          </w:tcPr>
          <w:p w14:paraId="5FA23E70" w14:textId="008E7177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 xml:space="preserve">y z </w:t>
            </w:r>
            <w:proofErr w:type="spellStart"/>
            <w:r w:rsidRPr="002429C6">
              <w:rPr>
                <w:rFonts w:ascii="NTPreCursivefk" w:hAnsi="NTPreCursivefk"/>
              </w:rPr>
              <w:t>zz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qu</w:t>
            </w:r>
            <w:proofErr w:type="spellEnd"/>
          </w:p>
        </w:tc>
        <w:tc>
          <w:tcPr>
            <w:tcW w:w="2197" w:type="dxa"/>
          </w:tcPr>
          <w:p w14:paraId="6E422634" w14:textId="22C67A6A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proofErr w:type="spellStart"/>
            <w:r w:rsidRPr="002429C6">
              <w:rPr>
                <w:rFonts w:ascii="NTPreCursivefk" w:hAnsi="NTPreCursivefk"/>
              </w:rPr>
              <w:t>ch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sh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th</w:t>
            </w:r>
            <w:proofErr w:type="spellEnd"/>
            <w:r w:rsidRPr="002429C6">
              <w:rPr>
                <w:rFonts w:ascii="NTPreCursivefk" w:hAnsi="NTPreCursivefk"/>
              </w:rPr>
              <w:t xml:space="preserve"> ng</w:t>
            </w:r>
          </w:p>
        </w:tc>
        <w:tc>
          <w:tcPr>
            <w:tcW w:w="2197" w:type="dxa"/>
          </w:tcPr>
          <w:p w14:paraId="7AC078B8" w14:textId="308EA9D1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proofErr w:type="spellStart"/>
            <w:r w:rsidRPr="002429C6">
              <w:rPr>
                <w:rFonts w:ascii="NTPreCursivefk" w:hAnsi="NTPreCursivefk"/>
              </w:rPr>
              <w:t>ai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ee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igh</w:t>
            </w:r>
            <w:proofErr w:type="spellEnd"/>
            <w:r w:rsidRPr="002429C6">
              <w:rPr>
                <w:rFonts w:ascii="NTPreCursivefk" w:hAnsi="NTPreCursivefk"/>
              </w:rPr>
              <w:t xml:space="preserve"> </w:t>
            </w:r>
            <w:proofErr w:type="spellStart"/>
            <w:r w:rsidRPr="002429C6">
              <w:rPr>
                <w:rFonts w:ascii="NTPreCursivefk" w:hAnsi="NTPreCursivefk"/>
              </w:rPr>
              <w:t>oa</w:t>
            </w:r>
            <w:proofErr w:type="spellEnd"/>
          </w:p>
        </w:tc>
        <w:tc>
          <w:tcPr>
            <w:tcW w:w="2197" w:type="dxa"/>
          </w:tcPr>
          <w:p w14:paraId="101ACE36" w14:textId="7661BEA4" w:rsidR="00737DB5" w:rsidRPr="002429C6" w:rsidRDefault="00530070" w:rsidP="00D74DBD">
            <w:pPr>
              <w:jc w:val="center"/>
              <w:rPr>
                <w:rFonts w:ascii="NTPreCursivefk" w:hAnsi="NTPreCursivefk"/>
              </w:rPr>
            </w:pPr>
            <w:proofErr w:type="spellStart"/>
            <w:r>
              <w:rPr>
                <w:rFonts w:ascii="NTPreCursivefk" w:hAnsi="NTPreCursivefk"/>
              </w:rPr>
              <w:t>oo</w:t>
            </w:r>
            <w:proofErr w:type="spellEnd"/>
            <w:r>
              <w:rPr>
                <w:rFonts w:ascii="NTPreCursivefk" w:hAnsi="NTPreCursivefk"/>
              </w:rPr>
              <w:t xml:space="preserve"> </w:t>
            </w:r>
            <w:proofErr w:type="spellStart"/>
            <w:r>
              <w:rPr>
                <w:rFonts w:ascii="NTPreCursivefk" w:hAnsi="NTPreCursivefk"/>
              </w:rPr>
              <w:t>o</w:t>
            </w:r>
            <w:r w:rsidR="00737DB5" w:rsidRPr="002429C6">
              <w:rPr>
                <w:rFonts w:ascii="NTPreCursivefk" w:hAnsi="NTPreCursivefk"/>
              </w:rPr>
              <w:t>o</w:t>
            </w:r>
            <w:proofErr w:type="spellEnd"/>
            <w:r>
              <w:rPr>
                <w:rFonts w:ascii="NTPreCursivefk" w:hAnsi="NTPreCursivefk"/>
              </w:rPr>
              <w:t xml:space="preserve"> </w:t>
            </w:r>
            <w:proofErr w:type="spellStart"/>
            <w:r w:rsidR="00737DB5" w:rsidRPr="002429C6">
              <w:rPr>
                <w:rFonts w:ascii="NTPreCursivefk" w:hAnsi="NTPreCursivefk"/>
              </w:rPr>
              <w:t>ar</w:t>
            </w:r>
            <w:proofErr w:type="spellEnd"/>
            <w:r w:rsidR="00737DB5" w:rsidRPr="002429C6">
              <w:rPr>
                <w:rFonts w:ascii="NTPreCursivefk" w:hAnsi="NTPreCursivefk"/>
              </w:rPr>
              <w:t xml:space="preserve"> or</w:t>
            </w:r>
          </w:p>
        </w:tc>
        <w:tc>
          <w:tcPr>
            <w:tcW w:w="2197" w:type="dxa"/>
          </w:tcPr>
          <w:p w14:paraId="06AF6965" w14:textId="745B18A0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ow oi er</w:t>
            </w:r>
          </w:p>
        </w:tc>
        <w:tc>
          <w:tcPr>
            <w:tcW w:w="2201" w:type="dxa"/>
          </w:tcPr>
          <w:p w14:paraId="2C3BE387" w14:textId="4EA39EFB" w:rsidR="00737DB5" w:rsidRPr="002429C6" w:rsidRDefault="00737DB5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 xml:space="preserve">ear air </w:t>
            </w:r>
            <w:proofErr w:type="spellStart"/>
            <w:r w:rsidRPr="002429C6">
              <w:rPr>
                <w:rFonts w:ascii="NTPreCursivefk" w:hAnsi="NTPreCursivefk"/>
              </w:rPr>
              <w:t>ure</w:t>
            </w:r>
            <w:proofErr w:type="spellEnd"/>
          </w:p>
        </w:tc>
      </w:tr>
    </w:tbl>
    <w:p w14:paraId="5AF10D1E" w14:textId="0BA15268" w:rsidR="00737DB5" w:rsidRPr="002429C6" w:rsidRDefault="00737DB5" w:rsidP="00D74DBD">
      <w:pPr>
        <w:jc w:val="center"/>
        <w:rPr>
          <w:rFonts w:ascii="NTPreCursivefk" w:hAnsi="NTPreCursivefk"/>
        </w:rPr>
      </w:pPr>
    </w:p>
    <w:p w14:paraId="46E316DA" w14:textId="1E910BB4" w:rsidR="00737DB5" w:rsidRPr="002429C6" w:rsidRDefault="00737DB5" w:rsidP="00D74DBD">
      <w:pPr>
        <w:jc w:val="center"/>
        <w:rPr>
          <w:rFonts w:ascii="NTPreCursivefk" w:hAnsi="NTPreCursivefk"/>
          <w:b/>
          <w:bCs/>
        </w:rPr>
      </w:pPr>
      <w:r w:rsidRPr="002429C6">
        <w:rPr>
          <w:rFonts w:ascii="NTPreCursivefk" w:hAnsi="NTPreCursivefk"/>
          <w:b/>
          <w:bCs/>
        </w:rPr>
        <w:t>Blending and Segmenting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1398"/>
        <w:gridCol w:w="1451"/>
        <w:gridCol w:w="1415"/>
        <w:gridCol w:w="1393"/>
        <w:gridCol w:w="1417"/>
        <w:gridCol w:w="1448"/>
        <w:gridCol w:w="1321"/>
        <w:gridCol w:w="1398"/>
        <w:gridCol w:w="1455"/>
        <w:gridCol w:w="1255"/>
      </w:tblGrid>
      <w:tr w:rsidR="00D74DBD" w:rsidRPr="002429C6" w14:paraId="0C75EFC0" w14:textId="394B6B75" w:rsidTr="00D74DBD">
        <w:tc>
          <w:tcPr>
            <w:tcW w:w="1437" w:type="dxa"/>
            <w:shd w:val="clear" w:color="auto" w:fill="E2EFD9" w:themeFill="accent6" w:themeFillTint="33"/>
          </w:tcPr>
          <w:p w14:paraId="3E50CCF0" w14:textId="77777777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Reading initial sounds</w:t>
            </w:r>
          </w:p>
          <w:p w14:paraId="405B985D" w14:textId="575B69A3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individual letters</w:t>
            </w:r>
          </w:p>
        </w:tc>
        <w:tc>
          <w:tcPr>
            <w:tcW w:w="1398" w:type="dxa"/>
            <w:shd w:val="clear" w:color="auto" w:fill="E2EFD9" w:themeFill="accent6" w:themeFillTint="33"/>
          </w:tcPr>
          <w:p w14:paraId="33593386" w14:textId="77777777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Blending sounds into words</w:t>
            </w:r>
          </w:p>
          <w:p w14:paraId="14F0F5CA" w14:textId="302E75AC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Oral blending</w:t>
            </w:r>
          </w:p>
        </w:tc>
        <w:tc>
          <w:tcPr>
            <w:tcW w:w="1451" w:type="dxa"/>
            <w:shd w:val="clear" w:color="auto" w:fill="C5E0B3" w:themeFill="accent6" w:themeFillTint="66"/>
          </w:tcPr>
          <w:p w14:paraId="7B11FD3A" w14:textId="33D1C47B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Reading letter groups (Digraphs) to represent one sound.</w:t>
            </w:r>
          </w:p>
        </w:tc>
        <w:tc>
          <w:tcPr>
            <w:tcW w:w="1415" w:type="dxa"/>
            <w:shd w:val="clear" w:color="auto" w:fill="C5E0B3" w:themeFill="accent6" w:themeFillTint="66"/>
          </w:tcPr>
          <w:p w14:paraId="7C2C98C5" w14:textId="16D58ABE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Read a few common exception words</w:t>
            </w:r>
          </w:p>
        </w:tc>
        <w:tc>
          <w:tcPr>
            <w:tcW w:w="1393" w:type="dxa"/>
            <w:shd w:val="clear" w:color="auto" w:fill="A8D08D" w:themeFill="accent6" w:themeFillTint="99"/>
          </w:tcPr>
          <w:p w14:paraId="55EDC3C3" w14:textId="5C1EAE56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Segment and blend words in reading book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1D7BF5F8" w14:textId="337717C1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Read simple words and sentences with known letter sounds</w:t>
            </w:r>
          </w:p>
        </w:tc>
        <w:tc>
          <w:tcPr>
            <w:tcW w:w="1448" w:type="dxa"/>
            <w:shd w:val="clear" w:color="auto" w:fill="538135" w:themeFill="accent6" w:themeFillShade="BF"/>
          </w:tcPr>
          <w:p w14:paraId="3797F4AD" w14:textId="5BF91AA9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Reread books to build up confidence and fluency</w:t>
            </w:r>
          </w:p>
        </w:tc>
        <w:tc>
          <w:tcPr>
            <w:tcW w:w="1321" w:type="dxa"/>
            <w:shd w:val="clear" w:color="auto" w:fill="538135" w:themeFill="accent6" w:themeFillShade="BF"/>
          </w:tcPr>
          <w:p w14:paraId="5B92528F" w14:textId="2FE9D63F" w:rsidR="00D74DBD" w:rsidRPr="002429C6" w:rsidRDefault="00D74DBD" w:rsidP="00D74DBD">
            <w:pPr>
              <w:jc w:val="center"/>
              <w:rPr>
                <w:rFonts w:ascii="NTPreCursivefk" w:hAnsi="NTPreCursivefk"/>
              </w:rPr>
            </w:pPr>
            <w:r w:rsidRPr="002429C6">
              <w:rPr>
                <w:rFonts w:ascii="NTPreCursivefk" w:hAnsi="NTPreCursivefk"/>
              </w:rPr>
              <w:t>Recall of more tricky words</w:t>
            </w:r>
          </w:p>
        </w:tc>
        <w:tc>
          <w:tcPr>
            <w:tcW w:w="1398" w:type="dxa"/>
            <w:shd w:val="clear" w:color="auto" w:fill="385623" w:themeFill="accent6" w:themeFillShade="80"/>
          </w:tcPr>
          <w:p w14:paraId="17761D41" w14:textId="764AE799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r w:rsidRPr="002429C6">
              <w:rPr>
                <w:rFonts w:ascii="NTPreCursivefk" w:hAnsi="NTPreCursivefk"/>
                <w:color w:val="FFFFFF" w:themeColor="background1"/>
              </w:rPr>
              <w:t>Know at least 10 digraphs</w:t>
            </w:r>
          </w:p>
        </w:tc>
        <w:tc>
          <w:tcPr>
            <w:tcW w:w="1455" w:type="dxa"/>
            <w:shd w:val="clear" w:color="auto" w:fill="385623" w:themeFill="accent6" w:themeFillShade="80"/>
          </w:tcPr>
          <w:p w14:paraId="294D1045" w14:textId="1A6D3FBA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r w:rsidRPr="002429C6">
              <w:rPr>
                <w:rFonts w:ascii="NTPreCursivefk" w:hAnsi="NTPreCursivefk"/>
                <w:color w:val="FFFFFF" w:themeColor="background1"/>
              </w:rPr>
              <w:t>Read aloud books containing phase 2 and 3 sounds</w:t>
            </w:r>
          </w:p>
        </w:tc>
        <w:tc>
          <w:tcPr>
            <w:tcW w:w="1255" w:type="dxa"/>
            <w:shd w:val="clear" w:color="auto" w:fill="385623" w:themeFill="accent6" w:themeFillShade="80"/>
          </w:tcPr>
          <w:p w14:paraId="7746E7FE" w14:textId="77777777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r w:rsidRPr="002429C6">
              <w:rPr>
                <w:rFonts w:ascii="NTPreCursivefk" w:hAnsi="NTPreCursivefk"/>
                <w:color w:val="FFFFFF" w:themeColor="background1"/>
              </w:rPr>
              <w:t>Read words containing blends</w:t>
            </w:r>
          </w:p>
          <w:p w14:paraId="00FF73C7" w14:textId="77777777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proofErr w:type="spellStart"/>
            <w:r w:rsidRPr="002429C6">
              <w:rPr>
                <w:rFonts w:ascii="NTPreCursivefk" w:hAnsi="NTPreCursivefk"/>
                <w:color w:val="FFFFFF" w:themeColor="background1"/>
              </w:rPr>
              <w:t>cvcc</w:t>
            </w:r>
            <w:proofErr w:type="spellEnd"/>
          </w:p>
          <w:p w14:paraId="2AB285A4" w14:textId="77777777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proofErr w:type="spellStart"/>
            <w:r w:rsidRPr="002429C6">
              <w:rPr>
                <w:rFonts w:ascii="NTPreCursivefk" w:hAnsi="NTPreCursivefk"/>
                <w:color w:val="FFFFFF" w:themeColor="background1"/>
              </w:rPr>
              <w:t>ccvc</w:t>
            </w:r>
            <w:proofErr w:type="spellEnd"/>
          </w:p>
          <w:p w14:paraId="1D662DF0" w14:textId="6C9BA7AE" w:rsidR="00D74DBD" w:rsidRPr="002429C6" w:rsidRDefault="00D74DBD" w:rsidP="00D74DBD">
            <w:pPr>
              <w:jc w:val="center"/>
              <w:rPr>
                <w:rFonts w:ascii="NTPreCursivefk" w:hAnsi="NTPreCursivefk"/>
                <w:color w:val="FFFFFF" w:themeColor="background1"/>
              </w:rPr>
            </w:pPr>
            <w:proofErr w:type="spellStart"/>
            <w:r w:rsidRPr="002429C6">
              <w:rPr>
                <w:rFonts w:ascii="NTPreCursivefk" w:hAnsi="NTPreCursivefk"/>
                <w:color w:val="FFFFFF" w:themeColor="background1"/>
              </w:rPr>
              <w:t>ccvcc</w:t>
            </w:r>
            <w:proofErr w:type="spellEnd"/>
          </w:p>
        </w:tc>
      </w:tr>
    </w:tbl>
    <w:p w14:paraId="3D7AAC17" w14:textId="77777777" w:rsidR="00737DB5" w:rsidRPr="00737DB5" w:rsidRDefault="00737DB5" w:rsidP="00D74DBD">
      <w:pPr>
        <w:jc w:val="center"/>
        <w:rPr>
          <w:rFonts w:ascii="Twinkl" w:hAnsi="Twinkl"/>
        </w:rPr>
      </w:pPr>
    </w:p>
    <w:sectPr w:rsidR="00737DB5" w:rsidRPr="00737DB5" w:rsidSect="00737D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fk">
    <w:altName w:val="Arabic Typesetting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5"/>
    <w:rsid w:val="002429C6"/>
    <w:rsid w:val="00530070"/>
    <w:rsid w:val="00737DB5"/>
    <w:rsid w:val="00902571"/>
    <w:rsid w:val="009F23D5"/>
    <w:rsid w:val="00A62105"/>
    <w:rsid w:val="00D74DBD"/>
    <w:rsid w:val="00ED7E56"/>
    <w:rsid w:val="00EF18FD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243B"/>
  <w15:docId w15:val="{77AEDA0A-0D34-4EF0-83EB-0DA95AD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Askew</dc:creator>
  <cp:lastModifiedBy>Hayley Gilbert</cp:lastModifiedBy>
  <cp:revision>2</cp:revision>
  <dcterms:created xsi:type="dcterms:W3CDTF">2021-09-01T10:07:00Z</dcterms:created>
  <dcterms:modified xsi:type="dcterms:W3CDTF">2021-09-01T10:07:00Z</dcterms:modified>
</cp:coreProperties>
</file>