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A08BD" w14:textId="77777777" w:rsidR="00585DB6" w:rsidRDefault="00585DB6">
      <w:pPr>
        <w:widowControl w:val="0"/>
        <w:pBdr>
          <w:top w:val="nil"/>
          <w:left w:val="nil"/>
          <w:bottom w:val="nil"/>
          <w:right w:val="nil"/>
          <w:between w:val="nil"/>
        </w:pBdr>
        <w:spacing w:after="0" w:line="276" w:lineRule="auto"/>
      </w:pPr>
    </w:p>
    <w:p w14:paraId="0A1DE380" w14:textId="77777777" w:rsidR="00585DB6" w:rsidRDefault="0032728D">
      <w:pPr>
        <w:pBdr>
          <w:top w:val="nil"/>
          <w:left w:val="nil"/>
          <w:bottom w:val="nil"/>
          <w:right w:val="nil"/>
          <w:between w:val="nil"/>
        </w:pBdr>
        <w:jc w:val="center"/>
        <w:rPr>
          <w:rFonts w:ascii="Calibri" w:eastAsia="Calibri" w:hAnsi="Calibri" w:cs="Calibri"/>
          <w:b/>
          <w:bCs/>
          <w:color w:val="000000"/>
          <w:sz w:val="144"/>
          <w:szCs w:val="144"/>
        </w:rPr>
      </w:pPr>
      <w:r>
        <w:rPr>
          <w:rFonts w:ascii="Calibri" w:eastAsia="Calibri" w:hAnsi="Calibri" w:cs="Calibri"/>
          <w:b/>
          <w:bCs/>
          <w:color w:val="000000"/>
          <w:sz w:val="144"/>
          <w:szCs w:val="144"/>
        </w:rPr>
        <w:t>Pupil Allergy Policy</w:t>
      </w:r>
    </w:p>
    <w:p w14:paraId="37AD58C0" w14:textId="77777777" w:rsidR="00585DB6" w:rsidRDefault="00585DB6">
      <w:pPr>
        <w:pBdr>
          <w:top w:val="nil"/>
          <w:left w:val="nil"/>
          <w:bottom w:val="nil"/>
          <w:right w:val="nil"/>
          <w:between w:val="nil"/>
        </w:pBdr>
        <w:rPr>
          <w:rFonts w:ascii="Calibri" w:eastAsia="Calibri" w:hAnsi="Calibri" w:cs="Calibri"/>
          <w:color w:val="000000"/>
        </w:rPr>
      </w:pPr>
    </w:p>
    <w:p w14:paraId="1032A0E2" w14:textId="77777777" w:rsidR="00585DB6" w:rsidRDefault="00585DB6">
      <w:pPr>
        <w:pBdr>
          <w:top w:val="nil"/>
          <w:left w:val="nil"/>
          <w:bottom w:val="nil"/>
          <w:right w:val="nil"/>
          <w:between w:val="nil"/>
        </w:pBdr>
        <w:rPr>
          <w:rFonts w:ascii="Calibri" w:eastAsia="Calibri" w:hAnsi="Calibri" w:cs="Calibri"/>
          <w:color w:val="000000"/>
        </w:rPr>
      </w:pPr>
    </w:p>
    <w:p w14:paraId="0152BD7F" w14:textId="77777777" w:rsidR="00585DB6" w:rsidRDefault="00585DB6">
      <w:pPr>
        <w:pBdr>
          <w:top w:val="nil"/>
          <w:left w:val="nil"/>
          <w:bottom w:val="nil"/>
          <w:right w:val="nil"/>
          <w:between w:val="nil"/>
        </w:pBdr>
        <w:rPr>
          <w:rFonts w:ascii="Calibri" w:eastAsia="Calibri" w:hAnsi="Calibri" w:cs="Calibri"/>
          <w:color w:val="000000"/>
        </w:rPr>
      </w:pPr>
    </w:p>
    <w:p w14:paraId="5E3C57E0" w14:textId="77777777" w:rsidR="00585DB6" w:rsidRDefault="0032728D">
      <w:pPr>
        <w:pBdr>
          <w:top w:val="nil"/>
          <w:left w:val="nil"/>
          <w:bottom w:val="nil"/>
          <w:right w:val="nil"/>
          <w:between w:val="nil"/>
        </w:pBdr>
        <w:rPr>
          <w:rFonts w:ascii="Calibri" w:eastAsia="Calibri" w:hAnsi="Calibri" w:cs="Calibri"/>
          <w:color w:val="000000"/>
        </w:rPr>
      </w:pPr>
      <w:r>
        <w:rPr>
          <w:noProof/>
        </w:rPr>
        <w:drawing>
          <wp:anchor distT="0" distB="0" distL="114300" distR="114300" simplePos="0" relativeHeight="251658240" behindDoc="0" locked="0" layoutInCell="1" hidden="0" allowOverlap="1" wp14:anchorId="19E03221" wp14:editId="48EFEABD">
            <wp:simplePos x="0" y="0"/>
            <wp:positionH relativeFrom="column">
              <wp:posOffset>1508124</wp:posOffset>
            </wp:positionH>
            <wp:positionV relativeFrom="paragraph">
              <wp:posOffset>222250</wp:posOffset>
            </wp:positionV>
            <wp:extent cx="3172460" cy="2571115"/>
            <wp:effectExtent l="0" t="0" r="0" b="0"/>
            <wp:wrapSquare wrapText="bothSides" distT="0" distB="0" distL="114300" distR="11430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172460" cy="2571115"/>
                    </a:xfrm>
                    <a:prstGeom prst="rect">
                      <a:avLst/>
                    </a:prstGeom>
                    <a:ln/>
                  </pic:spPr>
                </pic:pic>
              </a:graphicData>
            </a:graphic>
          </wp:anchor>
        </w:drawing>
      </w:r>
    </w:p>
    <w:p w14:paraId="4C0402B1" w14:textId="77777777" w:rsidR="00585DB6" w:rsidRDefault="00585DB6">
      <w:pPr>
        <w:pBdr>
          <w:top w:val="nil"/>
          <w:left w:val="nil"/>
          <w:bottom w:val="nil"/>
          <w:right w:val="nil"/>
          <w:between w:val="nil"/>
        </w:pBdr>
        <w:rPr>
          <w:rFonts w:ascii="Calibri" w:eastAsia="Calibri" w:hAnsi="Calibri" w:cs="Calibri"/>
          <w:color w:val="000000"/>
        </w:rPr>
      </w:pPr>
    </w:p>
    <w:p w14:paraId="50E82F32" w14:textId="77777777" w:rsidR="00585DB6" w:rsidRDefault="00585DB6">
      <w:pPr>
        <w:pBdr>
          <w:top w:val="nil"/>
          <w:left w:val="nil"/>
          <w:bottom w:val="nil"/>
          <w:right w:val="nil"/>
          <w:between w:val="nil"/>
        </w:pBdr>
        <w:rPr>
          <w:rFonts w:ascii="Calibri" w:eastAsia="Calibri" w:hAnsi="Calibri" w:cs="Calibri"/>
          <w:color w:val="000000"/>
        </w:rPr>
      </w:pPr>
    </w:p>
    <w:p w14:paraId="76676468" w14:textId="77777777" w:rsidR="00585DB6" w:rsidRDefault="00585DB6">
      <w:pPr>
        <w:pBdr>
          <w:top w:val="nil"/>
          <w:left w:val="nil"/>
          <w:bottom w:val="nil"/>
          <w:right w:val="nil"/>
          <w:between w:val="nil"/>
        </w:pBdr>
        <w:rPr>
          <w:rFonts w:ascii="Calibri" w:eastAsia="Calibri" w:hAnsi="Calibri" w:cs="Calibri"/>
          <w:color w:val="000000"/>
        </w:rPr>
      </w:pPr>
    </w:p>
    <w:p w14:paraId="7783E26A" w14:textId="77777777" w:rsidR="00585DB6" w:rsidRDefault="00585DB6">
      <w:pPr>
        <w:pBdr>
          <w:top w:val="nil"/>
          <w:left w:val="nil"/>
          <w:bottom w:val="nil"/>
          <w:right w:val="nil"/>
          <w:between w:val="nil"/>
        </w:pBdr>
        <w:rPr>
          <w:rFonts w:ascii="Calibri" w:eastAsia="Calibri" w:hAnsi="Calibri" w:cs="Calibri"/>
          <w:color w:val="000000"/>
        </w:rPr>
      </w:pPr>
    </w:p>
    <w:p w14:paraId="1991E76F" w14:textId="77777777" w:rsidR="00585DB6" w:rsidRDefault="00585DB6">
      <w:pPr>
        <w:pBdr>
          <w:top w:val="nil"/>
          <w:left w:val="nil"/>
          <w:bottom w:val="nil"/>
          <w:right w:val="nil"/>
          <w:between w:val="nil"/>
        </w:pBdr>
        <w:rPr>
          <w:rFonts w:ascii="Calibri" w:eastAsia="Calibri" w:hAnsi="Calibri" w:cs="Calibri"/>
          <w:color w:val="000000"/>
        </w:rPr>
      </w:pPr>
    </w:p>
    <w:p w14:paraId="0D684899" w14:textId="77777777" w:rsidR="00585DB6" w:rsidRDefault="00585DB6">
      <w:pPr>
        <w:pBdr>
          <w:top w:val="nil"/>
          <w:left w:val="nil"/>
          <w:bottom w:val="nil"/>
          <w:right w:val="nil"/>
          <w:between w:val="nil"/>
        </w:pBdr>
        <w:rPr>
          <w:rFonts w:ascii="Calibri" w:eastAsia="Calibri" w:hAnsi="Calibri" w:cs="Calibri"/>
          <w:color w:val="000000"/>
        </w:rPr>
      </w:pPr>
    </w:p>
    <w:p w14:paraId="74B5BCB1" w14:textId="77777777" w:rsidR="00585DB6" w:rsidRDefault="00585DB6">
      <w:pPr>
        <w:pBdr>
          <w:top w:val="nil"/>
          <w:left w:val="nil"/>
          <w:bottom w:val="nil"/>
          <w:right w:val="nil"/>
          <w:between w:val="nil"/>
        </w:pBdr>
        <w:rPr>
          <w:rFonts w:ascii="Calibri" w:eastAsia="Calibri" w:hAnsi="Calibri" w:cs="Calibri"/>
          <w:color w:val="000000"/>
        </w:rPr>
      </w:pPr>
    </w:p>
    <w:p w14:paraId="7B14CB75" w14:textId="77777777" w:rsidR="00585DB6" w:rsidRDefault="00585DB6">
      <w:pPr>
        <w:pBdr>
          <w:top w:val="nil"/>
          <w:left w:val="nil"/>
          <w:bottom w:val="nil"/>
          <w:right w:val="nil"/>
          <w:between w:val="nil"/>
        </w:pBdr>
        <w:rPr>
          <w:rFonts w:ascii="Calibri" w:eastAsia="Calibri" w:hAnsi="Calibri" w:cs="Calibri"/>
          <w:color w:val="000000"/>
        </w:rPr>
      </w:pPr>
    </w:p>
    <w:p w14:paraId="67CE3CC4" w14:textId="77777777" w:rsidR="00585DB6" w:rsidRDefault="00585DB6">
      <w:pPr>
        <w:pBdr>
          <w:top w:val="nil"/>
          <w:left w:val="nil"/>
          <w:bottom w:val="nil"/>
          <w:right w:val="nil"/>
          <w:between w:val="nil"/>
        </w:pBdr>
        <w:rPr>
          <w:rFonts w:ascii="Calibri" w:eastAsia="Calibri" w:hAnsi="Calibri" w:cs="Calibri"/>
          <w:color w:val="000000"/>
        </w:rPr>
      </w:pPr>
    </w:p>
    <w:p w14:paraId="6DFE0F61" w14:textId="77777777" w:rsidR="00585DB6" w:rsidRDefault="00585DB6">
      <w:pPr>
        <w:pBdr>
          <w:top w:val="nil"/>
          <w:left w:val="nil"/>
          <w:bottom w:val="nil"/>
          <w:right w:val="nil"/>
          <w:between w:val="nil"/>
        </w:pBdr>
        <w:rPr>
          <w:rFonts w:ascii="Calibri" w:eastAsia="Calibri" w:hAnsi="Calibri" w:cs="Calibri"/>
          <w:color w:val="000000"/>
        </w:rPr>
      </w:pPr>
    </w:p>
    <w:p w14:paraId="46A0F6D2" w14:textId="77777777" w:rsidR="00585DB6" w:rsidRDefault="00585DB6">
      <w:pPr>
        <w:pBdr>
          <w:top w:val="nil"/>
          <w:left w:val="nil"/>
          <w:bottom w:val="nil"/>
          <w:right w:val="nil"/>
          <w:between w:val="nil"/>
        </w:pBdr>
        <w:rPr>
          <w:rFonts w:ascii="Calibri" w:eastAsia="Calibri" w:hAnsi="Calibri" w:cs="Calibri"/>
          <w:color w:val="000000"/>
        </w:rPr>
      </w:pPr>
    </w:p>
    <w:p w14:paraId="2829B66D" w14:textId="77777777" w:rsidR="00585DB6" w:rsidRDefault="00585DB6">
      <w:pPr>
        <w:pBdr>
          <w:top w:val="nil"/>
          <w:left w:val="nil"/>
          <w:bottom w:val="nil"/>
          <w:right w:val="nil"/>
          <w:between w:val="nil"/>
        </w:pBdr>
        <w:rPr>
          <w:rFonts w:ascii="Calibri" w:eastAsia="Calibri" w:hAnsi="Calibri" w:cs="Calibri"/>
          <w:color w:val="000000"/>
        </w:rPr>
      </w:pPr>
    </w:p>
    <w:p w14:paraId="634828CB" w14:textId="77777777" w:rsidR="00585DB6" w:rsidRDefault="00585DB6">
      <w:pPr>
        <w:pBdr>
          <w:top w:val="nil"/>
          <w:left w:val="nil"/>
          <w:bottom w:val="nil"/>
          <w:right w:val="nil"/>
          <w:between w:val="nil"/>
        </w:pBdr>
        <w:rPr>
          <w:rFonts w:ascii="Calibri" w:eastAsia="Calibri" w:hAnsi="Calibri" w:cs="Calibri"/>
          <w:color w:val="000000"/>
        </w:rPr>
      </w:pPr>
    </w:p>
    <w:p w14:paraId="6251F299" w14:textId="77777777" w:rsidR="00585DB6" w:rsidRDefault="00585DB6">
      <w:pPr>
        <w:pBdr>
          <w:top w:val="nil"/>
          <w:left w:val="nil"/>
          <w:bottom w:val="nil"/>
          <w:right w:val="nil"/>
          <w:between w:val="nil"/>
        </w:pBdr>
        <w:rPr>
          <w:rFonts w:ascii="Calibri" w:eastAsia="Calibri" w:hAnsi="Calibri" w:cs="Calibri"/>
          <w:color w:val="000000"/>
        </w:rPr>
      </w:pPr>
    </w:p>
    <w:p w14:paraId="7CD4C546" w14:textId="77777777" w:rsidR="00585DB6" w:rsidRDefault="00585DB6">
      <w:pPr>
        <w:pBdr>
          <w:top w:val="nil"/>
          <w:left w:val="nil"/>
          <w:bottom w:val="nil"/>
          <w:right w:val="nil"/>
          <w:between w:val="nil"/>
        </w:pBdr>
        <w:rPr>
          <w:rFonts w:ascii="Calibri" w:eastAsia="Calibri" w:hAnsi="Calibri" w:cs="Calibri"/>
          <w:color w:val="000000"/>
        </w:rPr>
      </w:pPr>
    </w:p>
    <w:p w14:paraId="09A10BA3" w14:textId="77777777" w:rsidR="00585DB6" w:rsidRDefault="00585DB6">
      <w:pPr>
        <w:rPr>
          <w:rFonts w:ascii="Calibri" w:eastAsia="Calibri" w:hAnsi="Calibri" w:cs="Calibri"/>
          <w:b/>
          <w:bCs/>
        </w:rPr>
      </w:pPr>
    </w:p>
    <w:tbl>
      <w:tblPr>
        <w:tblStyle w:val="a"/>
        <w:tblW w:w="9720" w:type="dxa"/>
        <w:tblInd w:w="108" w:type="dxa"/>
        <w:tblBorders>
          <w:insideH w:val="single" w:sz="18" w:space="0" w:color="FFFFFF"/>
        </w:tblBorders>
        <w:tblLayout w:type="fixed"/>
        <w:tblLook w:val="0400" w:firstRow="0" w:lastRow="0" w:firstColumn="0" w:lastColumn="0" w:noHBand="0" w:noVBand="1"/>
      </w:tblPr>
      <w:tblGrid>
        <w:gridCol w:w="2586"/>
        <w:gridCol w:w="3268"/>
        <w:gridCol w:w="3866"/>
      </w:tblGrid>
      <w:tr w:rsidR="00585DB6" w14:paraId="5C6A5477" w14:textId="77777777">
        <w:tc>
          <w:tcPr>
            <w:tcW w:w="2586" w:type="dxa"/>
            <w:tcBorders>
              <w:top w:val="nil"/>
              <w:bottom w:val="single" w:sz="18" w:space="0" w:color="FFFFFF"/>
            </w:tcBorders>
            <w:shd w:val="clear" w:color="auto" w:fill="D8DFDE"/>
          </w:tcPr>
          <w:p w14:paraId="024833C7" w14:textId="77777777" w:rsidR="00585DB6" w:rsidRDefault="0032728D">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Approved by:</w:t>
            </w:r>
          </w:p>
        </w:tc>
        <w:tc>
          <w:tcPr>
            <w:tcW w:w="3268" w:type="dxa"/>
            <w:tcBorders>
              <w:top w:val="nil"/>
              <w:bottom w:val="single" w:sz="18" w:space="0" w:color="FFFFFF"/>
            </w:tcBorders>
            <w:shd w:val="clear" w:color="auto" w:fill="D8DFDE"/>
          </w:tcPr>
          <w:p w14:paraId="26F6F851" w14:textId="77777777" w:rsidR="00585DB6" w:rsidRDefault="0032728D">
            <w:pPr>
              <w:pBdr>
                <w:top w:val="nil"/>
                <w:left w:val="nil"/>
                <w:bottom w:val="nil"/>
                <w:right w:val="nil"/>
                <w:between w:val="nil"/>
              </w:pBdr>
              <w:ind w:right="850"/>
              <w:rPr>
                <w:rFonts w:ascii="Calibri" w:eastAsia="Calibri" w:hAnsi="Calibri" w:cs="Calibri"/>
                <w:color w:val="000000"/>
                <w:sz w:val="22"/>
                <w:szCs w:val="22"/>
              </w:rPr>
            </w:pPr>
            <w:r>
              <w:rPr>
                <w:rFonts w:ascii="Calibri" w:eastAsia="Calibri" w:hAnsi="Calibri" w:cs="Calibri"/>
                <w:color w:val="000000"/>
                <w:sz w:val="22"/>
                <w:szCs w:val="22"/>
              </w:rPr>
              <w:t>S Parker (Headteacher)</w:t>
            </w:r>
          </w:p>
          <w:p w14:paraId="6BA0F68B" w14:textId="77777777" w:rsidR="00585DB6" w:rsidRDefault="0032728D">
            <w:pPr>
              <w:pBdr>
                <w:top w:val="nil"/>
                <w:left w:val="nil"/>
                <w:bottom w:val="nil"/>
                <w:right w:val="nil"/>
                <w:between w:val="nil"/>
              </w:pBdr>
              <w:ind w:right="850"/>
              <w:rPr>
                <w:rFonts w:ascii="Calibri" w:eastAsia="Calibri" w:hAnsi="Calibri" w:cs="Calibri"/>
                <w:color w:val="000000"/>
                <w:sz w:val="22"/>
                <w:szCs w:val="22"/>
              </w:rPr>
            </w:pPr>
            <w:r>
              <w:rPr>
                <w:rFonts w:ascii="Calibri" w:eastAsia="Calibri" w:hAnsi="Calibri" w:cs="Calibri"/>
                <w:color w:val="000000"/>
                <w:sz w:val="22"/>
                <w:szCs w:val="22"/>
              </w:rPr>
              <w:t>Stephen Smith (Chair of Governors)</w:t>
            </w:r>
          </w:p>
        </w:tc>
        <w:tc>
          <w:tcPr>
            <w:tcW w:w="3866" w:type="dxa"/>
            <w:tcBorders>
              <w:top w:val="nil"/>
              <w:bottom w:val="single" w:sz="18" w:space="0" w:color="FFFFFF"/>
            </w:tcBorders>
            <w:shd w:val="clear" w:color="auto" w:fill="D8DFDE"/>
          </w:tcPr>
          <w:p w14:paraId="191F2F67" w14:textId="77777777" w:rsidR="00585DB6" w:rsidRDefault="0032728D">
            <w:pPr>
              <w:pBdr>
                <w:top w:val="nil"/>
                <w:left w:val="nil"/>
                <w:bottom w:val="nil"/>
                <w:right w:val="nil"/>
                <w:between w:val="nil"/>
              </w:pBdr>
              <w:ind w:right="850"/>
              <w:rPr>
                <w:rFonts w:ascii="Calibri" w:eastAsia="Calibri" w:hAnsi="Calibri" w:cs="Calibri"/>
                <w:color w:val="000000"/>
                <w:sz w:val="22"/>
                <w:szCs w:val="22"/>
              </w:rPr>
            </w:pP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14.07.2026</w:t>
            </w:r>
          </w:p>
        </w:tc>
      </w:tr>
      <w:tr w:rsidR="00585DB6" w14:paraId="07BA03E1" w14:textId="77777777">
        <w:tc>
          <w:tcPr>
            <w:tcW w:w="2586" w:type="dxa"/>
            <w:tcBorders>
              <w:top w:val="single" w:sz="18" w:space="0" w:color="FFFFFF"/>
              <w:bottom w:val="single" w:sz="18" w:space="0" w:color="FFFFFF"/>
            </w:tcBorders>
            <w:shd w:val="clear" w:color="auto" w:fill="D8DFDE"/>
          </w:tcPr>
          <w:p w14:paraId="76372F18" w14:textId="77777777" w:rsidR="00585DB6" w:rsidRDefault="0032728D">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Last reviewed on:</w:t>
            </w:r>
          </w:p>
        </w:tc>
        <w:tc>
          <w:tcPr>
            <w:tcW w:w="7134" w:type="dxa"/>
            <w:gridSpan w:val="2"/>
            <w:tcBorders>
              <w:top w:val="single" w:sz="18" w:space="0" w:color="FFFFFF"/>
              <w:bottom w:val="single" w:sz="18" w:space="0" w:color="FFFFFF"/>
            </w:tcBorders>
            <w:shd w:val="clear" w:color="auto" w:fill="D8DFDE"/>
          </w:tcPr>
          <w:p w14:paraId="3E16B211" w14:textId="77777777" w:rsidR="00585DB6" w:rsidRDefault="0032728D">
            <w:pPr>
              <w:pBdr>
                <w:top w:val="nil"/>
                <w:left w:val="nil"/>
                <w:bottom w:val="nil"/>
                <w:right w:val="nil"/>
                <w:between w:val="nil"/>
              </w:pBdr>
              <w:ind w:right="850"/>
              <w:rPr>
                <w:rFonts w:ascii="Calibri" w:eastAsia="Calibri" w:hAnsi="Calibri" w:cs="Calibri"/>
                <w:color w:val="000000"/>
                <w:sz w:val="22"/>
                <w:szCs w:val="22"/>
              </w:rPr>
            </w:pPr>
            <w:r>
              <w:rPr>
                <w:rFonts w:ascii="Calibri" w:eastAsia="Calibri" w:hAnsi="Calibri" w:cs="Calibri"/>
                <w:color w:val="000000"/>
                <w:sz w:val="22"/>
                <w:szCs w:val="22"/>
              </w:rPr>
              <w:t>14.07.2026</w:t>
            </w:r>
          </w:p>
        </w:tc>
      </w:tr>
      <w:tr w:rsidR="00585DB6" w14:paraId="2653EAD5" w14:textId="77777777">
        <w:tc>
          <w:tcPr>
            <w:tcW w:w="2586" w:type="dxa"/>
            <w:tcBorders>
              <w:top w:val="single" w:sz="18" w:space="0" w:color="FFFFFF"/>
              <w:bottom w:val="nil"/>
            </w:tcBorders>
            <w:shd w:val="clear" w:color="auto" w:fill="D8DFDE"/>
          </w:tcPr>
          <w:p w14:paraId="06339014" w14:textId="77777777" w:rsidR="00585DB6" w:rsidRDefault="0032728D">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Next review due by:</w:t>
            </w:r>
          </w:p>
        </w:tc>
        <w:tc>
          <w:tcPr>
            <w:tcW w:w="7134" w:type="dxa"/>
            <w:gridSpan w:val="2"/>
            <w:tcBorders>
              <w:top w:val="single" w:sz="18" w:space="0" w:color="FFFFFF"/>
              <w:bottom w:val="nil"/>
            </w:tcBorders>
            <w:shd w:val="clear" w:color="auto" w:fill="D8DFDE"/>
          </w:tcPr>
          <w:p w14:paraId="032B11BB" w14:textId="77777777" w:rsidR="00585DB6" w:rsidRDefault="0032728D">
            <w:pPr>
              <w:pBdr>
                <w:top w:val="nil"/>
                <w:left w:val="nil"/>
                <w:bottom w:val="nil"/>
                <w:right w:val="nil"/>
                <w:between w:val="nil"/>
              </w:pBdr>
              <w:ind w:right="850"/>
              <w:rPr>
                <w:rFonts w:ascii="Calibri" w:eastAsia="Calibri" w:hAnsi="Calibri" w:cs="Calibri"/>
                <w:color w:val="000000"/>
                <w:sz w:val="22"/>
                <w:szCs w:val="22"/>
              </w:rPr>
            </w:pPr>
            <w:r>
              <w:rPr>
                <w:rFonts w:ascii="Calibri" w:eastAsia="Calibri" w:hAnsi="Calibri" w:cs="Calibri"/>
                <w:color w:val="000000"/>
                <w:sz w:val="22"/>
                <w:szCs w:val="22"/>
              </w:rPr>
              <w:t>Sept 2027</w:t>
            </w:r>
          </w:p>
        </w:tc>
      </w:tr>
    </w:tbl>
    <w:p w14:paraId="7C64B42F" w14:textId="77777777" w:rsidR="00585DB6" w:rsidRDefault="00585DB6">
      <w:pPr>
        <w:pBdr>
          <w:top w:val="nil"/>
          <w:left w:val="nil"/>
          <w:bottom w:val="nil"/>
          <w:right w:val="nil"/>
          <w:between w:val="nil"/>
        </w:pBdr>
        <w:rPr>
          <w:rFonts w:ascii="Calibri" w:eastAsia="Calibri" w:hAnsi="Calibri" w:cs="Calibri"/>
          <w:color w:val="000000"/>
        </w:rPr>
      </w:pPr>
    </w:p>
    <w:p w14:paraId="3E6178DE" w14:textId="77777777" w:rsidR="00585DB6" w:rsidRDefault="00585DB6">
      <w:pPr>
        <w:pStyle w:val="Heading1"/>
        <w:rPr>
          <w:rFonts w:ascii="Calibri" w:eastAsia="Calibri" w:hAnsi="Calibri" w:cs="Calibri"/>
        </w:rPr>
      </w:pPr>
    </w:p>
    <w:p w14:paraId="3C66B7FD" w14:textId="77777777" w:rsidR="00585DB6" w:rsidRDefault="0032728D">
      <w:pPr>
        <w:keepNext/>
        <w:keepLines/>
        <w:pBdr>
          <w:top w:val="nil"/>
          <w:left w:val="nil"/>
          <w:bottom w:val="nil"/>
          <w:right w:val="nil"/>
          <w:between w:val="nil"/>
        </w:pBdr>
        <w:spacing w:line="259" w:lineRule="auto"/>
        <w:rPr>
          <w:rFonts w:ascii="Calibri" w:eastAsia="Calibri" w:hAnsi="Calibri" w:cs="Calibri"/>
          <w:b/>
          <w:bCs/>
          <w:color w:val="0D1C2F"/>
          <w:sz w:val="28"/>
          <w:szCs w:val="28"/>
        </w:rPr>
      </w:pPr>
      <w:r>
        <w:rPr>
          <w:rFonts w:ascii="Calibri" w:eastAsia="Calibri" w:hAnsi="Calibri" w:cs="Calibri"/>
          <w:b/>
          <w:bCs/>
          <w:color w:val="0D1C2F"/>
          <w:sz w:val="28"/>
          <w:szCs w:val="28"/>
        </w:rPr>
        <w:t>Contents</w:t>
      </w:r>
    </w:p>
    <w:sdt>
      <w:sdtPr>
        <w:id w:val="1101518054"/>
        <w:docPartObj>
          <w:docPartGallery w:val="Table of Contents"/>
          <w:docPartUnique/>
        </w:docPartObj>
      </w:sdtPr>
      <w:sdtEndPr/>
      <w:sdtContent>
        <w:p w14:paraId="4BAD287F" w14:textId="77777777" w:rsidR="00585DB6" w:rsidRDefault="0032728D">
          <w:pPr>
            <w:pBdr>
              <w:top w:val="nil"/>
              <w:left w:val="nil"/>
              <w:bottom w:val="nil"/>
              <w:right w:val="nil"/>
              <w:between w:val="nil"/>
            </w:pBdr>
            <w:tabs>
              <w:tab w:val="right" w:pos="9736"/>
            </w:tabs>
            <w:spacing w:after="10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wg0mg75ggurm">
            <w:r>
              <w:rPr>
                <w:rFonts w:ascii="Calibri" w:eastAsia="Calibri" w:hAnsi="Calibri" w:cs="Calibri"/>
                <w:color w:val="000000"/>
              </w:rPr>
              <w:t>1. Aims</w:t>
            </w:r>
            <w:r>
              <w:rPr>
                <w:rFonts w:ascii="Calibri" w:eastAsia="Calibri" w:hAnsi="Calibri" w:cs="Calibri"/>
                <w:color w:val="000000"/>
              </w:rPr>
              <w:tab/>
              <w:t>3</w:t>
            </w:r>
          </w:hyperlink>
        </w:p>
        <w:p w14:paraId="4CF763D5"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mmt4pw7myn26">
            <w:r w:rsidR="0032728D">
              <w:rPr>
                <w:rFonts w:ascii="Calibri" w:eastAsia="Calibri" w:hAnsi="Calibri" w:cs="Calibri"/>
                <w:color w:val="000000"/>
              </w:rPr>
              <w:t>2. Legislation and guidance</w:t>
            </w:r>
            <w:r w:rsidR="0032728D">
              <w:rPr>
                <w:rFonts w:ascii="Calibri" w:eastAsia="Calibri" w:hAnsi="Calibri" w:cs="Calibri"/>
                <w:color w:val="000000"/>
              </w:rPr>
              <w:tab/>
              <w:t>3</w:t>
            </w:r>
          </w:hyperlink>
        </w:p>
        <w:p w14:paraId="49BDB819"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1zf0rfty3g">
            <w:r w:rsidR="0032728D">
              <w:rPr>
                <w:rFonts w:ascii="Calibri" w:eastAsia="Calibri" w:hAnsi="Calibri" w:cs="Calibri"/>
                <w:color w:val="000000"/>
              </w:rPr>
              <w:t>3. Roles and responsibilities</w:t>
            </w:r>
            <w:r w:rsidR="0032728D">
              <w:rPr>
                <w:rFonts w:ascii="Calibri" w:eastAsia="Calibri" w:hAnsi="Calibri" w:cs="Calibri"/>
                <w:color w:val="000000"/>
              </w:rPr>
              <w:tab/>
              <w:t>3</w:t>
            </w:r>
          </w:hyperlink>
        </w:p>
        <w:p w14:paraId="0E4C6922"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4mcy3wvs2m94">
            <w:r w:rsidR="0032728D">
              <w:rPr>
                <w:rFonts w:ascii="Calibri" w:eastAsia="Calibri" w:hAnsi="Calibri" w:cs="Calibri"/>
                <w:color w:val="000000"/>
              </w:rPr>
              <w:t>4. Assessing risk</w:t>
            </w:r>
            <w:r w:rsidR="0032728D">
              <w:rPr>
                <w:rFonts w:ascii="Calibri" w:eastAsia="Calibri" w:hAnsi="Calibri" w:cs="Calibri"/>
                <w:color w:val="000000"/>
              </w:rPr>
              <w:tab/>
              <w:t>5</w:t>
            </w:r>
          </w:hyperlink>
        </w:p>
        <w:p w14:paraId="2469ECDC"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m85gw9k05zfy">
            <w:r w:rsidR="0032728D">
              <w:rPr>
                <w:rFonts w:ascii="Calibri" w:eastAsia="Calibri" w:hAnsi="Calibri" w:cs="Calibri"/>
                <w:color w:val="000000"/>
              </w:rPr>
              <w:t>5. Managing risk</w:t>
            </w:r>
            <w:r w:rsidR="0032728D">
              <w:rPr>
                <w:rFonts w:ascii="Calibri" w:eastAsia="Calibri" w:hAnsi="Calibri" w:cs="Calibri"/>
                <w:color w:val="000000"/>
              </w:rPr>
              <w:tab/>
              <w:t>5</w:t>
            </w:r>
          </w:hyperlink>
        </w:p>
        <w:p w14:paraId="0EB06D8C"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hym41htrgyeb">
            <w:r w:rsidR="0032728D">
              <w:rPr>
                <w:rFonts w:ascii="Calibri" w:eastAsia="Calibri" w:hAnsi="Calibri" w:cs="Calibri"/>
                <w:color w:val="000000"/>
              </w:rPr>
              <w:t>6. Procedures for handling an allergic reaction</w:t>
            </w:r>
            <w:r w:rsidR="0032728D">
              <w:rPr>
                <w:rFonts w:ascii="Calibri" w:eastAsia="Calibri" w:hAnsi="Calibri" w:cs="Calibri"/>
                <w:color w:val="000000"/>
              </w:rPr>
              <w:tab/>
              <w:t>7</w:t>
            </w:r>
          </w:hyperlink>
        </w:p>
        <w:p w14:paraId="21673B20"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ilxmjdn5cwro">
            <w:r w:rsidR="0032728D">
              <w:rPr>
                <w:rFonts w:ascii="Calibri" w:eastAsia="Calibri" w:hAnsi="Calibri" w:cs="Calibri"/>
                <w:color w:val="000000"/>
              </w:rPr>
              <w:t>7. Adrenaline auto-injectors (AAIs)</w:t>
            </w:r>
            <w:r w:rsidR="0032728D">
              <w:rPr>
                <w:rFonts w:ascii="Calibri" w:eastAsia="Calibri" w:hAnsi="Calibri" w:cs="Calibri"/>
                <w:color w:val="000000"/>
              </w:rPr>
              <w:tab/>
              <w:t>7</w:t>
            </w:r>
          </w:hyperlink>
        </w:p>
        <w:p w14:paraId="1053F4FF"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934rvk8tjzqj">
            <w:r w:rsidR="0032728D">
              <w:rPr>
                <w:rFonts w:ascii="Calibri" w:eastAsia="Calibri" w:hAnsi="Calibri" w:cs="Calibri"/>
                <w:color w:val="000000"/>
              </w:rPr>
              <w:t>8. Training</w:t>
            </w:r>
            <w:r w:rsidR="0032728D">
              <w:rPr>
                <w:rFonts w:ascii="Calibri" w:eastAsia="Calibri" w:hAnsi="Calibri" w:cs="Calibri"/>
                <w:color w:val="000000"/>
              </w:rPr>
              <w:tab/>
              <w:t>9</w:t>
            </w:r>
          </w:hyperlink>
        </w:p>
        <w:p w14:paraId="7FEAA137" w14:textId="77777777" w:rsidR="00585DB6" w:rsidRDefault="007624DC">
          <w:pPr>
            <w:pBdr>
              <w:top w:val="nil"/>
              <w:left w:val="nil"/>
              <w:bottom w:val="nil"/>
              <w:right w:val="nil"/>
              <w:between w:val="nil"/>
            </w:pBdr>
            <w:tabs>
              <w:tab w:val="right" w:pos="9736"/>
            </w:tabs>
            <w:spacing w:after="100"/>
            <w:rPr>
              <w:rFonts w:ascii="Calibri" w:eastAsia="Calibri" w:hAnsi="Calibri" w:cs="Calibri"/>
              <w:color w:val="000000"/>
              <w:sz w:val="22"/>
              <w:szCs w:val="22"/>
            </w:rPr>
          </w:pPr>
          <w:hyperlink w:anchor="_heading=h.c1s64ypp5xh3">
            <w:r w:rsidR="0032728D">
              <w:rPr>
                <w:rFonts w:ascii="Calibri" w:eastAsia="Calibri" w:hAnsi="Calibri" w:cs="Calibri"/>
                <w:color w:val="000000"/>
              </w:rPr>
              <w:t>9. Links to other policies</w:t>
            </w:r>
            <w:r w:rsidR="0032728D">
              <w:rPr>
                <w:rFonts w:ascii="Calibri" w:eastAsia="Calibri" w:hAnsi="Calibri" w:cs="Calibri"/>
                <w:color w:val="000000"/>
              </w:rPr>
              <w:tab/>
              <w:t>9</w:t>
            </w:r>
          </w:hyperlink>
        </w:p>
        <w:p w14:paraId="6737BF3A" w14:textId="77777777" w:rsidR="00585DB6" w:rsidRDefault="0032728D">
          <w:pPr>
            <w:pBdr>
              <w:top w:val="nil"/>
              <w:left w:val="nil"/>
              <w:bottom w:val="nil"/>
              <w:right w:val="nil"/>
              <w:between w:val="nil"/>
            </w:pBdr>
            <w:rPr>
              <w:rFonts w:ascii="Calibri" w:eastAsia="Calibri" w:hAnsi="Calibri" w:cs="Calibri"/>
              <w:color w:val="000000"/>
            </w:rPr>
          </w:pPr>
          <w:r>
            <w:fldChar w:fldCharType="end"/>
          </w:r>
        </w:p>
      </w:sdtContent>
    </w:sdt>
    <w:p w14:paraId="60B004D6" w14:textId="77777777" w:rsidR="00585DB6" w:rsidRDefault="0032728D">
      <w:pPr>
        <w:pBdr>
          <w:top w:val="nil"/>
          <w:left w:val="nil"/>
          <w:bottom w:val="nil"/>
          <w:right w:val="nil"/>
          <w:between w:val="nil"/>
        </w:pBdr>
        <w:rPr>
          <w:rFonts w:ascii="Calibri" w:eastAsia="Calibri" w:hAnsi="Calibri" w:cs="Calibri"/>
          <w:color w:val="000000"/>
        </w:rPr>
      </w:pPr>
      <w:r>
        <w:rPr>
          <w:noProof/>
        </w:rPr>
        <mc:AlternateContent>
          <mc:Choice Requires="wps">
            <w:drawing>
              <wp:anchor distT="4294967285" distB="4294967285" distL="114300" distR="114300" simplePos="0" relativeHeight="251659264" behindDoc="0" locked="0" layoutInCell="1" hidden="0" allowOverlap="1" wp14:anchorId="370D2AD4" wp14:editId="0F30DC83">
                <wp:simplePos x="0" y="0"/>
                <wp:positionH relativeFrom="column">
                  <wp:posOffset>1</wp:posOffset>
                </wp:positionH>
                <wp:positionV relativeFrom="paragraph">
                  <wp:posOffset>-6350</wp:posOffset>
                </wp:positionV>
                <wp:extent cx="0" cy="12700"/>
                <wp:effectExtent l="0" t="0" r="0" b="0"/>
                <wp:wrapNone/>
                <wp:docPr id="26" name=""/>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4294967285" distT="4294967285" distL="114300" distR="114300" hidden="0" layoutInCell="1" locked="0" relativeHeight="0" simplePos="0">
                <wp:simplePos x="0" y="0"/>
                <wp:positionH relativeFrom="column">
                  <wp:posOffset>1</wp:posOffset>
                </wp:positionH>
                <wp:positionV relativeFrom="paragraph">
                  <wp:posOffset>-6350</wp:posOffset>
                </wp:positionV>
                <wp:extent cx="0" cy="12700"/>
                <wp:effectExtent b="0" l="0" r="0" t="0"/>
                <wp:wrapNone/>
                <wp:docPr id="2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5BB66DBE" w14:textId="77777777" w:rsidR="00585DB6" w:rsidRDefault="0032728D">
      <w:pPr>
        <w:pStyle w:val="Heading1"/>
        <w:rPr>
          <w:rFonts w:ascii="Calibri" w:eastAsia="Calibri" w:hAnsi="Calibri" w:cs="Calibri"/>
        </w:rPr>
      </w:pPr>
      <w:bookmarkStart w:id="0" w:name="_heading=h.wg0mg75ggurm" w:colFirst="0" w:colLast="0"/>
      <w:bookmarkEnd w:id="0"/>
      <w:r>
        <w:rPr>
          <w:rFonts w:ascii="Calibri" w:eastAsia="Calibri" w:hAnsi="Calibri" w:cs="Calibri"/>
        </w:rPr>
        <w:t>1. Aims</w:t>
      </w:r>
    </w:p>
    <w:p w14:paraId="009CF05D"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This policy aims to:</w:t>
      </w:r>
    </w:p>
    <w:p w14:paraId="1FBDC733"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Set out our school’s approach to allergy management, including reducing the risk of exposure and the procedures in place in case of allergic reaction</w:t>
      </w:r>
    </w:p>
    <w:p w14:paraId="4E8FB7D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Make clear how our school supports pupils with allergies to ensure their wellbeing and inclusion</w:t>
      </w:r>
    </w:p>
    <w:p w14:paraId="7A8C569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Promote and maintain allergy awareness among the school community</w:t>
      </w:r>
    </w:p>
    <w:p w14:paraId="74E27F5F" w14:textId="77777777" w:rsidR="00585DB6" w:rsidRDefault="00585DB6">
      <w:pPr>
        <w:pBdr>
          <w:top w:val="nil"/>
          <w:left w:val="nil"/>
          <w:bottom w:val="nil"/>
          <w:right w:val="nil"/>
          <w:between w:val="nil"/>
        </w:pBdr>
        <w:ind w:left="170" w:hanging="170"/>
        <w:rPr>
          <w:rFonts w:ascii="Calibri" w:eastAsia="Calibri" w:hAnsi="Calibri" w:cs="Calibri"/>
          <w:color w:val="000000"/>
        </w:rPr>
      </w:pPr>
    </w:p>
    <w:p w14:paraId="303D596C" w14:textId="77777777" w:rsidR="00585DB6" w:rsidRDefault="0032728D">
      <w:pPr>
        <w:pStyle w:val="Heading1"/>
        <w:rPr>
          <w:rFonts w:ascii="Calibri" w:eastAsia="Calibri" w:hAnsi="Calibri" w:cs="Calibri"/>
        </w:rPr>
      </w:pPr>
      <w:bookmarkStart w:id="1" w:name="_heading=h.mmt4pw7myn26" w:colFirst="0" w:colLast="0"/>
      <w:bookmarkEnd w:id="1"/>
      <w:r>
        <w:rPr>
          <w:rFonts w:ascii="Calibri" w:eastAsia="Calibri" w:hAnsi="Calibri" w:cs="Calibri"/>
        </w:rPr>
        <w:t>2. Legislation and guidance</w:t>
      </w:r>
    </w:p>
    <w:p w14:paraId="3C9C4C17"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This policy is based on the Department for Education (DfE)’s guidance on </w:t>
      </w:r>
      <w:hyperlink r:id="rId10">
        <w:r>
          <w:rPr>
            <w:rFonts w:ascii="Calibri" w:eastAsia="Calibri" w:hAnsi="Calibri" w:cs="Calibri"/>
            <w:color w:val="0072CC"/>
            <w:u w:val="single"/>
          </w:rPr>
          <w:t>allergies in schools</w:t>
        </w:r>
      </w:hyperlink>
      <w:r>
        <w:rPr>
          <w:rFonts w:ascii="Calibri" w:eastAsia="Calibri" w:hAnsi="Calibri" w:cs="Calibri"/>
          <w:color w:val="000000"/>
        </w:rPr>
        <w:t xml:space="preserve"> and </w:t>
      </w:r>
      <w:hyperlink r:id="rId11">
        <w:r>
          <w:rPr>
            <w:rFonts w:ascii="Calibri" w:eastAsia="Calibri" w:hAnsi="Calibri" w:cs="Calibri"/>
            <w:color w:val="0072CC"/>
            <w:u w:val="single"/>
          </w:rPr>
          <w:t>supporting pupils with medical conditions at school</w:t>
        </w:r>
      </w:hyperlink>
      <w:r>
        <w:rPr>
          <w:rFonts w:ascii="Calibri" w:eastAsia="Calibri" w:hAnsi="Calibri" w:cs="Calibri"/>
          <w:color w:val="000000"/>
        </w:rPr>
        <w:t xml:space="preserve">, the Department of Health and Social Care’s guidance on </w:t>
      </w:r>
      <w:hyperlink r:id="rId12">
        <w:r>
          <w:rPr>
            <w:rFonts w:ascii="Calibri" w:eastAsia="Calibri" w:hAnsi="Calibri" w:cs="Calibri"/>
            <w:color w:val="0072CC"/>
            <w:u w:val="single"/>
          </w:rPr>
          <w:t>using emergency adrenaline auto-injectors in schools</w:t>
        </w:r>
      </w:hyperlink>
      <w:r>
        <w:rPr>
          <w:rFonts w:ascii="Calibri" w:eastAsia="Calibri" w:hAnsi="Calibri" w:cs="Calibri"/>
          <w:color w:val="000000"/>
        </w:rPr>
        <w:t>, and the following legislation:</w:t>
      </w:r>
    </w:p>
    <w:p w14:paraId="531FEF9D" w14:textId="77777777" w:rsidR="00585DB6" w:rsidRDefault="007624DC">
      <w:pPr>
        <w:numPr>
          <w:ilvl w:val="0"/>
          <w:numId w:val="2"/>
        </w:numPr>
        <w:pBdr>
          <w:top w:val="nil"/>
          <w:left w:val="nil"/>
          <w:bottom w:val="nil"/>
          <w:right w:val="nil"/>
          <w:between w:val="nil"/>
        </w:pBdr>
      </w:pPr>
      <w:hyperlink r:id="rId13">
        <w:r w:rsidR="0032728D">
          <w:rPr>
            <w:rFonts w:ascii="Calibri" w:eastAsia="Calibri" w:hAnsi="Calibri" w:cs="Calibri"/>
            <w:color w:val="0072CC"/>
            <w:u w:val="single"/>
          </w:rPr>
          <w:t>The Food Information Regulations 2014</w:t>
        </w:r>
      </w:hyperlink>
    </w:p>
    <w:p w14:paraId="0B382B09" w14:textId="77777777" w:rsidR="00585DB6" w:rsidRDefault="007624DC">
      <w:pPr>
        <w:numPr>
          <w:ilvl w:val="0"/>
          <w:numId w:val="2"/>
        </w:numPr>
        <w:pBdr>
          <w:top w:val="nil"/>
          <w:left w:val="nil"/>
          <w:bottom w:val="nil"/>
          <w:right w:val="nil"/>
          <w:between w:val="nil"/>
        </w:pBdr>
      </w:pPr>
      <w:hyperlink r:id="rId14">
        <w:r w:rsidR="0032728D">
          <w:rPr>
            <w:rFonts w:ascii="Calibri" w:eastAsia="Calibri" w:hAnsi="Calibri" w:cs="Calibri"/>
            <w:color w:val="0072CC"/>
            <w:u w:val="single"/>
          </w:rPr>
          <w:t>The Food Information (Amendment) (England) Regulations 2019</w:t>
        </w:r>
      </w:hyperlink>
    </w:p>
    <w:p w14:paraId="04D7B950" w14:textId="77777777" w:rsidR="00585DB6" w:rsidRDefault="00585DB6">
      <w:pPr>
        <w:pBdr>
          <w:top w:val="nil"/>
          <w:left w:val="nil"/>
          <w:bottom w:val="nil"/>
          <w:right w:val="nil"/>
          <w:between w:val="nil"/>
        </w:pBdr>
        <w:rPr>
          <w:rFonts w:ascii="Calibri" w:eastAsia="Calibri" w:hAnsi="Calibri" w:cs="Calibri"/>
          <w:color w:val="000000"/>
        </w:rPr>
      </w:pPr>
    </w:p>
    <w:p w14:paraId="62ECD8A6" w14:textId="77777777" w:rsidR="00585DB6" w:rsidRDefault="0032728D">
      <w:pPr>
        <w:pStyle w:val="Heading1"/>
        <w:rPr>
          <w:rFonts w:ascii="Calibri" w:eastAsia="Calibri" w:hAnsi="Calibri" w:cs="Calibri"/>
        </w:rPr>
      </w:pPr>
      <w:bookmarkStart w:id="2" w:name="_heading=h.1zf0rfty3g" w:colFirst="0" w:colLast="0"/>
      <w:bookmarkEnd w:id="2"/>
      <w:r>
        <w:rPr>
          <w:rFonts w:ascii="Calibri" w:eastAsia="Calibri" w:hAnsi="Calibri" w:cs="Calibri"/>
        </w:rPr>
        <w:t>3. Roles and responsibilities</w:t>
      </w:r>
    </w:p>
    <w:p w14:paraId="3340470D"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take a whole-school approach to allergy awareness.</w:t>
      </w:r>
    </w:p>
    <w:p w14:paraId="43F28308"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following responsibilities are not exhaustive and will need to be adapted to suit the pupils at Urmston Primary School.</w:t>
      </w:r>
    </w:p>
    <w:p w14:paraId="4999A46B"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3.1 Allergy lead</w:t>
      </w:r>
    </w:p>
    <w:p w14:paraId="264586E6"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nominated allergy lead is Simon Parker.</w:t>
      </w:r>
    </w:p>
    <w:p w14:paraId="5454D9DB"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They’re responsible for:</w:t>
      </w:r>
    </w:p>
    <w:p w14:paraId="56367828"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lastRenderedPageBreak/>
        <w:t>Promoting and maintaining allergy awareness across our school community</w:t>
      </w:r>
    </w:p>
    <w:p w14:paraId="02AC68F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Recording and collating allergy and special dietary information for all relevant pupils (although the allergy lead has ultimate responsibility, the information collection itself may be delegated to the medical officer / the school nurse / administrative staff)</w:t>
      </w:r>
    </w:p>
    <w:p w14:paraId="2B432AFD"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Ensuring:</w:t>
      </w:r>
    </w:p>
    <w:p w14:paraId="4AD4F74A"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 xml:space="preserve">All allergy information is up to date and readily available to relevant members of staff and ensure </w:t>
      </w:r>
      <w:r>
        <w:rPr>
          <w:rFonts w:ascii="Calibri" w:eastAsia="Calibri" w:hAnsi="Calibri" w:cs="Calibri"/>
          <w:color w:val="222222"/>
          <w:highlight w:val="white"/>
        </w:rPr>
        <w:t>allergy information is clearly visible for all relevant staff</w:t>
      </w:r>
    </w:p>
    <w:p w14:paraId="671FB862" w14:textId="77777777" w:rsidR="00585DB6" w:rsidRDefault="0032728D">
      <w:pPr>
        <w:numPr>
          <w:ilvl w:val="0"/>
          <w:numId w:val="1"/>
        </w:numPr>
        <w:pBdr>
          <w:top w:val="nil"/>
          <w:left w:val="nil"/>
          <w:bottom w:val="nil"/>
          <w:right w:val="nil"/>
          <w:between w:val="nil"/>
        </w:pBdr>
        <w:rPr>
          <w:color w:val="000000"/>
        </w:rPr>
      </w:pPr>
      <w:bookmarkStart w:id="3" w:name="_heading=h.x2ojgl909n2g" w:colFirst="0" w:colLast="0"/>
      <w:bookmarkEnd w:id="3"/>
      <w:r>
        <w:rPr>
          <w:rFonts w:ascii="Calibri" w:eastAsia="Calibri" w:hAnsi="Calibri" w:cs="Calibri"/>
          <w:color w:val="000000"/>
        </w:rPr>
        <w:t xml:space="preserve">All pupils with allergies have an </w:t>
      </w:r>
      <w:r>
        <w:rPr>
          <w:rFonts w:ascii="Calibri" w:eastAsia="Calibri" w:hAnsi="Calibri" w:cs="Calibri"/>
          <w:b/>
          <w:bCs/>
          <w:i/>
          <w:iCs/>
          <w:color w:val="000000"/>
        </w:rPr>
        <w:t>allergy action plan/health care plan/risk assessment</w:t>
      </w:r>
      <w:r>
        <w:rPr>
          <w:rFonts w:ascii="Calibri" w:eastAsia="Calibri" w:hAnsi="Calibri" w:cs="Calibri"/>
          <w:color w:val="000000"/>
        </w:rPr>
        <w:t xml:space="preserve"> completed by a medical professional which are regularly reviewed</w:t>
      </w:r>
    </w:p>
    <w:p w14:paraId="46F17406"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 xml:space="preserve">All staff receive an appropriate level of allergy training including, where appropriate, training for </w:t>
      </w:r>
      <w:proofErr w:type="spellStart"/>
      <w:r>
        <w:rPr>
          <w:rFonts w:ascii="Calibri" w:eastAsia="Calibri" w:hAnsi="Calibri" w:cs="Calibri"/>
          <w:color w:val="222222"/>
          <w:highlight w:val="white"/>
        </w:rPr>
        <w:t>FPies</w:t>
      </w:r>
      <w:proofErr w:type="spellEnd"/>
      <w:r>
        <w:rPr>
          <w:rFonts w:ascii="Calibri" w:eastAsia="Calibri" w:hAnsi="Calibri" w:cs="Calibri"/>
          <w:color w:val="222222"/>
          <w:highlight w:val="white"/>
        </w:rPr>
        <w:t xml:space="preserve"> allergies</w:t>
      </w:r>
      <w:r>
        <w:rPr>
          <w:rFonts w:ascii="Calibri" w:eastAsia="Calibri" w:hAnsi="Calibri" w:cs="Calibri"/>
          <w:color w:val="000000"/>
        </w:rPr>
        <w:t xml:space="preserve">  </w:t>
      </w:r>
    </w:p>
    <w:p w14:paraId="37FCDDA7"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All staff are aware of the school’s policy and procedures regarding allergies</w:t>
      </w:r>
    </w:p>
    <w:p w14:paraId="7AD0107A"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Relevant staff are aware of what activities need an allergy risk assessment</w:t>
      </w:r>
    </w:p>
    <w:p w14:paraId="1B151D19"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 xml:space="preserve">Promoting awareness amongst parents regarding food in school. </w:t>
      </w:r>
    </w:p>
    <w:p w14:paraId="1409F677"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Keeping stock of the school’s adrenaline auto-injectors (AAIs)</w:t>
      </w:r>
    </w:p>
    <w:p w14:paraId="5D40F76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Regularly reviewing and updating the allergy policy</w:t>
      </w:r>
    </w:p>
    <w:p w14:paraId="20608297"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3.2 School nurse/medical officer</w:t>
      </w:r>
    </w:p>
    <w:p w14:paraId="317E8F9B"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school nurse/medical officer is responsible for:</w:t>
      </w:r>
    </w:p>
    <w:p w14:paraId="5F58025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Co-ordinating the paperwork and information from families</w:t>
      </w:r>
    </w:p>
    <w:p w14:paraId="4E5F16C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Co-ordinating medication with families</w:t>
      </w:r>
    </w:p>
    <w:p w14:paraId="30F8BEB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Checking spare AAIs are in date</w:t>
      </w:r>
    </w:p>
    <w:p w14:paraId="51B9025D"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Any other appropriate tasks delegated by the allergy lead</w:t>
      </w:r>
    </w:p>
    <w:p w14:paraId="419C971B"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bookmarkStart w:id="4" w:name="_heading=h.mqrrdfc9xpmt" w:colFirst="0" w:colLast="0"/>
      <w:bookmarkEnd w:id="4"/>
      <w:r>
        <w:rPr>
          <w:rFonts w:ascii="Calibri" w:eastAsia="Calibri" w:hAnsi="Calibri" w:cs="Calibri"/>
          <w:b/>
          <w:bCs/>
          <w:color w:val="12263F"/>
          <w:sz w:val="24"/>
          <w:szCs w:val="24"/>
        </w:rPr>
        <w:t>3.3 Teaching and support staff</w:t>
      </w:r>
    </w:p>
    <w:p w14:paraId="2F5DC12C"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 teaching and support staff are responsible for:</w:t>
      </w:r>
    </w:p>
    <w:p w14:paraId="3AC8911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Promoting and maintaining allergy awareness among pupils</w:t>
      </w:r>
    </w:p>
    <w:p w14:paraId="3B72427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Maintaining awareness of our allergy policy and procedures</w:t>
      </w:r>
    </w:p>
    <w:p w14:paraId="296BE043"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Being able to recognise the signs of severe allergic reactions and anaphylaxis </w:t>
      </w:r>
    </w:p>
    <w:p w14:paraId="2A8743C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Attending appropriate allergy training as required</w:t>
      </w:r>
    </w:p>
    <w:p w14:paraId="22410B08"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Being aware of specific pupils with allergies in their care</w:t>
      </w:r>
    </w:p>
    <w:p w14:paraId="3450F98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Carefully considering the use of food or other potential allergens in lesson and activity planning</w:t>
      </w:r>
    </w:p>
    <w:p w14:paraId="2181EF7D"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Ensuring the wellbeing and inclusion of pupils with allergies</w:t>
      </w:r>
    </w:p>
    <w:p w14:paraId="10CD4569"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lastRenderedPageBreak/>
        <w:t>3.4 Parents/carers</w:t>
      </w:r>
    </w:p>
    <w:p w14:paraId="2DEC8D0F"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Parents/carers are responsible for:</w:t>
      </w:r>
    </w:p>
    <w:p w14:paraId="66EC4FF7"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Being aware of our school’s allergy policy</w:t>
      </w:r>
    </w:p>
    <w:p w14:paraId="12C4969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Providing the school with up-to-date details of their child’s medical needs, dietary requirements, and any history of allergies, reactions and anaphylaxis</w:t>
      </w:r>
    </w:p>
    <w:p w14:paraId="1AD0F85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If required, providing their child with 2 in-date adrenaline auto-injectors and any other medication, including inhalers, antihistamine etc., and making sure these are replaced in a timely manner</w:t>
      </w:r>
    </w:p>
    <w:p w14:paraId="5DD4F0C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Carefully considering the food they provide to their child as packed lunches and snacks, and trying to limit the number of allergens included</w:t>
      </w:r>
    </w:p>
    <w:p w14:paraId="4D252EA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Following the school’s guidance on food brought in to be shared</w:t>
      </w:r>
    </w:p>
    <w:p w14:paraId="267C616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Updating the school on any changes to their child’s condition</w:t>
      </w:r>
    </w:p>
    <w:p w14:paraId="0CB1ECB0" w14:textId="77777777" w:rsidR="00585DB6" w:rsidRPr="00577713" w:rsidRDefault="0032728D">
      <w:pPr>
        <w:pBdr>
          <w:top w:val="nil"/>
          <w:left w:val="nil"/>
          <w:bottom w:val="nil"/>
          <w:right w:val="nil"/>
          <w:between w:val="nil"/>
        </w:pBdr>
        <w:spacing w:before="240"/>
        <w:rPr>
          <w:rFonts w:ascii="Calibri" w:eastAsia="Calibri" w:hAnsi="Calibri" w:cs="Calibri"/>
          <w:b/>
          <w:bCs/>
          <w:sz w:val="24"/>
          <w:szCs w:val="24"/>
        </w:rPr>
      </w:pPr>
      <w:r w:rsidRPr="00577713">
        <w:rPr>
          <w:rFonts w:ascii="Calibri" w:eastAsia="Calibri" w:hAnsi="Calibri" w:cs="Calibri"/>
          <w:b/>
          <w:bCs/>
          <w:sz w:val="24"/>
          <w:szCs w:val="24"/>
        </w:rPr>
        <w:t>3.5 Pupils with allergies</w:t>
      </w:r>
    </w:p>
    <w:p w14:paraId="20D1D2DD" w14:textId="77777777" w:rsidR="00585DB6" w:rsidRPr="00577713" w:rsidRDefault="0032728D">
      <w:pPr>
        <w:pBdr>
          <w:top w:val="nil"/>
          <w:left w:val="nil"/>
          <w:bottom w:val="nil"/>
          <w:right w:val="nil"/>
          <w:between w:val="nil"/>
        </w:pBdr>
        <w:rPr>
          <w:rFonts w:ascii="Calibri" w:eastAsia="Calibri" w:hAnsi="Calibri" w:cs="Calibri"/>
        </w:rPr>
      </w:pPr>
      <w:r w:rsidRPr="00577713">
        <w:rPr>
          <w:rFonts w:ascii="Calibri" w:eastAsia="Calibri" w:hAnsi="Calibri" w:cs="Calibri"/>
        </w:rPr>
        <w:t>These pupils, dependent on their age, are responsible for:</w:t>
      </w:r>
    </w:p>
    <w:p w14:paraId="2C93213B" w14:textId="77777777" w:rsidR="00585DB6" w:rsidRPr="00577713" w:rsidRDefault="0032728D">
      <w:pPr>
        <w:numPr>
          <w:ilvl w:val="0"/>
          <w:numId w:val="2"/>
        </w:numPr>
        <w:pBdr>
          <w:top w:val="nil"/>
          <w:left w:val="nil"/>
          <w:bottom w:val="nil"/>
          <w:right w:val="nil"/>
          <w:between w:val="nil"/>
        </w:pBdr>
      </w:pPr>
      <w:r w:rsidRPr="00577713">
        <w:rPr>
          <w:rFonts w:ascii="Calibri" w:eastAsia="Calibri" w:hAnsi="Calibri" w:cs="Calibri"/>
        </w:rPr>
        <w:t>Being aware of their allergens and the risks they pose</w:t>
      </w:r>
    </w:p>
    <w:p w14:paraId="236EB013" w14:textId="77777777" w:rsidR="00585DB6" w:rsidRPr="00577713" w:rsidRDefault="0032728D">
      <w:pPr>
        <w:pBdr>
          <w:top w:val="nil"/>
          <w:left w:val="nil"/>
          <w:bottom w:val="nil"/>
          <w:right w:val="nil"/>
          <w:between w:val="nil"/>
        </w:pBdr>
        <w:spacing w:before="240"/>
        <w:rPr>
          <w:rFonts w:ascii="Calibri" w:eastAsia="Calibri" w:hAnsi="Calibri" w:cs="Calibri"/>
          <w:b/>
          <w:bCs/>
          <w:sz w:val="24"/>
          <w:szCs w:val="24"/>
        </w:rPr>
      </w:pPr>
      <w:r w:rsidRPr="00577713">
        <w:rPr>
          <w:rFonts w:ascii="Calibri" w:eastAsia="Calibri" w:hAnsi="Calibri" w:cs="Calibri"/>
          <w:b/>
          <w:bCs/>
          <w:sz w:val="24"/>
          <w:szCs w:val="24"/>
        </w:rPr>
        <w:t>3.6 Pupils without allergies</w:t>
      </w:r>
    </w:p>
    <w:p w14:paraId="686581FF" w14:textId="77777777" w:rsidR="00585DB6" w:rsidRPr="00577713" w:rsidRDefault="0032728D">
      <w:pPr>
        <w:pBdr>
          <w:top w:val="nil"/>
          <w:left w:val="nil"/>
          <w:bottom w:val="nil"/>
          <w:right w:val="nil"/>
          <w:between w:val="nil"/>
        </w:pBdr>
        <w:rPr>
          <w:rFonts w:ascii="Calibri" w:eastAsia="Calibri" w:hAnsi="Calibri" w:cs="Calibri"/>
        </w:rPr>
      </w:pPr>
      <w:bookmarkStart w:id="5" w:name="_heading=h.nelecc8e6bmr" w:colFirst="0" w:colLast="0"/>
      <w:bookmarkEnd w:id="5"/>
      <w:r w:rsidRPr="00577713">
        <w:rPr>
          <w:rFonts w:ascii="Calibri" w:eastAsia="Calibri" w:hAnsi="Calibri" w:cs="Calibri"/>
        </w:rPr>
        <w:t>These pupils are responsible for:</w:t>
      </w:r>
    </w:p>
    <w:p w14:paraId="1938FD37" w14:textId="77777777" w:rsidR="00585DB6" w:rsidRPr="00577713" w:rsidRDefault="0032728D">
      <w:pPr>
        <w:numPr>
          <w:ilvl w:val="0"/>
          <w:numId w:val="2"/>
        </w:numPr>
        <w:pBdr>
          <w:top w:val="nil"/>
          <w:left w:val="nil"/>
          <w:bottom w:val="nil"/>
          <w:right w:val="nil"/>
          <w:between w:val="nil"/>
        </w:pBdr>
      </w:pPr>
      <w:r w:rsidRPr="00577713">
        <w:rPr>
          <w:rFonts w:ascii="Calibri" w:eastAsia="Calibri" w:hAnsi="Calibri" w:cs="Calibri"/>
        </w:rPr>
        <w:t>Being aware of allergens and the risk they pose to their peers</w:t>
      </w:r>
    </w:p>
    <w:p w14:paraId="3A56D7D6" w14:textId="77777777" w:rsidR="00585DB6" w:rsidRDefault="00585DB6">
      <w:pPr>
        <w:pStyle w:val="Heading1"/>
        <w:rPr>
          <w:rFonts w:ascii="Calibri" w:eastAsia="Calibri" w:hAnsi="Calibri" w:cs="Calibri"/>
        </w:rPr>
      </w:pPr>
      <w:bookmarkStart w:id="6" w:name="_heading=h.4mcy3wvs2m94" w:colFirst="0" w:colLast="0"/>
      <w:bookmarkEnd w:id="6"/>
    </w:p>
    <w:p w14:paraId="30A2F0B4" w14:textId="77777777" w:rsidR="00585DB6" w:rsidRDefault="0032728D">
      <w:pPr>
        <w:pStyle w:val="Heading1"/>
        <w:rPr>
          <w:rFonts w:ascii="Calibri" w:eastAsia="Calibri" w:hAnsi="Calibri" w:cs="Calibri"/>
        </w:rPr>
      </w:pPr>
      <w:r>
        <w:rPr>
          <w:rFonts w:ascii="Calibri" w:eastAsia="Calibri" w:hAnsi="Calibri" w:cs="Calibri"/>
        </w:rPr>
        <w:t>4. Assessing risk</w:t>
      </w:r>
    </w:p>
    <w:p w14:paraId="75F8F990"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school will conduct a risk assessment for any pupil at risk of anaphylaxis </w:t>
      </w:r>
      <w:r w:rsidRPr="0032728D">
        <w:rPr>
          <w:rFonts w:ascii="Calibri" w:eastAsia="Calibri" w:hAnsi="Calibri" w:cs="Calibri"/>
        </w:rPr>
        <w:t xml:space="preserve">and severe FPIES reactions </w:t>
      </w:r>
      <w:r>
        <w:rPr>
          <w:rFonts w:ascii="Calibri" w:eastAsia="Calibri" w:hAnsi="Calibri" w:cs="Calibri"/>
          <w:color w:val="000000"/>
        </w:rPr>
        <w:t>taking part in:</w:t>
      </w:r>
    </w:p>
    <w:p w14:paraId="6B8AF0C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Lessons such as food technology</w:t>
      </w:r>
    </w:p>
    <w:p w14:paraId="4C44496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Science experiments involving foods</w:t>
      </w:r>
    </w:p>
    <w:p w14:paraId="72BFD98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Crafts using food packaging</w:t>
      </w:r>
    </w:p>
    <w:p w14:paraId="45097207"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Off-site events and school trips</w:t>
      </w:r>
    </w:p>
    <w:p w14:paraId="166849CB"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Any other activities involving animals or food, such as animal handling experiences or baking. </w:t>
      </w:r>
      <w:r>
        <w:rPr>
          <w:rFonts w:ascii="Calibri" w:eastAsia="Calibri" w:hAnsi="Calibri" w:cs="Calibri"/>
          <w:i/>
          <w:iCs/>
          <w:color w:val="222222"/>
          <w:highlight w:val="white"/>
        </w:rPr>
        <w:t>Wherever possible, it is preferable for all children to participate in the same activity. Adapting the environment, rather than excluding the child with the allergy, helps reduce risk while also ensuring children don’t feel different or left out. This includes baking activities – where possible ingredients and activities will be adapted to avoid the allergen and ensure inclusion. However, there may well be times where this is not feasible.</w:t>
      </w:r>
      <w:r>
        <w:rPr>
          <w:rFonts w:ascii="Calibri" w:eastAsia="Calibri" w:hAnsi="Calibri" w:cs="Calibri"/>
          <w:i/>
          <w:iCs/>
          <w:color w:val="222222"/>
        </w:rPr>
        <w:br/>
      </w:r>
    </w:p>
    <w:p w14:paraId="39E39CA8"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 risk assessment for any pupil at risk of an allergic reaction will also be carried out where a visitor requires a guide dog. </w:t>
      </w:r>
    </w:p>
    <w:p w14:paraId="6BFD9D70" w14:textId="77777777" w:rsidR="00585DB6" w:rsidRDefault="00585DB6">
      <w:pPr>
        <w:pStyle w:val="Heading1"/>
        <w:rPr>
          <w:rFonts w:ascii="Calibri" w:eastAsia="Calibri" w:hAnsi="Calibri" w:cs="Calibri"/>
        </w:rPr>
      </w:pPr>
      <w:bookmarkStart w:id="7" w:name="_heading=h.m85gw9k05zfy" w:colFirst="0" w:colLast="0"/>
      <w:bookmarkEnd w:id="7"/>
    </w:p>
    <w:p w14:paraId="7B8DCBAB" w14:textId="77777777" w:rsidR="00585DB6" w:rsidRDefault="0032728D">
      <w:pPr>
        <w:pStyle w:val="Heading1"/>
        <w:rPr>
          <w:rFonts w:ascii="Calibri" w:eastAsia="Calibri" w:hAnsi="Calibri" w:cs="Calibri"/>
        </w:rPr>
      </w:pPr>
      <w:r>
        <w:rPr>
          <w:rFonts w:ascii="Calibri" w:eastAsia="Calibri" w:hAnsi="Calibri" w:cs="Calibri"/>
        </w:rPr>
        <w:t>5. Managing risk</w:t>
      </w:r>
    </w:p>
    <w:p w14:paraId="09CB543D"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lastRenderedPageBreak/>
        <w:t>5.1 Hygiene procedures</w:t>
      </w:r>
    </w:p>
    <w:p w14:paraId="586B580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Pupils are reminded to wash their hands before and after eating</w:t>
      </w:r>
    </w:p>
    <w:p w14:paraId="291D5419" w14:textId="77777777" w:rsidR="00585DB6" w:rsidRDefault="0032728D">
      <w:pPr>
        <w:numPr>
          <w:ilvl w:val="0"/>
          <w:numId w:val="2"/>
        </w:numPr>
        <w:pBdr>
          <w:top w:val="nil"/>
          <w:left w:val="nil"/>
          <w:bottom w:val="nil"/>
          <w:right w:val="nil"/>
          <w:between w:val="nil"/>
        </w:pBdr>
      </w:pPr>
      <w:r>
        <w:rPr>
          <w:rFonts w:ascii="Calibri" w:eastAsia="Calibri" w:hAnsi="Calibri" w:cs="Calibri"/>
          <w:color w:val="222222"/>
          <w:highlight w:val="white"/>
        </w:rPr>
        <w:t>Where necessary, there are clear handwashing, table-cleaning and vacuuming procedures after eating to minimise the risk of contamination from food left on tables or dropped on the floor.</w:t>
      </w:r>
    </w:p>
    <w:p w14:paraId="652FFC1A" w14:textId="77777777" w:rsidR="00585DB6" w:rsidRDefault="0032728D">
      <w:pPr>
        <w:numPr>
          <w:ilvl w:val="0"/>
          <w:numId w:val="2"/>
        </w:numPr>
        <w:pBdr>
          <w:top w:val="nil"/>
          <w:left w:val="nil"/>
          <w:bottom w:val="nil"/>
          <w:right w:val="nil"/>
          <w:between w:val="nil"/>
        </w:pBdr>
      </w:pPr>
      <w:r>
        <w:rPr>
          <w:rFonts w:ascii="Calibri" w:eastAsia="Calibri" w:hAnsi="Calibri" w:cs="Calibri"/>
          <w:color w:val="222222"/>
          <w:highlight w:val="white"/>
        </w:rPr>
        <w:t>Encourage children to place all food wrappers back into their own lunch bags rather than into a communal bin. This enables staff to quickly identify exactly what foods had been present and whether there may have been accidental exposure to an allergen.</w:t>
      </w:r>
    </w:p>
    <w:p w14:paraId="7CE7540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Sharing of food is never allowed.</w:t>
      </w:r>
    </w:p>
    <w:p w14:paraId="5190520F"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Children are supervised appropriately to ensure safety and that food is not shared.</w:t>
      </w:r>
    </w:p>
    <w:p w14:paraId="28A8F37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Pupils have their own named water bottles.</w:t>
      </w:r>
    </w:p>
    <w:p w14:paraId="7491439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Some pupils may need to be kept separate from others, dependent on the allergy, whilst ensuring that they are not isolated from peers.</w:t>
      </w:r>
    </w:p>
    <w:p w14:paraId="03DBFC5D"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5.2 Catering</w:t>
      </w:r>
    </w:p>
    <w:p w14:paraId="296D27EB"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school is committed to providing safe food options to meet the dietary needs of pupils with allergies.</w:t>
      </w:r>
    </w:p>
    <w:p w14:paraId="5BA13BAF"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Catering staff receive appropriate training and are able to identify pupils with allergies</w:t>
      </w:r>
    </w:p>
    <w:p w14:paraId="537B963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School menus are available for parents/carers to view with ingredients clearly labelled</w:t>
      </w:r>
    </w:p>
    <w:p w14:paraId="473DCC0A"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Where changes are made to school menus, we will make sure these continue to meet any special dietary needs of pupils</w:t>
      </w:r>
    </w:p>
    <w:p w14:paraId="28C9673D"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Food allergen information relating to the ‘top 14’ allergens is displayed on the packaging of all food products, allowing pupils and staff to make safer choices. </w:t>
      </w:r>
      <w:r>
        <w:rPr>
          <w:rFonts w:ascii="Calibri" w:eastAsia="Calibri" w:hAnsi="Calibri" w:cs="Calibri"/>
          <w:color w:val="242424"/>
          <w:highlight w:val="white"/>
        </w:rPr>
        <w:t>Allergen information labelling will follow all </w:t>
      </w:r>
      <w:hyperlink r:id="rId15">
        <w:r>
          <w:rPr>
            <w:rFonts w:ascii="Calibri" w:eastAsia="Calibri" w:hAnsi="Calibri" w:cs="Calibri"/>
            <w:color w:val="0072CC"/>
            <w:u w:val="single"/>
          </w:rPr>
          <w:t>legal requirements</w:t>
        </w:r>
      </w:hyperlink>
      <w:r>
        <w:rPr>
          <w:rFonts w:ascii="Calibri" w:eastAsia="Calibri" w:hAnsi="Calibri" w:cs="Calibri"/>
          <w:color w:val="242424"/>
          <w:highlight w:val="white"/>
        </w:rPr>
        <w:t> that apply to naming the food and listing ingredients, as outlined by the Food Standards Agency (FSA)</w:t>
      </w:r>
    </w:p>
    <w:p w14:paraId="518A4D33"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Catering staff follow hygiene and allergy procedures when preparing food to avoid cross-contamination</w:t>
      </w:r>
    </w:p>
    <w:p w14:paraId="41C086A7"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5.3 Food restrictions</w:t>
      </w:r>
    </w:p>
    <w:p w14:paraId="11FA8871"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We acknowledge that it is impractical to enforce an allergen-free school. However, we would like to encourage pupils and staff to avoid certain high-risk foods to reduce the chances of someone experiencing a reaction. These foods include:</w:t>
      </w:r>
    </w:p>
    <w:p w14:paraId="53510D5F"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Packaged nuts</w:t>
      </w:r>
    </w:p>
    <w:p w14:paraId="677AE9C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Cereal, granola or chocolate bars containing nuts</w:t>
      </w:r>
    </w:p>
    <w:p w14:paraId="716833B6"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Peanut butter or chocolate spreads containing nuts</w:t>
      </w:r>
    </w:p>
    <w:p w14:paraId="4594CFF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Peanut-based sauces, such as satay</w:t>
      </w:r>
    </w:p>
    <w:p w14:paraId="78FA301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Sesame seeds and foods containing sesame seeds</w:t>
      </w:r>
    </w:p>
    <w:p w14:paraId="3113862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Eggs (children will be asked to not bring in eggs, but there may be some snacks that ‘may contain eggs’. Children with egg allergies may need to be kept separate at certain times)</w:t>
      </w:r>
    </w:p>
    <w:p w14:paraId="550F193B"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If a pupil brings these foods into school, they may be asked to eat them away from others to minimise the risk, or the food may be confiscated.</w:t>
      </w:r>
    </w:p>
    <w:p w14:paraId="3F47BEB5"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5.4 Insect bites/stings</w:t>
      </w:r>
    </w:p>
    <w:p w14:paraId="3E6BEA2A" w14:textId="77777777" w:rsidR="00585DB6" w:rsidRDefault="0032728D">
      <w:p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When outdoors:</w:t>
      </w:r>
    </w:p>
    <w:p w14:paraId="4D0320E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Shoes should always be worn</w:t>
      </w:r>
    </w:p>
    <w:p w14:paraId="0C11267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Food and drink should be covered</w:t>
      </w:r>
    </w:p>
    <w:p w14:paraId="08FE5F95"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5.5 Animals</w:t>
      </w:r>
    </w:p>
    <w:p w14:paraId="21A58643"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All pupils will always wash hands after interacting with animals to avoid putting pupils with allergies at risk through later contact </w:t>
      </w:r>
    </w:p>
    <w:p w14:paraId="661C757B"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Pupils with animal allergies will not interact with animals</w:t>
      </w:r>
    </w:p>
    <w:p w14:paraId="6CD3D1EA"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 xml:space="preserve">5.6 Support for mental health </w:t>
      </w:r>
    </w:p>
    <w:p w14:paraId="1528DCDF"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Pupils with allergies can experience bullying and may also suffer from anxiety and depression relating to their allergy. </w:t>
      </w:r>
    </w:p>
    <w:p w14:paraId="5BAE08FD"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Pupils with allergies will have additional support as required through:</w:t>
      </w:r>
    </w:p>
    <w:p w14:paraId="3E9BB1AB"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Pastoral care</w:t>
      </w:r>
    </w:p>
    <w:p w14:paraId="75FBCC34"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Regular check-ins with an appropriate member of staff</w:t>
      </w:r>
    </w:p>
    <w:p w14:paraId="57D5D3F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Ensuring that they do not feel isolated from their peers - </w:t>
      </w:r>
      <w:r>
        <w:rPr>
          <w:rFonts w:ascii="Calibri" w:eastAsia="Calibri" w:hAnsi="Calibri" w:cs="Calibri"/>
          <w:color w:val="222222"/>
          <w:highlight w:val="white"/>
        </w:rPr>
        <w:t>children with allergies shouldn’t routinely be excluded from activities or separated from their peers, as this can affect friendships and unintentionally make children feel they have done something wrong. Instead, wherever possible, the environment itself should be made safe.</w:t>
      </w:r>
    </w:p>
    <w:p w14:paraId="4132565E"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5.7 Events and school trips</w:t>
      </w:r>
    </w:p>
    <w:p w14:paraId="43283C9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For events, including ones that take place outside of the school, and school trips, no pupils with allergies will be excluded from taking part</w:t>
      </w:r>
    </w:p>
    <w:p w14:paraId="79A99B5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The school will plan accordingly for all events and school trips, and arrange for the staff members involved to be aware of pupils’ allergies and to have received adequate training</w:t>
      </w:r>
    </w:p>
    <w:p w14:paraId="7ABA1A3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Appropriate measures will be taken in line with the schools AAI protocols for off-site events and school trips (see section 7.5).</w:t>
      </w:r>
    </w:p>
    <w:p w14:paraId="508BE115" w14:textId="77777777" w:rsidR="00585DB6" w:rsidRDefault="0032728D">
      <w:pPr>
        <w:pStyle w:val="Heading1"/>
        <w:rPr>
          <w:rFonts w:ascii="Calibri" w:eastAsia="Calibri" w:hAnsi="Calibri" w:cs="Calibri"/>
        </w:rPr>
      </w:pPr>
      <w:bookmarkStart w:id="8" w:name="_heading=h.hym41htrgyeb" w:colFirst="0" w:colLast="0"/>
      <w:bookmarkEnd w:id="8"/>
      <w:r>
        <w:rPr>
          <w:rFonts w:ascii="Calibri" w:eastAsia="Calibri" w:hAnsi="Calibri" w:cs="Calibri"/>
        </w:rPr>
        <w:t>6. Procedures for handling an allergic reaction</w:t>
      </w:r>
    </w:p>
    <w:p w14:paraId="2146B248"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6.1 Register of pupils with AAIs</w:t>
      </w:r>
    </w:p>
    <w:p w14:paraId="30322ADB" w14:textId="77777777" w:rsidR="00585DB6" w:rsidRPr="00577713" w:rsidRDefault="0032728D">
      <w:pPr>
        <w:pBdr>
          <w:top w:val="nil"/>
          <w:left w:val="nil"/>
          <w:bottom w:val="nil"/>
          <w:right w:val="nil"/>
          <w:between w:val="nil"/>
        </w:pBdr>
        <w:rPr>
          <w:rFonts w:ascii="Calibri" w:eastAsia="Calibri" w:hAnsi="Calibri" w:cs="Calibri"/>
        </w:rPr>
      </w:pPr>
      <w:r w:rsidRPr="00577713">
        <w:rPr>
          <w:rFonts w:ascii="Calibri" w:eastAsia="Calibri" w:hAnsi="Calibri" w:cs="Calibri"/>
        </w:rPr>
        <w:t>This links to our ‘supporting pupils with medical conditions’ policy.</w:t>
      </w:r>
    </w:p>
    <w:p w14:paraId="0FA2DDF7"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The school maintains a register of pupils who have been prescribed AAIs or where a doctor has provided a written plan recommending AAIs to be used in the event of anaphylaxis. The register includes:</w:t>
      </w:r>
    </w:p>
    <w:p w14:paraId="762A0E5D"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Known allergens and risk factors for anaphylaxis</w:t>
      </w:r>
    </w:p>
    <w:p w14:paraId="46760A7C"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Whether a pupil has been prescribed AAI(s) (and if so, what type and dose)</w:t>
      </w:r>
    </w:p>
    <w:p w14:paraId="397D04E6"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Where a pupil has been prescribed an AAI, whether parental consent has been given for use of the spare AAI, which may be different to the personal AAI prescribed for the pupil</w:t>
      </w:r>
    </w:p>
    <w:p w14:paraId="0C31BAD5"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A photograph of each pupil to allow a visual check to be made (this will require parental consent)</w:t>
      </w:r>
    </w:p>
    <w:p w14:paraId="6AD9379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The register is kept in the </w:t>
      </w:r>
      <w:r w:rsidRPr="00577713">
        <w:rPr>
          <w:rFonts w:ascii="Calibri" w:eastAsia="Calibri" w:hAnsi="Calibri" w:cs="Calibri"/>
        </w:rPr>
        <w:t xml:space="preserve">school office (as well as in the classroom if necessary) and </w:t>
      </w:r>
      <w:r>
        <w:rPr>
          <w:rFonts w:ascii="Calibri" w:eastAsia="Calibri" w:hAnsi="Calibri" w:cs="Calibri"/>
          <w:color w:val="000000"/>
        </w:rPr>
        <w:t>can be checked quickly by any member of staff as part of initiating an emergency response</w:t>
      </w:r>
    </w:p>
    <w:p w14:paraId="2A36C798"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6.2 Allergic reaction procedures</w:t>
      </w:r>
    </w:p>
    <w:p w14:paraId="1293D1F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As part of the whole-school awareness approach to allergies, all staff are trained in the school’s allergic reaction procedure, and to recognise the signs of anaphylaxis </w:t>
      </w:r>
      <w:r w:rsidRPr="0032728D">
        <w:rPr>
          <w:rFonts w:ascii="Calibri" w:eastAsia="Calibri" w:hAnsi="Calibri" w:cs="Calibri"/>
          <w:color w:val="000000"/>
        </w:rPr>
        <w:t>and FPIES symptoms</w:t>
      </w:r>
      <w:r>
        <w:rPr>
          <w:rFonts w:ascii="Calibri" w:eastAsia="Calibri" w:hAnsi="Calibri" w:cs="Calibri"/>
          <w:color w:val="000000"/>
        </w:rPr>
        <w:t xml:space="preserve"> and respond appropriately</w:t>
      </w:r>
    </w:p>
    <w:p w14:paraId="4BEB7A20"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Staff are trained in the administration of AAIs to minimise delays in pupil’s receiving adrenaline in an emergency</w:t>
      </w:r>
    </w:p>
    <w:p w14:paraId="23B905B4"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If a pupil has an allergic reaction, the staff member will initiate the school’s emergency response plan, following the pupil’s allergy action plan</w:t>
      </w:r>
    </w:p>
    <w:p w14:paraId="0C1C8955" w14:textId="77777777" w:rsidR="00585DB6" w:rsidRDefault="0032728D">
      <w:pPr>
        <w:numPr>
          <w:ilvl w:val="0"/>
          <w:numId w:val="1"/>
        </w:numPr>
        <w:pBdr>
          <w:top w:val="nil"/>
          <w:left w:val="nil"/>
          <w:bottom w:val="nil"/>
          <w:right w:val="nil"/>
          <w:between w:val="nil"/>
        </w:pBdr>
        <w:rPr>
          <w:color w:val="000000"/>
        </w:rPr>
      </w:pPr>
      <w:r>
        <w:rPr>
          <w:rFonts w:ascii="Calibri" w:eastAsia="Calibri" w:hAnsi="Calibri" w:cs="Calibri"/>
          <w:color w:val="000000"/>
        </w:rPr>
        <w:t>If an AAI needs to be administered, a member of staff will use the pupil's own AAI, or if it is not available, a school one</w:t>
      </w:r>
    </w:p>
    <w:p w14:paraId="3DCD4B8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If the pupil has no </w:t>
      </w:r>
      <w:r w:rsidRPr="00577713">
        <w:rPr>
          <w:rFonts w:ascii="Calibri" w:eastAsia="Calibri" w:hAnsi="Calibri" w:cs="Calibri"/>
        </w:rPr>
        <w:t xml:space="preserve">allergy action plan, staff will </w:t>
      </w:r>
      <w:r>
        <w:rPr>
          <w:rFonts w:ascii="Calibri" w:eastAsia="Calibri" w:hAnsi="Calibri" w:cs="Calibri"/>
          <w:color w:val="000000"/>
        </w:rPr>
        <w:t>follow the school's procedures on responding to allergy and, if needed, the school's normal emergency procedures.</w:t>
      </w:r>
    </w:p>
    <w:p w14:paraId="07D78F74"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 s</w:t>
      </w:r>
      <w:r>
        <w:rPr>
          <w:rFonts w:ascii="Calibri" w:eastAsia="Calibri" w:hAnsi="Calibri" w:cs="Calibri"/>
          <w:color w:val="1D1C1D"/>
        </w:rPr>
        <w:t>chool AAI device will be used instead of the pupil’s own AAI device if:</w:t>
      </w:r>
    </w:p>
    <w:p w14:paraId="73A70FF5" w14:textId="77777777" w:rsidR="00585DB6" w:rsidRDefault="0032728D">
      <w:pPr>
        <w:numPr>
          <w:ilvl w:val="1"/>
          <w:numId w:val="2"/>
        </w:numPr>
        <w:pBdr>
          <w:top w:val="nil"/>
          <w:left w:val="nil"/>
          <w:bottom w:val="nil"/>
          <w:right w:val="nil"/>
          <w:between w:val="nil"/>
        </w:pBdr>
        <w:rPr>
          <w:color w:val="000000"/>
        </w:rPr>
      </w:pPr>
      <w:r>
        <w:rPr>
          <w:rFonts w:ascii="Calibri" w:eastAsia="Calibri" w:hAnsi="Calibri" w:cs="Calibri"/>
          <w:color w:val="000000"/>
        </w:rPr>
        <w:t>Medical authorisation and written parental consent have been provided, or</w:t>
      </w:r>
    </w:p>
    <w:p w14:paraId="6B1C1A65" w14:textId="77777777" w:rsidR="00585DB6" w:rsidRDefault="0032728D">
      <w:pPr>
        <w:numPr>
          <w:ilvl w:val="1"/>
          <w:numId w:val="2"/>
        </w:numPr>
        <w:pBdr>
          <w:top w:val="nil"/>
          <w:left w:val="nil"/>
          <w:bottom w:val="nil"/>
          <w:right w:val="nil"/>
          <w:between w:val="nil"/>
        </w:pBdr>
        <w:rPr>
          <w:color w:val="000000"/>
        </w:rPr>
      </w:pPr>
      <w:r>
        <w:rPr>
          <w:rFonts w:ascii="Calibri" w:eastAsia="Calibri" w:hAnsi="Calibri" w:cs="Calibri"/>
          <w:color w:val="000000"/>
        </w:rPr>
        <w:t>The pupil’s own prescribed AAI(s) are not immediately available (for example, because they are broken, out-of-date, have misfired or been wrongly administered)</w:t>
      </w:r>
    </w:p>
    <w:p w14:paraId="302D8037"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If a pupil needs to be taken to hospital, staff will stay with the pupil until the parent/carer arrives, or accompany the pupil to hospital by ambulance</w:t>
      </w:r>
    </w:p>
    <w:p w14:paraId="5C9C8AA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 xml:space="preserve">If the allergic reaction is mild (e.g. skin rash, itching or sneezing), the pupil will be monitored and the parents/carers informed, </w:t>
      </w:r>
      <w:r w:rsidRPr="0032728D">
        <w:rPr>
          <w:rFonts w:ascii="Calibri" w:eastAsia="Calibri" w:hAnsi="Calibri" w:cs="Calibri"/>
          <w:color w:val="000000"/>
        </w:rPr>
        <w:t>unless a child</w:t>
      </w:r>
      <w:r w:rsidRPr="0032728D">
        <w:rPr>
          <w:rFonts w:ascii="Calibri" w:eastAsia="Calibri" w:hAnsi="Calibri" w:cs="Calibri"/>
        </w:rPr>
        <w:t>’s allergy action plan informs otherwise.</w:t>
      </w:r>
    </w:p>
    <w:p w14:paraId="7C7F3BB8" w14:textId="77777777" w:rsidR="00585DB6" w:rsidRDefault="00585DB6">
      <w:pPr>
        <w:pBdr>
          <w:top w:val="nil"/>
          <w:left w:val="nil"/>
          <w:bottom w:val="nil"/>
          <w:right w:val="nil"/>
          <w:between w:val="nil"/>
        </w:pBdr>
        <w:ind w:left="170" w:hanging="170"/>
        <w:rPr>
          <w:rFonts w:ascii="Calibri" w:eastAsia="Calibri" w:hAnsi="Calibri" w:cs="Calibri"/>
          <w:color w:val="000000"/>
        </w:rPr>
      </w:pPr>
    </w:p>
    <w:p w14:paraId="3822FE00" w14:textId="77777777" w:rsidR="00585DB6" w:rsidRDefault="0032728D">
      <w:pPr>
        <w:pStyle w:val="Heading1"/>
        <w:spacing w:after="240"/>
        <w:rPr>
          <w:rFonts w:ascii="Calibri" w:eastAsia="Calibri" w:hAnsi="Calibri" w:cs="Calibri"/>
        </w:rPr>
      </w:pPr>
      <w:bookmarkStart w:id="9" w:name="_heading=h.ilxmjdn5cwro" w:colFirst="0" w:colLast="0"/>
      <w:bookmarkEnd w:id="9"/>
      <w:r>
        <w:rPr>
          <w:rFonts w:ascii="Calibri" w:eastAsia="Calibri" w:hAnsi="Calibri" w:cs="Calibri"/>
        </w:rPr>
        <w:t>7. Adrenaline auto-injectors (AAIs)</w:t>
      </w:r>
    </w:p>
    <w:p w14:paraId="31771F17"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7.1 Purchasing of spare AAIs</w:t>
      </w:r>
    </w:p>
    <w:p w14:paraId="41F08E12"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 allergy lead is responsible for buying AAIs and ensuring they are stored according to the guidance. </w:t>
      </w:r>
    </w:p>
    <w:p w14:paraId="0F9AB0C6" w14:textId="0AEE9326" w:rsidR="00585DB6" w:rsidRPr="00577713" w:rsidRDefault="0032728D">
      <w:pPr>
        <w:numPr>
          <w:ilvl w:val="0"/>
          <w:numId w:val="2"/>
        </w:numPr>
        <w:pBdr>
          <w:top w:val="nil"/>
          <w:left w:val="nil"/>
          <w:bottom w:val="nil"/>
          <w:right w:val="nil"/>
          <w:between w:val="nil"/>
        </w:pBdr>
      </w:pPr>
      <w:r w:rsidRPr="00577713">
        <w:rPr>
          <w:rFonts w:ascii="Calibri" w:eastAsia="Calibri" w:hAnsi="Calibri" w:cs="Calibri"/>
          <w:color w:val="000000"/>
        </w:rPr>
        <w:t xml:space="preserve">AAIs </w:t>
      </w:r>
      <w:r w:rsidR="0045606A" w:rsidRPr="00577713">
        <w:rPr>
          <w:rFonts w:ascii="Calibri" w:eastAsia="Calibri" w:hAnsi="Calibri" w:cs="Calibri"/>
          <w:color w:val="000000"/>
        </w:rPr>
        <w:t>have been sourced from Malcolm’s chemist in Urmston. The expiry dates have been noted and replacements will be sourced before they expire.</w:t>
      </w:r>
    </w:p>
    <w:p w14:paraId="3C7C6489" w14:textId="43600EDC" w:rsidR="00585DB6" w:rsidRPr="00577713" w:rsidRDefault="0045606A">
      <w:pPr>
        <w:numPr>
          <w:ilvl w:val="0"/>
          <w:numId w:val="2"/>
        </w:numPr>
        <w:pBdr>
          <w:top w:val="nil"/>
          <w:left w:val="nil"/>
          <w:bottom w:val="nil"/>
          <w:right w:val="nil"/>
          <w:between w:val="nil"/>
        </w:pBdr>
      </w:pPr>
      <w:r w:rsidRPr="00577713">
        <w:rPr>
          <w:rFonts w:ascii="Calibri" w:eastAsia="Calibri" w:hAnsi="Calibri" w:cs="Calibri"/>
          <w:color w:val="000000"/>
        </w:rPr>
        <w:t>There are two 0.15 mg AAI’s and two 0.3 mg AAI’s</w:t>
      </w:r>
    </w:p>
    <w:p w14:paraId="0B29B5FD" w14:textId="3369689C" w:rsidR="00585DB6" w:rsidRPr="00577713" w:rsidRDefault="007624DC">
      <w:pPr>
        <w:numPr>
          <w:ilvl w:val="0"/>
          <w:numId w:val="2"/>
        </w:numPr>
        <w:pBdr>
          <w:top w:val="nil"/>
          <w:left w:val="nil"/>
          <w:bottom w:val="nil"/>
          <w:right w:val="nil"/>
          <w:between w:val="nil"/>
        </w:pBdr>
      </w:pPr>
      <w:r>
        <w:rPr>
          <w:rFonts w:ascii="Calibri" w:eastAsia="Calibri" w:hAnsi="Calibri" w:cs="Calibri"/>
          <w:color w:val="000000"/>
        </w:rPr>
        <w:t>These are all</w:t>
      </w:r>
      <w:bookmarkStart w:id="10" w:name="_GoBack"/>
      <w:bookmarkEnd w:id="10"/>
      <w:r w:rsidR="0045606A" w:rsidRPr="00577713">
        <w:rPr>
          <w:rFonts w:ascii="Calibri" w:eastAsia="Calibri" w:hAnsi="Calibri" w:cs="Calibri"/>
          <w:color w:val="000000"/>
        </w:rPr>
        <w:t xml:space="preserve"> EpiPen’s (brand name)</w:t>
      </w:r>
    </w:p>
    <w:p w14:paraId="04A0C0C5" w14:textId="6833D027" w:rsidR="004A61D6" w:rsidRPr="00577713" w:rsidRDefault="004A61D6">
      <w:pPr>
        <w:numPr>
          <w:ilvl w:val="0"/>
          <w:numId w:val="2"/>
        </w:numPr>
        <w:pBdr>
          <w:top w:val="nil"/>
          <w:left w:val="nil"/>
          <w:bottom w:val="nil"/>
          <w:right w:val="nil"/>
          <w:between w:val="nil"/>
        </w:pBdr>
        <w:rPr>
          <w:rFonts w:asciiTheme="minorHAnsi" w:hAnsiTheme="minorHAnsi" w:cstheme="minorHAnsi"/>
        </w:rPr>
      </w:pPr>
      <w:r w:rsidRPr="00577713">
        <w:rPr>
          <w:rFonts w:asciiTheme="minorHAnsi" w:hAnsiTheme="minorHAnsi" w:cstheme="minorHAnsi"/>
        </w:rPr>
        <w:t xml:space="preserve">For children age under 6 years: a dose of 150 microgram (0.15 milligram) of adrenaline is used (the </w:t>
      </w:r>
      <w:proofErr w:type="spellStart"/>
      <w:r w:rsidRPr="00577713">
        <w:rPr>
          <w:rFonts w:asciiTheme="minorHAnsi" w:hAnsiTheme="minorHAnsi" w:cstheme="minorHAnsi"/>
        </w:rPr>
        <w:t>Epipen</w:t>
      </w:r>
      <w:proofErr w:type="spellEnd"/>
      <w:r w:rsidRPr="00577713">
        <w:rPr>
          <w:rFonts w:asciiTheme="minorHAnsi" w:hAnsiTheme="minorHAnsi" w:cstheme="minorHAnsi"/>
        </w:rPr>
        <w:t xml:space="preserve"> Junior 0.15mg)</w:t>
      </w:r>
    </w:p>
    <w:p w14:paraId="04388DB2" w14:textId="50ACB00C" w:rsidR="004A61D6" w:rsidRPr="00577713" w:rsidRDefault="004A61D6">
      <w:pPr>
        <w:numPr>
          <w:ilvl w:val="0"/>
          <w:numId w:val="2"/>
        </w:numPr>
        <w:pBdr>
          <w:top w:val="nil"/>
          <w:left w:val="nil"/>
          <w:bottom w:val="nil"/>
          <w:right w:val="nil"/>
          <w:between w:val="nil"/>
        </w:pBdr>
        <w:rPr>
          <w:rFonts w:asciiTheme="minorHAnsi" w:hAnsiTheme="minorHAnsi" w:cstheme="minorHAnsi"/>
        </w:rPr>
      </w:pPr>
      <w:r w:rsidRPr="00577713">
        <w:rPr>
          <w:rFonts w:asciiTheme="minorHAnsi" w:hAnsiTheme="minorHAnsi" w:cstheme="minorHAnsi"/>
        </w:rPr>
        <w:t xml:space="preserve">For children age 6-12 years: a dose of 300 microgram (0.3 milligram) of adrenaline is used (the </w:t>
      </w:r>
      <w:proofErr w:type="spellStart"/>
      <w:r w:rsidRPr="00577713">
        <w:rPr>
          <w:rFonts w:asciiTheme="minorHAnsi" w:hAnsiTheme="minorHAnsi" w:cstheme="minorHAnsi"/>
        </w:rPr>
        <w:t>Epipen</w:t>
      </w:r>
      <w:proofErr w:type="spellEnd"/>
      <w:r w:rsidRPr="00577713">
        <w:rPr>
          <w:rFonts w:asciiTheme="minorHAnsi" w:hAnsiTheme="minorHAnsi" w:cstheme="minorHAnsi"/>
        </w:rPr>
        <w:t xml:space="preserve"> 0.3mg)</w:t>
      </w:r>
    </w:p>
    <w:p w14:paraId="33F138A9" w14:textId="17B9A1D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7.2 Storage (of both spare and prescribed AAIs)</w:t>
      </w:r>
    </w:p>
    <w:p w14:paraId="48178BE7"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allergy lead will make sure all AAIs are:</w:t>
      </w:r>
    </w:p>
    <w:p w14:paraId="4A5EF4F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Stored at room temperature (in line with manufacturer’s guidelines), protected from direct sunlight and extremes of temperature</w:t>
      </w:r>
    </w:p>
    <w:p w14:paraId="37E84541"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Kept in a safe and suitably central location to which all staff have access at all times, but is out of the reach and sight of children</w:t>
      </w:r>
    </w:p>
    <w:p w14:paraId="64B597D1" w14:textId="77777777" w:rsidR="00585DB6" w:rsidRDefault="0032728D">
      <w:pPr>
        <w:numPr>
          <w:ilvl w:val="0"/>
          <w:numId w:val="2"/>
        </w:numPr>
        <w:pBdr>
          <w:top w:val="nil"/>
          <w:left w:val="nil"/>
          <w:bottom w:val="nil"/>
          <w:right w:val="nil"/>
          <w:between w:val="nil"/>
        </w:pBdr>
      </w:pPr>
      <w:r>
        <w:rPr>
          <w:rFonts w:ascii="Calibri" w:eastAsia="Calibri" w:hAnsi="Calibri" w:cs="Calibri"/>
          <w:b/>
          <w:bCs/>
          <w:color w:val="000000"/>
        </w:rPr>
        <w:t xml:space="preserve">Not </w:t>
      </w:r>
      <w:r>
        <w:rPr>
          <w:rFonts w:ascii="Calibri" w:eastAsia="Calibri" w:hAnsi="Calibri" w:cs="Calibri"/>
          <w:color w:val="000000"/>
        </w:rPr>
        <w:t xml:space="preserve">locked away, but accessible and available for use at all times </w:t>
      </w:r>
    </w:p>
    <w:p w14:paraId="258E1886" w14:textId="77777777" w:rsidR="00585DB6" w:rsidRDefault="0032728D">
      <w:pPr>
        <w:numPr>
          <w:ilvl w:val="0"/>
          <w:numId w:val="2"/>
        </w:numPr>
        <w:pBdr>
          <w:top w:val="nil"/>
          <w:left w:val="nil"/>
          <w:bottom w:val="nil"/>
          <w:right w:val="nil"/>
          <w:between w:val="nil"/>
        </w:pBdr>
      </w:pPr>
      <w:r>
        <w:rPr>
          <w:rFonts w:ascii="Calibri" w:eastAsia="Calibri" w:hAnsi="Calibri" w:cs="Calibri"/>
          <w:b/>
          <w:bCs/>
          <w:color w:val="000000"/>
        </w:rPr>
        <w:t>Not</w:t>
      </w:r>
      <w:r>
        <w:rPr>
          <w:rFonts w:ascii="Calibri" w:eastAsia="Calibri" w:hAnsi="Calibri" w:cs="Calibri"/>
          <w:color w:val="000000"/>
        </w:rPr>
        <w:t xml:space="preserve"> located more than 5 minutes away from where they may be needed</w:t>
      </w:r>
    </w:p>
    <w:p w14:paraId="574FA039"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Spare AAIs will be kept separate from any pupil’s own prescribed AAI, and clearly labelled to avoid confusion.</w:t>
      </w:r>
    </w:p>
    <w:p w14:paraId="24C298DB"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7.3 Maintenance (of spare AAIs)</w:t>
      </w:r>
    </w:p>
    <w:p w14:paraId="586EBD7C"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Gill Stock and Mair Morrisey are responsible for checking monthly that:</w:t>
      </w:r>
    </w:p>
    <w:p w14:paraId="2B68132B"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The AAIs are present and in date</w:t>
      </w:r>
    </w:p>
    <w:p w14:paraId="52B41949"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Replacement AAIs are obtained when the expiry date is near</w:t>
      </w:r>
    </w:p>
    <w:p w14:paraId="623AD5FE"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7.4 Disposal</w:t>
      </w:r>
    </w:p>
    <w:p w14:paraId="06304E43"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AAIs can only be used once. Once a AAI has been used, it will be disposed of in line with the manufacturer's instructions (for example, in a sharps bin for collection by the local council).</w:t>
      </w:r>
    </w:p>
    <w:p w14:paraId="063723C7"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(See page 13 of the guidance.)</w:t>
      </w:r>
    </w:p>
    <w:p w14:paraId="0C644F0E"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7.5 Use of AAIs off school premises</w:t>
      </w:r>
    </w:p>
    <w:p w14:paraId="7F3983A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For pupils who are at risk of anaphylaxis, staff will bring the AAI in the medical bag, along with inhalers, first aid kits, etc.</w:t>
      </w:r>
    </w:p>
    <w:p w14:paraId="5C7DA1DF"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 (See page 13 of the guidance.)</w:t>
      </w:r>
    </w:p>
    <w:p w14:paraId="5AB7C4FF" w14:textId="77777777" w:rsidR="00585DB6" w:rsidRDefault="0032728D">
      <w:pPr>
        <w:pBdr>
          <w:top w:val="nil"/>
          <w:left w:val="nil"/>
          <w:bottom w:val="nil"/>
          <w:right w:val="nil"/>
          <w:between w:val="nil"/>
        </w:pBdr>
        <w:spacing w:before="240"/>
        <w:rPr>
          <w:rFonts w:ascii="Calibri" w:eastAsia="Calibri" w:hAnsi="Calibri" w:cs="Calibri"/>
          <w:b/>
          <w:bCs/>
          <w:color w:val="12263F"/>
          <w:sz w:val="24"/>
          <w:szCs w:val="24"/>
        </w:rPr>
      </w:pPr>
      <w:r>
        <w:rPr>
          <w:rFonts w:ascii="Calibri" w:eastAsia="Calibri" w:hAnsi="Calibri" w:cs="Calibri"/>
          <w:b/>
          <w:bCs/>
          <w:color w:val="12263F"/>
          <w:sz w:val="24"/>
          <w:szCs w:val="24"/>
        </w:rPr>
        <w:t>7.6 Emergency anaphylaxis kit</w:t>
      </w:r>
    </w:p>
    <w:p w14:paraId="570D546F"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school holds an emergency anaphylaxis kit. This includes:</w:t>
      </w:r>
    </w:p>
    <w:p w14:paraId="356D1272"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Spare AAIs</w:t>
      </w:r>
    </w:p>
    <w:p w14:paraId="34697D60"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Instructions for the use of AAIs</w:t>
      </w:r>
    </w:p>
    <w:p w14:paraId="4DFB9D2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Instructions on storage</w:t>
      </w:r>
    </w:p>
    <w:p w14:paraId="48C97DE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Manufacturer’s information</w:t>
      </w:r>
    </w:p>
    <w:p w14:paraId="74EF9D0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 checklist of injectors, identified by batch number and expiry date with monthly checks recorded</w:t>
      </w:r>
    </w:p>
    <w:p w14:paraId="2767B910"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 note of arrangements for replacing injectors</w:t>
      </w:r>
    </w:p>
    <w:p w14:paraId="5133522F"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 list of pupils to whom the AAI can be administered</w:t>
      </w:r>
    </w:p>
    <w:p w14:paraId="38E4B7D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A record of when AAIs have been administered</w:t>
      </w:r>
    </w:p>
    <w:p w14:paraId="396D294A" w14:textId="77777777" w:rsidR="00585DB6" w:rsidRDefault="0032728D">
      <w:pPr>
        <w:pStyle w:val="Heading1"/>
        <w:rPr>
          <w:rFonts w:ascii="Calibri" w:eastAsia="Calibri" w:hAnsi="Calibri" w:cs="Calibri"/>
        </w:rPr>
      </w:pPr>
      <w:bookmarkStart w:id="11" w:name="_heading=h.934rvk8tjzqj" w:colFirst="0" w:colLast="0"/>
      <w:bookmarkEnd w:id="11"/>
      <w:r>
        <w:rPr>
          <w:rFonts w:ascii="Calibri" w:eastAsia="Calibri" w:hAnsi="Calibri" w:cs="Calibri"/>
        </w:rPr>
        <w:t>8. Training</w:t>
      </w:r>
    </w:p>
    <w:p w14:paraId="2BD5DD97" w14:textId="77777777" w:rsidR="00585DB6" w:rsidRDefault="0032728D">
      <w:pPr>
        <w:pBdr>
          <w:top w:val="nil"/>
          <w:left w:val="nil"/>
          <w:bottom w:val="nil"/>
          <w:right w:val="nil"/>
          <w:between w:val="nil"/>
        </w:pBdr>
        <w:rPr>
          <w:rFonts w:ascii="Calibri" w:eastAsia="Calibri" w:hAnsi="Calibri" w:cs="Calibri"/>
          <w:color w:val="000000"/>
          <w:highlight w:val="yellow"/>
        </w:rPr>
      </w:pPr>
      <w:r>
        <w:rPr>
          <w:rFonts w:ascii="Calibri" w:eastAsia="Calibri" w:hAnsi="Calibri" w:cs="Calibri"/>
          <w:color w:val="000000"/>
        </w:rPr>
        <w:t>The school is committed to training all staff in allergy response. This includes:</w:t>
      </w:r>
    </w:p>
    <w:p w14:paraId="46A2BE4D"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How to reduce and prevent the risk of allergic reactions</w:t>
      </w:r>
    </w:p>
    <w:p w14:paraId="6C6B5EA5" w14:textId="77777777" w:rsidR="00585DB6" w:rsidRPr="0032728D" w:rsidRDefault="0032728D">
      <w:pPr>
        <w:numPr>
          <w:ilvl w:val="0"/>
          <w:numId w:val="2"/>
        </w:numPr>
        <w:pBdr>
          <w:top w:val="nil"/>
          <w:left w:val="nil"/>
          <w:bottom w:val="nil"/>
          <w:right w:val="nil"/>
          <w:between w:val="nil"/>
        </w:pBdr>
      </w:pPr>
      <w:r>
        <w:rPr>
          <w:rFonts w:ascii="Calibri" w:eastAsia="Calibri" w:hAnsi="Calibri" w:cs="Calibri"/>
          <w:color w:val="000000"/>
        </w:rPr>
        <w:t xml:space="preserve">How to spot the signs of allergic reactions (including </w:t>
      </w:r>
      <w:r w:rsidRPr="0032728D">
        <w:rPr>
          <w:rFonts w:ascii="Calibri" w:eastAsia="Calibri" w:hAnsi="Calibri" w:cs="Calibri"/>
          <w:color w:val="000000"/>
        </w:rPr>
        <w:t xml:space="preserve">anaphylaxis and </w:t>
      </w:r>
      <w:r w:rsidRPr="0032728D">
        <w:rPr>
          <w:rFonts w:ascii="Calibri" w:eastAsia="Calibri" w:hAnsi="Calibri" w:cs="Calibri"/>
        </w:rPr>
        <w:t>FPIES reactions</w:t>
      </w:r>
      <w:r w:rsidRPr="0032728D">
        <w:rPr>
          <w:rFonts w:ascii="Calibri" w:eastAsia="Calibri" w:hAnsi="Calibri" w:cs="Calibri"/>
          <w:color w:val="000000"/>
        </w:rPr>
        <w:t>)</w:t>
      </w:r>
    </w:p>
    <w:p w14:paraId="6E1AD580" w14:textId="77777777" w:rsidR="00585DB6" w:rsidRPr="0032728D" w:rsidRDefault="0032728D">
      <w:pPr>
        <w:numPr>
          <w:ilvl w:val="0"/>
          <w:numId w:val="2"/>
        </w:numPr>
        <w:pBdr>
          <w:top w:val="nil"/>
          <w:left w:val="nil"/>
          <w:bottom w:val="nil"/>
          <w:right w:val="nil"/>
          <w:between w:val="nil"/>
        </w:pBdr>
      </w:pPr>
      <w:r w:rsidRPr="0032728D">
        <w:rPr>
          <w:rFonts w:ascii="Calibri" w:eastAsia="Calibri" w:hAnsi="Calibri" w:cs="Calibri"/>
          <w:color w:val="000000"/>
        </w:rPr>
        <w:t xml:space="preserve">The importance of acting quickly in the case of anaphylaxis and severe FPIES reactions  </w:t>
      </w:r>
    </w:p>
    <w:p w14:paraId="167D8F8E"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Where AAIs are kept on the school site, and how to access them</w:t>
      </w:r>
    </w:p>
    <w:p w14:paraId="69F8FE65"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How to administer AAIs</w:t>
      </w:r>
    </w:p>
    <w:p w14:paraId="1044514B"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The wellbeing and inclusion implications of allergies</w:t>
      </w:r>
    </w:p>
    <w:p w14:paraId="27EF739A" w14:textId="77777777" w:rsidR="00585DB6" w:rsidRDefault="0032728D">
      <w:pPr>
        <w:pBdr>
          <w:top w:val="nil"/>
          <w:left w:val="nil"/>
          <w:bottom w:val="nil"/>
          <w:right w:val="nil"/>
          <w:between w:val="nil"/>
        </w:pBdr>
        <w:ind w:left="170" w:hanging="170"/>
        <w:rPr>
          <w:rFonts w:ascii="Calibri" w:eastAsia="Calibri" w:hAnsi="Calibri" w:cs="Calibri"/>
          <w:color w:val="000000"/>
        </w:rPr>
      </w:pPr>
      <w:r>
        <w:rPr>
          <w:rFonts w:ascii="Calibri" w:eastAsia="Calibri" w:hAnsi="Calibri" w:cs="Calibri"/>
          <w:color w:val="000000"/>
        </w:rPr>
        <w:t>Training will be carried out annually, facilitated by the allergy lead.</w:t>
      </w:r>
    </w:p>
    <w:p w14:paraId="2832AE1E" w14:textId="77777777" w:rsidR="00585DB6" w:rsidRDefault="0032728D">
      <w:pPr>
        <w:pStyle w:val="Heading1"/>
        <w:rPr>
          <w:rFonts w:ascii="Calibri" w:eastAsia="Calibri" w:hAnsi="Calibri" w:cs="Calibri"/>
        </w:rPr>
      </w:pPr>
      <w:bookmarkStart w:id="12" w:name="_heading=h.c1s64ypp5xh3" w:colFirst="0" w:colLast="0"/>
      <w:bookmarkEnd w:id="12"/>
      <w:r>
        <w:rPr>
          <w:rFonts w:ascii="Calibri" w:eastAsia="Calibri" w:hAnsi="Calibri" w:cs="Calibri"/>
        </w:rPr>
        <w:t>9. Links to other policies</w:t>
      </w:r>
    </w:p>
    <w:p w14:paraId="3B4E8034" w14:textId="77777777" w:rsidR="00585DB6" w:rsidRDefault="0032728D">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This policy links to the following policies and procedures:</w:t>
      </w:r>
    </w:p>
    <w:p w14:paraId="4D99136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Health and safety policy</w:t>
      </w:r>
    </w:p>
    <w:p w14:paraId="048AE97C" w14:textId="77777777" w:rsidR="00585DB6" w:rsidRDefault="0032728D">
      <w:pPr>
        <w:numPr>
          <w:ilvl w:val="0"/>
          <w:numId w:val="2"/>
        </w:numPr>
        <w:pBdr>
          <w:top w:val="nil"/>
          <w:left w:val="nil"/>
          <w:bottom w:val="nil"/>
          <w:right w:val="nil"/>
          <w:between w:val="nil"/>
        </w:pBdr>
      </w:pPr>
      <w:r>
        <w:rPr>
          <w:rFonts w:ascii="Calibri" w:eastAsia="Calibri" w:hAnsi="Calibri" w:cs="Calibri"/>
          <w:color w:val="000000"/>
        </w:rPr>
        <w:t>Supporting pupils with medical conditions policy</w:t>
      </w:r>
    </w:p>
    <w:p w14:paraId="602BE5F4" w14:textId="77777777" w:rsidR="00585DB6" w:rsidRPr="0032728D" w:rsidRDefault="0032728D">
      <w:pPr>
        <w:numPr>
          <w:ilvl w:val="0"/>
          <w:numId w:val="2"/>
        </w:numPr>
        <w:pBdr>
          <w:top w:val="nil"/>
          <w:left w:val="nil"/>
          <w:bottom w:val="nil"/>
          <w:right w:val="nil"/>
          <w:between w:val="nil"/>
        </w:pBdr>
      </w:pPr>
      <w:r w:rsidRPr="0032728D">
        <w:rPr>
          <w:rFonts w:ascii="Calibri" w:eastAsia="Calibri" w:hAnsi="Calibri" w:cs="Calibri"/>
        </w:rPr>
        <w:t>School food policy</w:t>
      </w:r>
    </w:p>
    <w:p w14:paraId="0F21AC6B" w14:textId="77777777" w:rsidR="00585DB6" w:rsidRDefault="00585DB6">
      <w:pPr>
        <w:rPr>
          <w:rFonts w:ascii="Calibri" w:eastAsia="Calibri" w:hAnsi="Calibri" w:cs="Calibri"/>
        </w:rPr>
      </w:pPr>
    </w:p>
    <w:sectPr w:rsidR="00585DB6">
      <w:headerReference w:type="even" r:id="rId16"/>
      <w:headerReference w:type="default" r:id="rId17"/>
      <w:footerReference w:type="even" r:id="rId18"/>
      <w:footerReference w:type="default" r:id="rId19"/>
      <w:headerReference w:type="first" r:id="rId20"/>
      <w:footerReference w:type="first" r:id="rId21"/>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BCB2D" w14:textId="77777777" w:rsidR="00EB7A24" w:rsidRDefault="0032728D">
      <w:pPr>
        <w:spacing w:after="0"/>
      </w:pPr>
      <w:r>
        <w:separator/>
      </w:r>
    </w:p>
  </w:endnote>
  <w:endnote w:type="continuationSeparator" w:id="0">
    <w:p w14:paraId="2D4906D5" w14:textId="77777777" w:rsidR="00EB7A24" w:rsidRDefault="003272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521D5CA2-5A95-42BB-A779-20B73CE7A07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AC30001-0213-40AC-BF17-557C533905C6}"/>
    <w:embedBold r:id="rId3" w:fontKey="{9E14106E-4069-4F8C-AA4C-8D4A5B0FEC33}"/>
    <w:embedItalic r:id="rId4" w:fontKey="{B265DB1A-09AA-46A9-8279-852C84621ADC}"/>
    <w:embedBoldItalic r:id="rId5" w:fontKey="{B0A6CFB6-79DD-4410-8491-87A1D133290B}"/>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788083C3-A9E6-4807-A7B0-887FBC20E0F7}"/>
  </w:font>
  <w:font w:name="Calibri Light">
    <w:panose1 w:val="020F0302020204030204"/>
    <w:charset w:val="00"/>
    <w:family w:val="swiss"/>
    <w:pitch w:val="variable"/>
    <w:sig w:usb0="E4002EFF" w:usb1="C200247B" w:usb2="00000009" w:usb3="00000000" w:csb0="000001FF" w:csb1="00000000"/>
    <w:embedRegular r:id="rId7" w:fontKey="{D57CB7DA-3920-43F8-9333-3C46CC4773ED}"/>
  </w:font>
  <w:font w:name="Georgia">
    <w:panose1 w:val="02040502050405020303"/>
    <w:charset w:val="00"/>
    <w:family w:val="roman"/>
    <w:pitch w:val="variable"/>
    <w:sig w:usb0="00000287" w:usb1="00000000" w:usb2="00000000" w:usb3="00000000" w:csb0="0000009F" w:csb1="00000000"/>
    <w:embedItalic r:id="rId8" w:fontKey="{C40AC43D-B26F-4C19-8EA5-296BE8C63D3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F2CAF" w14:textId="77777777" w:rsidR="00585DB6" w:rsidRDefault="00585DB6">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2EA36" w14:textId="77777777" w:rsidR="00585DB6" w:rsidRDefault="00585DB6">
    <w:pPr>
      <w:widowControl w:val="0"/>
      <w:pBdr>
        <w:top w:val="nil"/>
        <w:left w:val="nil"/>
        <w:bottom w:val="nil"/>
        <w:right w:val="nil"/>
        <w:between w:val="nil"/>
      </w:pBdr>
      <w:spacing w:after="0" w:line="276" w:lineRule="auto"/>
      <w:rPr>
        <w:color w:val="808080"/>
        <w:sz w:val="16"/>
        <w:szCs w:val="16"/>
      </w:rPr>
    </w:pPr>
  </w:p>
  <w:tbl>
    <w:tblPr>
      <w:tblStyle w:val="a0"/>
      <w:tblW w:w="9781" w:type="dxa"/>
      <w:tblBorders>
        <w:top w:val="single" w:sz="8" w:space="0" w:color="FF1F64"/>
      </w:tblBorders>
      <w:tblLayout w:type="fixed"/>
      <w:tblLook w:val="0400" w:firstRow="0" w:lastRow="0" w:firstColumn="0" w:lastColumn="0" w:noHBand="0" w:noVBand="1"/>
    </w:tblPr>
    <w:tblGrid>
      <w:gridCol w:w="6379"/>
      <w:gridCol w:w="3402"/>
    </w:tblGrid>
    <w:tr w:rsidR="00585DB6" w14:paraId="0F465A80" w14:textId="77777777">
      <w:tc>
        <w:tcPr>
          <w:tcW w:w="6379" w:type="dxa"/>
          <w:shd w:val="clear" w:color="auto" w:fill="auto"/>
        </w:tcPr>
        <w:p w14:paraId="4FF00570" w14:textId="77777777" w:rsidR="00585DB6" w:rsidRDefault="0032728D">
          <w:pPr>
            <w:shd w:val="clear" w:color="auto" w:fill="FFFFFF"/>
            <w:rPr>
              <w:color w:val="808080"/>
              <w:sz w:val="16"/>
              <w:szCs w:val="16"/>
            </w:rPr>
          </w:pPr>
          <w:r>
            <w:rPr>
              <w:color w:val="7C7C7C"/>
              <w:sz w:val="16"/>
              <w:szCs w:val="16"/>
            </w:rPr>
            <w:t xml:space="preserve">Get the knowledge you need to act at </w:t>
          </w:r>
          <w:hyperlink r:id="rId1">
            <w:r>
              <w:rPr>
                <w:color w:val="7C7C7C"/>
                <w:u w:val="single"/>
              </w:rPr>
              <w:t>thekeysupport.com</w:t>
            </w:r>
          </w:hyperlink>
          <w:r>
            <w:rPr>
              <w:color w:val="7C7C7C"/>
              <w:u w:val="single"/>
            </w:rPr>
            <w:br/>
          </w:r>
          <w:r>
            <w:rPr>
              <w:color w:val="7C7C7C"/>
              <w:sz w:val="16"/>
              <w:szCs w:val="16"/>
            </w:rPr>
            <w:t xml:space="preserve">© The Key </w:t>
          </w:r>
          <w:r>
            <w:rPr>
              <w:color w:val="7C7C7C"/>
              <w:sz w:val="16"/>
              <w:szCs w:val="16"/>
              <w:highlight w:val="white"/>
            </w:rPr>
            <w:t>Support</w:t>
          </w:r>
          <w:r>
            <w:rPr>
              <w:color w:val="7C7C7C"/>
              <w:sz w:val="16"/>
              <w:szCs w:val="16"/>
            </w:rPr>
            <w:t xml:space="preserve"> Services Ltd | For terms of use, visit </w:t>
          </w:r>
          <w:hyperlink r:id="rId2">
            <w:r>
              <w:rPr>
                <w:color w:val="7C7C7C"/>
                <w:u w:val="single"/>
              </w:rPr>
              <w:t>thekeysupport.com/terms</w:t>
            </w:r>
          </w:hyperlink>
        </w:p>
      </w:tc>
      <w:tc>
        <w:tcPr>
          <w:tcW w:w="3402" w:type="dxa"/>
        </w:tcPr>
        <w:p w14:paraId="460D8223" w14:textId="77777777" w:rsidR="00585DB6" w:rsidRDefault="00585DB6">
          <w:pPr>
            <w:shd w:val="clear" w:color="auto" w:fill="FFFFFF"/>
            <w:rPr>
              <w:color w:val="BFBFBF"/>
              <w:sz w:val="17"/>
              <w:szCs w:val="17"/>
            </w:rPr>
          </w:pPr>
        </w:p>
      </w:tc>
    </w:tr>
  </w:tbl>
  <w:p w14:paraId="190A958D" w14:textId="5C113C48" w:rsidR="00585DB6" w:rsidRDefault="0032728D">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7624DC">
      <w:rPr>
        <w:noProof/>
        <w:color w:val="000000"/>
        <w:sz w:val="16"/>
        <w:szCs w:val="16"/>
      </w:rPr>
      <w:t>9</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087C" w14:textId="77777777" w:rsidR="00585DB6" w:rsidRDefault="00585DB6">
    <w:pPr>
      <w:widowControl w:val="0"/>
      <w:pBdr>
        <w:top w:val="nil"/>
        <w:left w:val="nil"/>
        <w:bottom w:val="nil"/>
        <w:right w:val="nil"/>
        <w:between w:val="nil"/>
      </w:pBdr>
      <w:spacing w:after="0" w:line="276" w:lineRule="auto"/>
      <w:rPr>
        <w:color w:val="808080"/>
        <w:sz w:val="16"/>
        <w:szCs w:val="16"/>
      </w:rPr>
    </w:pPr>
  </w:p>
  <w:tbl>
    <w:tblPr>
      <w:tblStyle w:val="a1"/>
      <w:tblW w:w="9781" w:type="dxa"/>
      <w:tblBorders>
        <w:top w:val="single" w:sz="8" w:space="0" w:color="FF1F64"/>
      </w:tblBorders>
      <w:tblLayout w:type="fixed"/>
      <w:tblLook w:val="0400" w:firstRow="0" w:lastRow="0" w:firstColumn="0" w:lastColumn="0" w:noHBand="0" w:noVBand="1"/>
    </w:tblPr>
    <w:tblGrid>
      <w:gridCol w:w="6379"/>
      <w:gridCol w:w="3402"/>
    </w:tblGrid>
    <w:tr w:rsidR="00585DB6" w14:paraId="52159E68" w14:textId="77777777">
      <w:tc>
        <w:tcPr>
          <w:tcW w:w="6379" w:type="dxa"/>
          <w:shd w:val="clear" w:color="auto" w:fill="auto"/>
        </w:tcPr>
        <w:p w14:paraId="67AC5EE7" w14:textId="77777777" w:rsidR="00585DB6" w:rsidRDefault="0032728D">
          <w:pPr>
            <w:shd w:val="clear" w:color="auto" w:fill="FFFFFF"/>
            <w:rPr>
              <w:color w:val="808080"/>
              <w:sz w:val="16"/>
              <w:szCs w:val="16"/>
            </w:rPr>
          </w:pPr>
          <w:r>
            <w:rPr>
              <w:color w:val="808080"/>
              <w:sz w:val="16"/>
              <w:szCs w:val="16"/>
            </w:rPr>
            <w:t>© The Key Support Services Ltd | For terms of use, visit </w:t>
          </w:r>
          <w:hyperlink r:id="rId1">
            <w:r>
              <w:rPr>
                <w:color w:val="0072CC"/>
                <w:u w:val="single"/>
              </w:rPr>
              <w:t>thekeysupport.com/terms</w:t>
            </w:r>
          </w:hyperlink>
        </w:p>
      </w:tc>
      <w:tc>
        <w:tcPr>
          <w:tcW w:w="3402" w:type="dxa"/>
        </w:tcPr>
        <w:p w14:paraId="5AC1A64C" w14:textId="77777777" w:rsidR="00585DB6" w:rsidRDefault="00585DB6">
          <w:pPr>
            <w:shd w:val="clear" w:color="auto" w:fill="FFFFFF"/>
            <w:rPr>
              <w:color w:val="BFBFBF"/>
              <w:sz w:val="17"/>
              <w:szCs w:val="17"/>
            </w:rPr>
          </w:pPr>
        </w:p>
      </w:tc>
    </w:tr>
  </w:tbl>
  <w:p w14:paraId="226ACBBB" w14:textId="77777777" w:rsidR="00585DB6" w:rsidRDefault="0032728D">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84ABB" w14:textId="77777777" w:rsidR="00EB7A24" w:rsidRDefault="0032728D">
      <w:pPr>
        <w:spacing w:after="0"/>
      </w:pPr>
      <w:r>
        <w:separator/>
      </w:r>
    </w:p>
  </w:footnote>
  <w:footnote w:type="continuationSeparator" w:id="0">
    <w:p w14:paraId="2B038C1E" w14:textId="77777777" w:rsidR="00EB7A24" w:rsidRDefault="0032728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D40A" w14:textId="77777777" w:rsidR="00585DB6" w:rsidRDefault="0032728D">
    <w:r>
      <w:rPr>
        <w:noProof/>
      </w:rPr>
      <w:drawing>
        <wp:anchor distT="0" distB="0" distL="0" distR="0" simplePos="0" relativeHeight="251657216" behindDoc="1" locked="0" layoutInCell="1" hidden="0" allowOverlap="1" wp14:anchorId="4BDB4504" wp14:editId="35F381AC">
          <wp:simplePos x="0" y="0"/>
          <wp:positionH relativeFrom="margin">
            <wp:align>center</wp:align>
          </wp:positionH>
          <wp:positionV relativeFrom="margin">
            <wp:align>center</wp:align>
          </wp:positionV>
          <wp:extent cx="6188710" cy="8757920"/>
          <wp:effectExtent l="0" t="0" r="0" b="0"/>
          <wp:wrapNone/>
          <wp:docPr id="28" name="image3.png" descr="keydocs-background-banner"/>
          <wp:cNvGraphicFramePr/>
          <a:graphic xmlns:a="http://schemas.openxmlformats.org/drawingml/2006/main">
            <a:graphicData uri="http://schemas.openxmlformats.org/drawingml/2006/picture">
              <pic:pic xmlns:pic="http://schemas.openxmlformats.org/drawingml/2006/picture">
                <pic:nvPicPr>
                  <pic:cNvPr id="0" name="image3.png" descr="keydocs-background-banner"/>
                  <pic:cNvPicPr preferRelativeResize="0"/>
                </pic:nvPicPr>
                <pic:blipFill>
                  <a:blip r:embed="rId1"/>
                  <a:srcRect/>
                  <a:stretch>
                    <a:fillRect/>
                  </a:stretch>
                </pic:blipFill>
                <pic:spPr>
                  <a:xfrm>
                    <a:off x="0" y="0"/>
                    <a:ext cx="6188710" cy="8757920"/>
                  </a:xfrm>
                  <a:prstGeom prst="rect">
                    <a:avLst/>
                  </a:prstGeom>
                  <a:ln/>
                </pic:spPr>
              </pic:pic>
            </a:graphicData>
          </a:graphic>
        </wp:anchor>
      </w:drawing>
    </w:r>
    <w:r w:rsidR="007624DC">
      <w:pict w14:anchorId="59C26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keydocs-background" style="position:absolute;margin-left:0;margin-top:0;width:595.15pt;height:842.2pt;z-index:-251658240;mso-position-horizontal:center;mso-position-horizontal-relative:margin;mso-position-vertical:center;mso-position-vertical-relative:margin">
          <v:imagedata r:id="rId2" o:title="image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F79A" w14:textId="77777777" w:rsidR="00585DB6" w:rsidRDefault="00585DB6"/>
  <w:p w14:paraId="5B67A7BC" w14:textId="77777777" w:rsidR="00585DB6" w:rsidRDefault="00585DB6"/>
  <w:p w14:paraId="329ABA81" w14:textId="77777777" w:rsidR="00585DB6" w:rsidRDefault="00585DB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EFDDE" w14:textId="77777777" w:rsidR="00585DB6" w:rsidRDefault="00585DB6"/>
  <w:p w14:paraId="0B4E03BF" w14:textId="77777777" w:rsidR="00585DB6" w:rsidRDefault="00585DB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A4D93"/>
    <w:multiLevelType w:val="multilevel"/>
    <w:tmpl w:val="874A8B10"/>
    <w:lvl w:ilvl="0">
      <w:start w:val="1"/>
      <w:numFmt w:val="bullet"/>
      <w:pStyle w:val="9Secondbullet"/>
      <w:lvlText w:val="●"/>
      <w:lvlJc w:val="left"/>
      <w:pPr>
        <w:ind w:left="907" w:hanging="170"/>
      </w:pPr>
      <w:rPr>
        <w:rFonts w:ascii="Noto Sans Symbols" w:eastAsia="Noto Sans Symbols" w:hAnsi="Noto Sans Symbols" w:cs="Noto Sans Symbols"/>
      </w:rPr>
    </w:lvl>
    <w:lvl w:ilvl="1">
      <w:start w:val="1"/>
      <w:numFmt w:val="bullet"/>
      <w:lvlText w:val="o"/>
      <w:lvlJc w:val="left"/>
      <w:pPr>
        <w:ind w:left="2177" w:hanging="360"/>
      </w:pPr>
      <w:rPr>
        <w:rFonts w:ascii="Courier New" w:eastAsia="Courier New" w:hAnsi="Courier New" w:cs="Courier New"/>
      </w:rPr>
    </w:lvl>
    <w:lvl w:ilvl="2">
      <w:start w:val="1"/>
      <w:numFmt w:val="bullet"/>
      <w:lvlText w:val="▪"/>
      <w:lvlJc w:val="left"/>
      <w:pPr>
        <w:ind w:left="2897" w:hanging="360"/>
      </w:pPr>
      <w:rPr>
        <w:rFonts w:ascii="Noto Sans Symbols" w:eastAsia="Noto Sans Symbols" w:hAnsi="Noto Sans Symbols" w:cs="Noto Sans Symbols"/>
      </w:rPr>
    </w:lvl>
    <w:lvl w:ilvl="3">
      <w:start w:val="1"/>
      <w:numFmt w:val="bullet"/>
      <w:lvlText w:val="●"/>
      <w:lvlJc w:val="left"/>
      <w:pPr>
        <w:ind w:left="3617" w:hanging="360"/>
      </w:pPr>
      <w:rPr>
        <w:rFonts w:ascii="Noto Sans Symbols" w:eastAsia="Noto Sans Symbols" w:hAnsi="Noto Sans Symbols" w:cs="Noto Sans Symbols"/>
      </w:rPr>
    </w:lvl>
    <w:lvl w:ilvl="4">
      <w:start w:val="1"/>
      <w:numFmt w:val="bullet"/>
      <w:lvlText w:val="o"/>
      <w:lvlJc w:val="left"/>
      <w:pPr>
        <w:ind w:left="4337" w:hanging="360"/>
      </w:pPr>
      <w:rPr>
        <w:rFonts w:ascii="Courier New" w:eastAsia="Courier New" w:hAnsi="Courier New" w:cs="Courier New"/>
      </w:rPr>
    </w:lvl>
    <w:lvl w:ilvl="5">
      <w:start w:val="1"/>
      <w:numFmt w:val="bullet"/>
      <w:lvlText w:val="▪"/>
      <w:lvlJc w:val="left"/>
      <w:pPr>
        <w:ind w:left="5057" w:hanging="360"/>
      </w:pPr>
      <w:rPr>
        <w:rFonts w:ascii="Noto Sans Symbols" w:eastAsia="Noto Sans Symbols" w:hAnsi="Noto Sans Symbols" w:cs="Noto Sans Symbols"/>
      </w:rPr>
    </w:lvl>
    <w:lvl w:ilvl="6">
      <w:start w:val="1"/>
      <w:numFmt w:val="bullet"/>
      <w:lvlText w:val="●"/>
      <w:lvlJc w:val="left"/>
      <w:pPr>
        <w:ind w:left="5777" w:hanging="360"/>
      </w:pPr>
      <w:rPr>
        <w:rFonts w:ascii="Noto Sans Symbols" w:eastAsia="Noto Sans Symbols" w:hAnsi="Noto Sans Symbols" w:cs="Noto Sans Symbols"/>
      </w:rPr>
    </w:lvl>
    <w:lvl w:ilvl="7">
      <w:start w:val="1"/>
      <w:numFmt w:val="bullet"/>
      <w:lvlText w:val="o"/>
      <w:lvlJc w:val="left"/>
      <w:pPr>
        <w:ind w:left="6497" w:hanging="360"/>
      </w:pPr>
      <w:rPr>
        <w:rFonts w:ascii="Courier New" w:eastAsia="Courier New" w:hAnsi="Courier New" w:cs="Courier New"/>
      </w:rPr>
    </w:lvl>
    <w:lvl w:ilvl="8">
      <w:start w:val="1"/>
      <w:numFmt w:val="bullet"/>
      <w:lvlText w:val="▪"/>
      <w:lvlJc w:val="left"/>
      <w:pPr>
        <w:ind w:left="7217" w:hanging="360"/>
      </w:pPr>
      <w:rPr>
        <w:rFonts w:ascii="Noto Sans Symbols" w:eastAsia="Noto Sans Symbols" w:hAnsi="Noto Sans Symbols" w:cs="Noto Sans Symbols"/>
      </w:rPr>
    </w:lvl>
  </w:abstractNum>
  <w:abstractNum w:abstractNumId="1" w15:restartNumberingAfterBreak="0">
    <w:nsid w:val="236F1D4A"/>
    <w:multiLevelType w:val="multilevel"/>
    <w:tmpl w:val="BE8A690C"/>
    <w:lvl w:ilvl="0">
      <w:start w:val="1"/>
      <w:numFmt w:val="bullet"/>
      <w:pStyle w:val="7DOs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 w15:restartNumberingAfterBreak="0">
    <w:nsid w:val="37463FE3"/>
    <w:multiLevelType w:val="multilevel"/>
    <w:tmpl w:val="4ABA5236"/>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DB6"/>
    <w:rsid w:val="0032728D"/>
    <w:rsid w:val="0045606A"/>
    <w:rsid w:val="004A61D6"/>
    <w:rsid w:val="00577713"/>
    <w:rsid w:val="00585DB6"/>
    <w:rsid w:val="007624DC"/>
    <w:rsid w:val="00EB7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AB71F8"/>
  <w15:docId w15:val="{881EDBF3-D17C-4E87-94DE-62D4B350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spacing w:before="120"/>
      <w:outlineLvl w:val="0"/>
    </w:pPr>
    <w:rPr>
      <w:b/>
      <w:bCs/>
      <w:color w:val="FF1F64"/>
      <w:sz w:val="28"/>
      <w:szCs w:val="28"/>
    </w:rPr>
  </w:style>
  <w:style w:type="paragraph" w:styleId="Heading2">
    <w:name w:val="heading 2"/>
    <w:basedOn w:val="Normal"/>
    <w:next w:val="Normal"/>
    <w:link w:val="Heading2Char"/>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link w:val="Heading3Char"/>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pPr>
    <w:rPr>
      <w:b/>
      <w:bCs/>
      <w:sz w:val="72"/>
      <w:szCs w:val="72"/>
    </w:rPr>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line="259" w:lineRule="auto"/>
    </w:pPr>
    <w:rPr>
      <w:rFonts w:eastAsia="MS Mincho"/>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b/>
      <w:sz w:val="24"/>
    </w:rPr>
  </w:style>
  <w:style w:type="paragraph" w:customStyle="1" w:styleId="7DOsbullet">
    <w:name w:val="7 DOs bullet"/>
    <w:basedOn w:val="Normal"/>
    <w:rsid w:val="00336404"/>
    <w:pPr>
      <w:numPr>
        <w:numId w:val="2"/>
      </w:numPr>
      <w:ind w:right="284"/>
    </w:pPr>
    <w:rPr>
      <w:b/>
      <w:sz w:val="24"/>
    </w:rPr>
  </w:style>
  <w:style w:type="paragraph" w:customStyle="1" w:styleId="4Bulletedcopyblue">
    <w:name w:val="4 Bulleted copy blue"/>
    <w:basedOn w:val="Normal"/>
    <w:qFormat/>
    <w:rsid w:val="00336404"/>
    <w:pPr>
      <w:tabs>
        <w:tab w:val="num" w:pos="720"/>
      </w:tabs>
      <w:ind w:left="720" w:hanging="720"/>
    </w:p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tabs>
        <w:tab w:val="num" w:pos="720"/>
      </w:tabs>
      <w:spacing w:before="120"/>
      <w:ind w:left="720" w:right="850" w:hanging="720"/>
    </w:pPr>
    <w:rPr>
      <w:b/>
      <w:bCs/>
      <w:color w:val="12263F"/>
      <w:sz w:val="32"/>
      <w:szCs w:val="32"/>
    </w:rPr>
  </w:style>
  <w:style w:type="paragraph" w:customStyle="1" w:styleId="1bodycopy11pt">
    <w:name w:val="1 body copy 11pt"/>
    <w:autoRedefine/>
    <w:rsid w:val="00336404"/>
    <w:pPr>
      <w:ind w:right="850"/>
    </w:pPr>
    <w:rPr>
      <w:rFonts w:eastAsia="MS Mincho"/>
      <w:sz w:val="22"/>
      <w:szCs w:val="24"/>
      <w:lang w:val="en-US" w:eastAsia="en-US"/>
    </w:rPr>
  </w:style>
  <w:style w:type="character" w:customStyle="1" w:styleId="SubheadwithpointerChar">
    <w:name w:val="Subhead with pointer Char"/>
    <w:link w:val="Subheadwithpointer"/>
    <w:rsid w:val="00336404"/>
    <w:rPr>
      <w:b/>
      <w:bCs/>
      <w:color w:val="12263F"/>
      <w:sz w:val="32"/>
      <w:szCs w:val="32"/>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tabs>
        <w:tab w:val="num" w:pos="360"/>
        <w:tab w:val="num" w:pos="720"/>
      </w:tabs>
    </w:pPr>
  </w:style>
  <w:style w:type="paragraph" w:customStyle="1" w:styleId="Tablecopybulleted">
    <w:name w:val="Table copy bulleted"/>
    <w:basedOn w:val="Tablebodycopy"/>
    <w:qFormat/>
    <w:rsid w:val="00336404"/>
    <w:pPr>
      <w:tabs>
        <w:tab w:val="num" w:pos="360"/>
        <w:tab w:val="num" w:pos="720"/>
      </w:tabs>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customStyle="1" w:styleId="UnresolvedMention1">
    <w:name w:val="Unresolved Mention1"/>
    <w:uiPriority w:val="99"/>
    <w:semiHidden/>
    <w:unhideWhenUsed/>
    <w:rsid w:val="00336404"/>
    <w:rPr>
      <w:color w:val="605E5C"/>
      <w:shd w:val="clear" w:color="auto" w:fill="E1DFDD"/>
    </w:rPr>
  </w:style>
  <w:style w:type="numbering" w:customStyle="1" w:styleId="CurrentList1">
    <w:name w:val="Current List1"/>
    <w:uiPriority w:val="99"/>
    <w:rsid w:val="00336404"/>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rPr>
  </w:style>
  <w:style w:type="paragraph" w:styleId="Revision">
    <w:name w:val="Revision"/>
    <w:hidden/>
    <w:uiPriority w:val="99"/>
    <w:semiHidden/>
    <w:rsid w:val="00336404"/>
    <w:rPr>
      <w:rFonts w:eastAsia="MS Mincho"/>
      <w:szCs w:val="24"/>
      <w:lang w:val="en-US" w:eastAsia="en-US"/>
    </w:rPr>
  </w:style>
  <w:style w:type="character" w:styleId="CommentReference">
    <w:name w:val="annotation reference"/>
    <w:uiPriority w:val="99"/>
    <w:semiHidden/>
    <w:unhideWhenUsed/>
    <w:rsid w:val="00336404"/>
    <w:rPr>
      <w:sz w:val="16"/>
      <w:szCs w:val="16"/>
    </w:rPr>
  </w:style>
  <w:style w:type="paragraph" w:styleId="CommentText">
    <w:name w:val="annotation text"/>
    <w:basedOn w:val="Normal"/>
    <w:link w:val="CommentTextChar"/>
    <w:uiPriority w:val="99"/>
    <w:unhideWhenUsed/>
    <w:rsid w:val="00336404"/>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top w:w="142" w:type="dxa"/>
        <w:left w:w="0" w:type="dxa"/>
        <w:right w:w="0" w:type="dxa"/>
      </w:tblCellMar>
    </w:tblPr>
  </w:style>
  <w:style w:type="table" w:customStyle="1" w:styleId="a1">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si/2014/1855/conten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5" Type="http://schemas.openxmlformats.org/officeDocument/2006/relationships/webSettings" Target="webSettings.xml"/><Relationship Id="rId15" Type="http://schemas.openxmlformats.org/officeDocument/2006/relationships/hyperlink" Target="https://www.food.gov.uk/business-guidance/allergen-guidance-for-food-businesses" TargetMode="External"/><Relationship Id="rId23" Type="http://schemas.openxmlformats.org/officeDocument/2006/relationships/theme" Target="theme/theme1.xml"/><Relationship Id="rId10" Type="http://schemas.openxmlformats.org/officeDocument/2006/relationships/hyperlink" Target="https://www.gov.uk/government/publications/school-food-standards-resources-for-schools/allergy-guidance-for-schoo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legislation.gov.uk/uksi/2019/1218/mad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4mU+h6GBVHsWSWzGlmlh/f7Eaw==">CgMxLjAyDmgud2cwbWc3NWdndXJtMg5oLm1tdDRwdzdteW4yNjIMaC4xemYwcmZ0eTNnMg5oLngyb2pnbDkwOW4yZzIOaC5tcXJyZGZjOXhwbXQyDmgubmVsZWNjOGU2Ym1yMg5oLjRtY3kzd3ZzMm05NDIOaC5tODVndzlrMDV6ZnkyDmguaHltNDFodHJneWViMg5oLmlseG1qZG41Y3dybzIOaC45MzRydms4dGp6cWoyDmguYzFzNjR5cHA1eGgzOAByITFHcGxvT2QxRm1fQWtvYWFWMVlwb2o5N1FHa2xGbFdu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Milenka Stevens</dc:creator>
  <cp:lastModifiedBy>Simon Parker</cp:lastModifiedBy>
  <cp:revision>3</cp:revision>
  <dcterms:created xsi:type="dcterms:W3CDTF">2026-09-08T05:55:00Z</dcterms:created>
  <dcterms:modified xsi:type="dcterms:W3CDTF">2026-09-08T05:55:00Z</dcterms:modified>
</cp:coreProperties>
</file>