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3FD" w14:textId="580D0AB2" w:rsidR="00B76DF0" w:rsidRDefault="00B76DF0" w:rsidP="00771047">
      <w:pPr>
        <w:rPr>
          <w:sz w:val="24"/>
          <w:szCs w:val="24"/>
        </w:rPr>
      </w:pPr>
    </w:p>
    <w:tbl>
      <w:tblPr>
        <w:tblStyle w:val="TableGrid"/>
        <w:tblW w:w="0" w:type="auto"/>
        <w:tblLook w:val="04A0" w:firstRow="1" w:lastRow="0" w:firstColumn="1" w:lastColumn="0" w:noHBand="0" w:noVBand="1"/>
      </w:tblPr>
      <w:tblGrid>
        <w:gridCol w:w="3005"/>
        <w:gridCol w:w="3005"/>
        <w:gridCol w:w="3006"/>
      </w:tblGrid>
      <w:tr w:rsidR="00B76DF0" w14:paraId="5297F161" w14:textId="77777777" w:rsidTr="0081427A">
        <w:tc>
          <w:tcPr>
            <w:tcW w:w="3005" w:type="dxa"/>
          </w:tcPr>
          <w:p w14:paraId="59951799" w14:textId="11BD67F2" w:rsidR="00B76DF0" w:rsidRDefault="00031BFE" w:rsidP="00771047">
            <w:pPr>
              <w:rPr>
                <w:sz w:val="24"/>
                <w:szCs w:val="24"/>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1" behindDoc="1" locked="0" layoutInCell="1" allowOverlap="1" wp14:anchorId="2A496BD5" wp14:editId="6CCD84C7">
                  <wp:simplePos x="0" y="0"/>
                  <wp:positionH relativeFrom="column">
                    <wp:posOffset>271623</wp:posOffset>
                  </wp:positionH>
                  <wp:positionV relativeFrom="paragraph">
                    <wp:posOffset>19953</wp:posOffset>
                  </wp:positionV>
                  <wp:extent cx="1131188" cy="796954"/>
                  <wp:effectExtent l="0" t="0" r="0" b="3175"/>
                  <wp:wrapTight wrapText="bothSides">
                    <wp:wrapPolygon edited="0">
                      <wp:start x="0" y="0"/>
                      <wp:lineTo x="0" y="21170"/>
                      <wp:lineTo x="21103" y="21170"/>
                      <wp:lineTo x="21103" y="0"/>
                      <wp:lineTo x="0" y="0"/>
                    </wp:wrapPolygon>
                  </wp:wrapTight>
                  <wp:docPr id="871465631" name="Picture 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for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1188" cy="796954"/>
                          </a:xfrm>
                          <a:prstGeom prst="rect">
                            <a:avLst/>
                          </a:prstGeom>
                          <a:noFill/>
                          <a:ln>
                            <a:noFill/>
                          </a:ln>
                        </pic:spPr>
                      </pic:pic>
                    </a:graphicData>
                  </a:graphic>
                </wp:anchor>
              </w:drawing>
            </w:r>
          </w:p>
        </w:tc>
        <w:tc>
          <w:tcPr>
            <w:tcW w:w="3005" w:type="dxa"/>
            <w:vAlign w:val="center"/>
          </w:tcPr>
          <w:p w14:paraId="5CF18AFE" w14:textId="1E25714D" w:rsidR="00B76DF0" w:rsidRPr="00B76DF0" w:rsidRDefault="00A15623" w:rsidP="0081427A">
            <w:pPr>
              <w:jc w:val="center"/>
              <w:rPr>
                <w:b/>
                <w:bCs/>
                <w:sz w:val="44"/>
                <w:szCs w:val="44"/>
              </w:rPr>
            </w:pPr>
            <w:r>
              <w:rPr>
                <w:b/>
                <w:bCs/>
                <w:sz w:val="44"/>
                <w:szCs w:val="44"/>
              </w:rPr>
              <w:t>PFA</w:t>
            </w:r>
          </w:p>
          <w:p w14:paraId="47B72D96" w14:textId="680B7F34" w:rsidR="00B76DF0" w:rsidRPr="00B76DF0" w:rsidRDefault="00B76DF0" w:rsidP="0081427A">
            <w:pPr>
              <w:jc w:val="center"/>
              <w:rPr>
                <w:b/>
                <w:bCs/>
                <w:sz w:val="36"/>
                <w:szCs w:val="36"/>
              </w:rPr>
            </w:pPr>
            <w:r w:rsidRPr="00B76DF0">
              <w:rPr>
                <w:b/>
                <w:bCs/>
                <w:sz w:val="44"/>
                <w:szCs w:val="44"/>
              </w:rPr>
              <w:t>Overview</w:t>
            </w:r>
          </w:p>
        </w:tc>
        <w:tc>
          <w:tcPr>
            <w:tcW w:w="3006" w:type="dxa"/>
          </w:tcPr>
          <w:p w14:paraId="595CA7A3" w14:textId="5608BEAD" w:rsidR="00B76DF0" w:rsidRDefault="00A15623" w:rsidP="00771047">
            <w:pPr>
              <w:rPr>
                <w:sz w:val="24"/>
                <w:szCs w:val="24"/>
              </w:rPr>
            </w:pPr>
            <w:r>
              <w:rPr>
                <w:noProof/>
                <w:sz w:val="24"/>
                <w:szCs w:val="24"/>
              </w:rPr>
              <w:drawing>
                <wp:anchor distT="0" distB="0" distL="114300" distR="114300" simplePos="0" relativeHeight="251658242" behindDoc="1" locked="0" layoutInCell="1" allowOverlap="1" wp14:anchorId="2D0C4751" wp14:editId="25A74AF0">
                  <wp:simplePos x="0" y="0"/>
                  <wp:positionH relativeFrom="column">
                    <wp:posOffset>231082</wp:posOffset>
                  </wp:positionH>
                  <wp:positionV relativeFrom="paragraph">
                    <wp:posOffset>95454</wp:posOffset>
                  </wp:positionV>
                  <wp:extent cx="1351898" cy="652964"/>
                  <wp:effectExtent l="0" t="0" r="1270" b="0"/>
                  <wp:wrapTight wrapText="bothSides">
                    <wp:wrapPolygon edited="0">
                      <wp:start x="0" y="0"/>
                      <wp:lineTo x="0" y="20802"/>
                      <wp:lineTo x="21316" y="20802"/>
                      <wp:lineTo x="213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1898" cy="652964"/>
                          </a:xfrm>
                          <a:prstGeom prst="rect">
                            <a:avLst/>
                          </a:prstGeom>
                          <a:noFill/>
                        </pic:spPr>
                      </pic:pic>
                    </a:graphicData>
                  </a:graphic>
                </wp:anchor>
              </w:drawing>
            </w:r>
          </w:p>
        </w:tc>
      </w:tr>
    </w:tbl>
    <w:p w14:paraId="7E2BFEEF" w14:textId="41431390" w:rsidR="00B76DF0" w:rsidRDefault="00771047" w:rsidP="00771047">
      <w:pPr>
        <w:rPr>
          <w:sz w:val="24"/>
          <w:szCs w:val="24"/>
        </w:rPr>
      </w:pPr>
      <w:r>
        <w:rPr>
          <w:sz w:val="24"/>
          <w:szCs w:val="24"/>
        </w:rPr>
        <w:t xml:space="preserve">                </w:t>
      </w:r>
    </w:p>
    <w:p w14:paraId="485BD3CE" w14:textId="57A3FD0A" w:rsidR="00B76DF0" w:rsidRDefault="00B76DF0" w:rsidP="00771047">
      <w:pPr>
        <w:rPr>
          <w:b/>
          <w:bCs/>
          <w:sz w:val="28"/>
          <w:szCs w:val="28"/>
          <w:u w:val="single"/>
        </w:rPr>
      </w:pPr>
      <w:r w:rsidRPr="0D5662E2">
        <w:rPr>
          <w:b/>
          <w:bCs/>
          <w:sz w:val="28"/>
          <w:szCs w:val="28"/>
          <w:u w:val="single"/>
        </w:rPr>
        <w:t>Intent</w:t>
      </w:r>
    </w:p>
    <w:p w14:paraId="28F2D8D1" w14:textId="50146F37" w:rsidR="0023121A" w:rsidRDefault="7E80C630" w:rsidP="0D5662E2">
      <w:pPr>
        <w:rPr>
          <w:rFonts w:ascii="Calibri" w:eastAsia="Calibri" w:hAnsi="Calibri" w:cs="Calibri"/>
        </w:rPr>
      </w:pPr>
      <w:r w:rsidRPr="0D5662E2">
        <w:rPr>
          <w:rFonts w:ascii="Calibri" w:eastAsia="Calibri" w:hAnsi="Calibri" w:cs="Calibri"/>
        </w:rPr>
        <w:t>At Walton Hall Academy, we place Preparation for Adulthood (PFA) at the heart of our curriculum.  Our mission is for all students to achieve their personal best and make meaningful contributions to society.  We aim for our students to feel positive about who they are, enjoy happy, safe, responsible, and fulfilling lives, and have the confidence to live as independently and confidently as possible in their future.</w:t>
      </w:r>
      <w:r w:rsidR="0023121A">
        <w:br/>
      </w:r>
      <w:r w:rsidR="0023121A">
        <w:br/>
      </w:r>
      <w:r w:rsidR="6733D22A" w:rsidRPr="0D5662E2">
        <w:rPr>
          <w:rFonts w:ascii="Calibri" w:eastAsia="Calibri" w:hAnsi="Calibri" w:cs="Calibri"/>
        </w:rPr>
        <w:t>To ensure full coverage of PfA, our curriculum is divided into three key pathways:</w:t>
      </w:r>
    </w:p>
    <w:p w14:paraId="4458FDCE" w14:textId="3844A76A" w:rsidR="0047252F" w:rsidRDefault="00467021" w:rsidP="00A15623">
      <w:r w:rsidRPr="008F7083">
        <w:rPr>
          <w:noProof/>
          <w:shd w:val="clear" w:color="auto" w:fill="548DD4" w:themeFill="text2" w:themeFillTint="99"/>
        </w:rPr>
        <w:drawing>
          <wp:anchor distT="0" distB="0" distL="114300" distR="114300" simplePos="0" relativeHeight="251658240" behindDoc="0" locked="0" layoutInCell="1" allowOverlap="1" wp14:anchorId="18899D4E" wp14:editId="3B1C2D15">
            <wp:simplePos x="0" y="0"/>
            <wp:positionH relativeFrom="column">
              <wp:posOffset>76200</wp:posOffset>
            </wp:positionH>
            <wp:positionV relativeFrom="paragraph">
              <wp:posOffset>20202</wp:posOffset>
            </wp:positionV>
            <wp:extent cx="5648325" cy="2324100"/>
            <wp:effectExtent l="76200" t="19050" r="66675" b="95250"/>
            <wp:wrapThrough wrapText="bothSides">
              <wp:wrapPolygon edited="0">
                <wp:start x="0" y="-177"/>
                <wp:lineTo x="-291" y="177"/>
                <wp:lineTo x="-219" y="21954"/>
                <wp:lineTo x="219" y="22308"/>
                <wp:lineTo x="21345" y="22308"/>
                <wp:lineTo x="21782" y="20184"/>
                <wp:lineTo x="21782" y="3010"/>
                <wp:lineTo x="21491" y="354"/>
                <wp:lineTo x="21491" y="-177"/>
                <wp:lineTo x="0" y="-177"/>
              </wp:wrapPolygon>
            </wp:wrapThrough>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br/>
      </w:r>
      <w:r>
        <w:br/>
      </w:r>
      <w:r w:rsidR="24BC92FA" w:rsidRPr="0D5662E2">
        <w:rPr>
          <w:rFonts w:ascii="Calibri" w:eastAsia="Calibri" w:hAnsi="Calibri" w:cs="Calibri"/>
        </w:rPr>
        <w:t>As well as covering a broad range of content, we have incorporated academic qualifications into this curriculum to support the development of diverse knowledge and skills.  Students on our Explorer pathway can achieve an Entry Level 2 Certificate in Pre-Vocational Study, whilst students on our Navigator pathway can complete the mandatory component of a BTEC Level 1 Award, Certificate, or Diploma in Vocational Studies, along with a sector-specific subject of their choice.</w:t>
      </w:r>
    </w:p>
    <w:p w14:paraId="53B29644" w14:textId="3ED0F373" w:rsidR="0047252F" w:rsidRDefault="0047252F" w:rsidP="00A15623"/>
    <w:p w14:paraId="4B99C13C" w14:textId="412288B5" w:rsidR="00467021" w:rsidRDefault="00467021" w:rsidP="00A15623"/>
    <w:p w14:paraId="1CA1E5C6" w14:textId="77777777" w:rsidR="003A7BD6" w:rsidRDefault="003A7BD6" w:rsidP="00A15623"/>
    <w:p w14:paraId="6834EEA1" w14:textId="77777777" w:rsidR="0023121A" w:rsidRDefault="0023121A" w:rsidP="00A15623"/>
    <w:p w14:paraId="13D2CD2E" w14:textId="75913935" w:rsidR="7FB565E1" w:rsidRDefault="7FB565E1" w:rsidP="7FB565E1">
      <w:pPr>
        <w:jc w:val="center"/>
        <w:rPr>
          <w:b/>
          <w:bCs/>
          <w:sz w:val="28"/>
          <w:szCs w:val="28"/>
          <w:u w:val="single"/>
        </w:rPr>
      </w:pPr>
    </w:p>
    <w:p w14:paraId="64C6BE1F" w14:textId="01B64DCD" w:rsidR="00984452" w:rsidRDefault="008A21B6" w:rsidP="00984452">
      <w:pPr>
        <w:jc w:val="center"/>
        <w:rPr>
          <w:rFonts w:cstheme="minorHAnsi"/>
          <w:b/>
          <w:sz w:val="28"/>
          <w:szCs w:val="28"/>
          <w:u w:val="single"/>
        </w:rPr>
      </w:pPr>
      <w:r>
        <w:rPr>
          <w:rFonts w:cstheme="minorHAnsi"/>
          <w:b/>
          <w:sz w:val="28"/>
          <w:szCs w:val="28"/>
          <w:u w:val="single"/>
        </w:rPr>
        <w:lastRenderedPageBreak/>
        <w:t>PSHE</w:t>
      </w:r>
      <w:r w:rsidR="00984452">
        <w:rPr>
          <w:rFonts w:cstheme="minorHAnsi"/>
          <w:b/>
          <w:sz w:val="28"/>
          <w:szCs w:val="28"/>
          <w:u w:val="single"/>
        </w:rPr>
        <w:t xml:space="preserve">: </w:t>
      </w:r>
      <w:r w:rsidR="00984452" w:rsidRPr="001D401D">
        <w:rPr>
          <w:rFonts w:cstheme="minorHAnsi"/>
          <w:b/>
          <w:sz w:val="28"/>
          <w:szCs w:val="28"/>
          <w:u w:val="single"/>
        </w:rPr>
        <w:t xml:space="preserve">Progression </w:t>
      </w:r>
      <w:r w:rsidR="000F0B4D">
        <w:rPr>
          <w:rFonts w:cstheme="minorHAnsi"/>
          <w:b/>
          <w:sz w:val="28"/>
          <w:szCs w:val="28"/>
          <w:u w:val="single"/>
        </w:rPr>
        <w:t>Plan</w:t>
      </w:r>
    </w:p>
    <w:tbl>
      <w:tblPr>
        <w:tblStyle w:val="TableGrid"/>
        <w:tblW w:w="0" w:type="auto"/>
        <w:tblLook w:val="04A0" w:firstRow="1" w:lastRow="0" w:firstColumn="1" w:lastColumn="0" w:noHBand="0" w:noVBand="1"/>
      </w:tblPr>
      <w:tblGrid>
        <w:gridCol w:w="1332"/>
        <w:gridCol w:w="3744"/>
        <w:gridCol w:w="3827"/>
      </w:tblGrid>
      <w:tr w:rsidR="006369B2" w14:paraId="108C7E77" w14:textId="77777777" w:rsidTr="006754BA">
        <w:trPr>
          <w:trHeight w:val="1691"/>
        </w:trPr>
        <w:tc>
          <w:tcPr>
            <w:tcW w:w="1332" w:type="dxa"/>
            <w:shd w:val="clear" w:color="auto" w:fill="595959" w:themeFill="text1" w:themeFillTint="A6"/>
          </w:tcPr>
          <w:p w14:paraId="2FEF4480" w14:textId="42BAC510" w:rsidR="006369B2" w:rsidRDefault="006369B2" w:rsidP="00984452">
            <w:pPr>
              <w:jc w:val="center"/>
              <w:rPr>
                <w:rFonts w:cstheme="minorHAnsi"/>
                <w:bCs/>
                <w:sz w:val="24"/>
                <w:szCs w:val="24"/>
              </w:rPr>
            </w:pPr>
          </w:p>
        </w:tc>
        <w:tc>
          <w:tcPr>
            <w:tcW w:w="3744" w:type="dxa"/>
          </w:tcPr>
          <w:p w14:paraId="6D0AA816" w14:textId="009E8F11" w:rsidR="006369B2" w:rsidRPr="0031266F" w:rsidRDefault="006369B2" w:rsidP="00984452">
            <w:pPr>
              <w:jc w:val="center"/>
              <w:rPr>
                <w:rFonts w:cstheme="minorHAnsi"/>
                <w:b/>
                <w:noProof/>
                <w:sz w:val="24"/>
                <w:szCs w:val="24"/>
              </w:rPr>
            </w:pPr>
            <w:r w:rsidRPr="0031266F">
              <w:rPr>
                <w:rFonts w:cstheme="minorHAnsi"/>
                <w:b/>
                <w:noProof/>
                <w:sz w:val="24"/>
                <w:szCs w:val="24"/>
              </w:rPr>
              <w:t>Explorers</w:t>
            </w:r>
          </w:p>
          <w:p w14:paraId="3AD4E917" w14:textId="26C9CF7A" w:rsidR="006369B2" w:rsidRDefault="006369B2" w:rsidP="00984452">
            <w:pPr>
              <w:jc w:val="center"/>
              <w:rPr>
                <w:rFonts w:cstheme="minorHAnsi"/>
                <w:bCs/>
                <w:sz w:val="24"/>
                <w:szCs w:val="24"/>
              </w:rPr>
            </w:pPr>
            <w:r>
              <w:rPr>
                <w:rFonts w:cstheme="minorHAnsi"/>
                <w:bCs/>
                <w:noProof/>
                <w:sz w:val="24"/>
                <w:szCs w:val="24"/>
              </w:rPr>
              <w:drawing>
                <wp:inline distT="0" distB="0" distL="0" distR="0" wp14:anchorId="27294EA4" wp14:editId="76BAC2D1">
                  <wp:extent cx="1584533" cy="8909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87" cy="896164"/>
                          </a:xfrm>
                          <a:prstGeom prst="rect">
                            <a:avLst/>
                          </a:prstGeom>
                          <a:noFill/>
                        </pic:spPr>
                      </pic:pic>
                    </a:graphicData>
                  </a:graphic>
                </wp:inline>
              </w:drawing>
            </w:r>
          </w:p>
        </w:tc>
        <w:tc>
          <w:tcPr>
            <w:tcW w:w="3827" w:type="dxa"/>
          </w:tcPr>
          <w:p w14:paraId="599A5B5A" w14:textId="77777777" w:rsidR="006369B2" w:rsidRPr="0031266F" w:rsidRDefault="006369B2" w:rsidP="00984452">
            <w:pPr>
              <w:jc w:val="center"/>
              <w:rPr>
                <w:rFonts w:cstheme="minorHAnsi"/>
                <w:b/>
                <w:sz w:val="24"/>
                <w:szCs w:val="24"/>
              </w:rPr>
            </w:pPr>
            <w:r w:rsidRPr="0031266F">
              <w:rPr>
                <w:rFonts w:cstheme="minorHAnsi"/>
                <w:b/>
                <w:sz w:val="24"/>
                <w:szCs w:val="24"/>
              </w:rPr>
              <w:t>Navigators</w:t>
            </w:r>
          </w:p>
          <w:p w14:paraId="14FEDDB7" w14:textId="04F61B51" w:rsidR="006369B2" w:rsidRDefault="006369B2" w:rsidP="00984452">
            <w:pPr>
              <w:jc w:val="center"/>
              <w:rPr>
                <w:rFonts w:cstheme="minorHAnsi"/>
                <w:bCs/>
                <w:sz w:val="24"/>
                <w:szCs w:val="24"/>
              </w:rPr>
            </w:pPr>
            <w:r>
              <w:rPr>
                <w:rFonts w:cstheme="minorHAnsi"/>
                <w:bCs/>
                <w:noProof/>
                <w:sz w:val="24"/>
                <w:szCs w:val="24"/>
              </w:rPr>
              <w:drawing>
                <wp:inline distT="0" distB="0" distL="0" distR="0" wp14:anchorId="2D9BAFC8" wp14:editId="60E1F523">
                  <wp:extent cx="946580" cy="890905"/>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5702" cy="899491"/>
                          </a:xfrm>
                          <a:prstGeom prst="rect">
                            <a:avLst/>
                          </a:prstGeom>
                          <a:noFill/>
                        </pic:spPr>
                      </pic:pic>
                    </a:graphicData>
                  </a:graphic>
                </wp:inline>
              </w:drawing>
            </w:r>
          </w:p>
        </w:tc>
      </w:tr>
      <w:tr w:rsidR="006754BA" w14:paraId="02980DF9" w14:textId="77777777" w:rsidTr="00993E84">
        <w:trPr>
          <w:trHeight w:val="2050"/>
        </w:trPr>
        <w:tc>
          <w:tcPr>
            <w:tcW w:w="1332" w:type="dxa"/>
            <w:tcBorders>
              <w:top w:val="single" w:sz="6" w:space="0" w:color="auto"/>
              <w:left w:val="single" w:sz="6" w:space="0" w:color="auto"/>
              <w:bottom w:val="single" w:sz="6" w:space="0" w:color="auto"/>
              <w:right w:val="single" w:sz="6" w:space="0" w:color="auto"/>
            </w:tcBorders>
          </w:tcPr>
          <w:p w14:paraId="78DC4B8E" w14:textId="1DF860AB"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1 </w:t>
            </w:r>
          </w:p>
        </w:tc>
        <w:tc>
          <w:tcPr>
            <w:tcW w:w="7571" w:type="dxa"/>
            <w:gridSpan w:val="2"/>
            <w:tcBorders>
              <w:top w:val="single" w:sz="6" w:space="0" w:color="auto"/>
              <w:left w:val="single" w:sz="6" w:space="0" w:color="auto"/>
              <w:bottom w:val="single" w:sz="6" w:space="0" w:color="auto"/>
              <w:right w:val="single" w:sz="6" w:space="0" w:color="auto"/>
            </w:tcBorders>
          </w:tcPr>
          <w:p w14:paraId="7EAF1F25" w14:textId="77777777" w:rsidR="0056400E" w:rsidRPr="00A60008" w:rsidRDefault="006754BA" w:rsidP="0056400E">
            <w:pPr>
              <w:pStyle w:val="NormalWeb"/>
              <w:spacing w:before="0" w:beforeAutospacing="0" w:after="0" w:afterAutospacing="0"/>
              <w:rPr>
                <w:rFonts w:asciiTheme="minorHAnsi" w:hAnsiTheme="minorHAnsi" w:cstheme="minorHAnsi"/>
              </w:rPr>
            </w:pPr>
            <w:r w:rsidRPr="00A60008">
              <w:rPr>
                <w:rStyle w:val="Strong"/>
                <w:rFonts w:asciiTheme="minorHAnsi" w:hAnsiTheme="minorHAnsi" w:cstheme="minorHAnsi"/>
              </w:rPr>
              <w:t xml:space="preserve">Autumn: </w:t>
            </w:r>
            <w:r w:rsidRPr="00A60008">
              <w:rPr>
                <w:rFonts w:asciiTheme="minorHAnsi" w:hAnsiTheme="minorHAnsi" w:cstheme="minorHAnsi"/>
              </w:rPr>
              <w:t xml:space="preserve">Personal Safety (including Water Safety – RNLI, open water, holiday risks), Road and Rail Safety – how to travel safely and assess risk.        </w:t>
            </w:r>
          </w:p>
          <w:p w14:paraId="20A2049F" w14:textId="39D36AA5" w:rsidR="006754BA" w:rsidRPr="00A60008" w:rsidRDefault="006754BA" w:rsidP="0056400E">
            <w:pPr>
              <w:pStyle w:val="NormalWeb"/>
              <w:spacing w:before="0" w:beforeAutospacing="0" w:after="0" w:afterAutospacing="0"/>
              <w:rPr>
                <w:rFonts w:asciiTheme="minorHAnsi" w:hAnsiTheme="minorHAnsi" w:cstheme="minorHAnsi"/>
              </w:rPr>
            </w:pPr>
            <w:r w:rsidRPr="00A60008">
              <w:rPr>
                <w:rStyle w:val="Strong"/>
                <w:rFonts w:asciiTheme="minorHAnsi" w:hAnsiTheme="minorHAnsi" w:cstheme="minorHAnsi"/>
              </w:rPr>
              <w:t xml:space="preserve">Spring: </w:t>
            </w:r>
            <w:r w:rsidRPr="00A60008">
              <w:rPr>
                <w:rFonts w:asciiTheme="minorHAnsi" w:hAnsiTheme="minorHAnsi" w:cstheme="minorHAnsi"/>
              </w:rPr>
              <w:t xml:space="preserve">Vaping Awareness – exploring myths, peer pressure, and addiction risks, Healthy Habits and Decision-Making – refusal skills, managing peer pressure                                                                                                                 </w:t>
            </w:r>
            <w:r w:rsidRPr="00A60008">
              <w:rPr>
                <w:rStyle w:val="Strong"/>
                <w:rFonts w:asciiTheme="minorHAnsi" w:hAnsiTheme="minorHAnsi" w:cstheme="minorHAnsi"/>
              </w:rPr>
              <w:t xml:space="preserve">Summer: </w:t>
            </w:r>
            <w:r w:rsidRPr="00A60008">
              <w:rPr>
                <w:rFonts w:asciiTheme="minorHAnsi" w:hAnsiTheme="minorHAnsi" w:cstheme="minorHAnsi"/>
              </w:rPr>
              <w:t>Respect and Responsibility – linking personal safety with community roles, Reflection Project – student-led campaign promoting safe choices</w:t>
            </w:r>
          </w:p>
        </w:tc>
      </w:tr>
      <w:tr w:rsidR="006754BA" w14:paraId="1354AB86" w14:textId="77777777" w:rsidTr="00993E84">
        <w:trPr>
          <w:trHeight w:val="2035"/>
        </w:trPr>
        <w:tc>
          <w:tcPr>
            <w:tcW w:w="1332" w:type="dxa"/>
            <w:tcBorders>
              <w:top w:val="single" w:sz="6" w:space="0" w:color="auto"/>
              <w:left w:val="single" w:sz="6" w:space="0" w:color="auto"/>
              <w:bottom w:val="single" w:sz="6" w:space="0" w:color="auto"/>
              <w:right w:val="single" w:sz="6" w:space="0" w:color="auto"/>
            </w:tcBorders>
          </w:tcPr>
          <w:p w14:paraId="1E5CC481" w14:textId="0BC940CD"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2 </w:t>
            </w:r>
          </w:p>
        </w:tc>
        <w:tc>
          <w:tcPr>
            <w:tcW w:w="7571" w:type="dxa"/>
            <w:gridSpan w:val="2"/>
            <w:tcBorders>
              <w:top w:val="single" w:sz="6" w:space="0" w:color="auto"/>
              <w:left w:val="single" w:sz="6" w:space="0" w:color="auto"/>
              <w:bottom w:val="single" w:sz="6" w:space="0" w:color="auto"/>
              <w:right w:val="single" w:sz="6" w:space="0" w:color="auto"/>
            </w:tcBorders>
          </w:tcPr>
          <w:p w14:paraId="1F22C10C" w14:textId="36ECB95A" w:rsidR="006754BA" w:rsidRPr="00A60008" w:rsidRDefault="006754BA" w:rsidP="0056400E">
            <w:pPr>
              <w:pStyle w:val="NormalWeb"/>
              <w:rPr>
                <w:rFonts w:asciiTheme="minorHAnsi" w:hAnsiTheme="minorHAnsi" w:cstheme="minorHAnsi"/>
              </w:rPr>
            </w:pPr>
            <w:r w:rsidRPr="00A60008">
              <w:rPr>
                <w:rFonts w:asciiTheme="minorHAnsi" w:hAnsiTheme="minorHAnsi" w:cstheme="minorHAnsi"/>
              </w:rPr>
              <w:t> </w:t>
            </w:r>
            <w:r w:rsidRPr="00A60008">
              <w:rPr>
                <w:rStyle w:val="Strong"/>
                <w:rFonts w:asciiTheme="minorHAnsi" w:hAnsiTheme="minorHAnsi" w:cstheme="minorHAnsi"/>
              </w:rPr>
              <w:t xml:space="preserve">Autumn: </w:t>
            </w:r>
            <w:r w:rsidRPr="00A60008">
              <w:rPr>
                <w:rFonts w:asciiTheme="minorHAnsi" w:hAnsiTheme="minorHAnsi" w:cstheme="minorHAnsi"/>
              </w:rPr>
              <w:t xml:space="preserve">Loneliness and Friendship – belonging, building healthy connections (online and offline), Emotional Literacy – recognising, expressing, and managing feelings                                                                         </w:t>
            </w:r>
            <w:r w:rsidRPr="00A60008">
              <w:rPr>
                <w:rStyle w:val="Strong"/>
                <w:rFonts w:asciiTheme="minorHAnsi" w:hAnsiTheme="minorHAnsi" w:cstheme="minorHAnsi"/>
              </w:rPr>
              <w:t xml:space="preserve">Spring: </w:t>
            </w:r>
            <w:r w:rsidRPr="00A60008">
              <w:rPr>
                <w:rFonts w:asciiTheme="minorHAnsi" w:hAnsiTheme="minorHAnsi" w:cstheme="minorHAnsi"/>
              </w:rPr>
              <w:t xml:space="preserve">Gambling and Risk – online gaming, loot boxes, and betting behaviours, Financial Impact of Gambling – understanding consequences, budgeting activities                                                                                              </w:t>
            </w:r>
            <w:r w:rsidRPr="00A60008">
              <w:rPr>
                <w:rStyle w:val="Strong"/>
                <w:rFonts w:asciiTheme="minorHAnsi" w:hAnsiTheme="minorHAnsi" w:cstheme="minorHAnsi"/>
              </w:rPr>
              <w:t xml:space="preserve">Summer: </w:t>
            </w:r>
            <w:r w:rsidRPr="00A60008">
              <w:rPr>
                <w:rFonts w:asciiTheme="minorHAnsi" w:hAnsiTheme="minorHAnsi" w:cstheme="minorHAnsi"/>
              </w:rPr>
              <w:t>Bereavement and Loss – understanding grief and cultural perspectives, Coping with Loss and Seeking Support – resilience and accessing help.                                                                  </w:t>
            </w:r>
          </w:p>
        </w:tc>
      </w:tr>
      <w:tr w:rsidR="006754BA" w14:paraId="439D88C9" w14:textId="77777777" w:rsidTr="00993E84">
        <w:trPr>
          <w:trHeight w:val="1751"/>
        </w:trPr>
        <w:tc>
          <w:tcPr>
            <w:tcW w:w="1332" w:type="dxa"/>
            <w:tcBorders>
              <w:top w:val="single" w:sz="6" w:space="0" w:color="auto"/>
              <w:left w:val="single" w:sz="6" w:space="0" w:color="auto"/>
              <w:bottom w:val="single" w:sz="6" w:space="0" w:color="auto"/>
              <w:right w:val="single" w:sz="6" w:space="0" w:color="auto"/>
            </w:tcBorders>
          </w:tcPr>
          <w:p w14:paraId="3244F611" w14:textId="741C7AFF"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3 </w:t>
            </w:r>
          </w:p>
        </w:tc>
        <w:tc>
          <w:tcPr>
            <w:tcW w:w="7571" w:type="dxa"/>
            <w:gridSpan w:val="2"/>
            <w:tcBorders>
              <w:top w:val="single" w:sz="6" w:space="0" w:color="auto"/>
              <w:left w:val="single" w:sz="6" w:space="0" w:color="auto"/>
              <w:bottom w:val="single" w:sz="6" w:space="0" w:color="auto"/>
              <w:right w:val="single" w:sz="6" w:space="0" w:color="auto"/>
            </w:tcBorders>
          </w:tcPr>
          <w:p w14:paraId="1C6757BC" w14:textId="1AC1F0E2" w:rsidR="006754BA" w:rsidRPr="00A60008" w:rsidRDefault="006754BA" w:rsidP="004577C0">
            <w:pPr>
              <w:pStyle w:val="NormalWeb"/>
              <w:rPr>
                <w:rFonts w:asciiTheme="minorHAnsi" w:hAnsiTheme="minorHAnsi" w:cstheme="minorHAnsi"/>
              </w:rPr>
            </w:pPr>
            <w:r w:rsidRPr="00A60008">
              <w:rPr>
                <w:rStyle w:val="Strong"/>
                <w:rFonts w:asciiTheme="minorHAnsi" w:hAnsiTheme="minorHAnsi" w:cstheme="minorHAnsi"/>
              </w:rPr>
              <w:t xml:space="preserve">Autumn: </w:t>
            </w:r>
            <w:r w:rsidRPr="00A60008">
              <w:rPr>
                <w:rFonts w:asciiTheme="minorHAnsi" w:hAnsiTheme="minorHAnsi" w:cstheme="minorHAnsi"/>
              </w:rPr>
              <w:t xml:space="preserve">Illegal Online Behaviours – drugs, knives, and exploitation awareness, Law and Consequences – online supply, county lines, and safeguarding.                                                                                                           </w:t>
            </w:r>
            <w:r w:rsidRPr="00A60008">
              <w:rPr>
                <w:rStyle w:val="Strong"/>
                <w:rFonts w:asciiTheme="minorHAnsi" w:hAnsiTheme="minorHAnsi" w:cstheme="minorHAnsi"/>
              </w:rPr>
              <w:t xml:space="preserve">Spring: </w:t>
            </w:r>
            <w:r w:rsidRPr="00A60008">
              <w:rPr>
                <w:rFonts w:asciiTheme="minorHAnsi" w:hAnsiTheme="minorHAnsi" w:cstheme="minorHAnsi"/>
              </w:rPr>
              <w:t xml:space="preserve">Menstrual and Gynaecological Health – PCOS, endometriosis, and reducing stigma, Seeking Medical Help – equality, healthcare access, and confidence in self-advocacy                                                                              </w:t>
            </w:r>
            <w:r w:rsidRPr="00A60008">
              <w:rPr>
                <w:rStyle w:val="Strong"/>
                <w:rFonts w:asciiTheme="minorHAnsi" w:hAnsiTheme="minorHAnsi" w:cstheme="minorHAnsi"/>
              </w:rPr>
              <w:t xml:space="preserve">Summer: </w:t>
            </w:r>
            <w:r w:rsidRPr="00A60008">
              <w:rPr>
                <w:rFonts w:asciiTheme="minorHAnsi" w:hAnsiTheme="minorHAnsi" w:cstheme="minorHAnsi"/>
              </w:rPr>
              <w:t>Antimicrobial Resistance (AMR) – understanding antibiotics, viruses, and responsible use, Global Health and Responsibility – personal actions and future medicine.                                                        </w:t>
            </w:r>
          </w:p>
        </w:tc>
      </w:tr>
      <w:tr w:rsidR="006754BA" w14:paraId="3796E5D1" w14:textId="77777777" w:rsidTr="00993E84">
        <w:trPr>
          <w:trHeight w:val="2918"/>
        </w:trPr>
        <w:tc>
          <w:tcPr>
            <w:tcW w:w="1332" w:type="dxa"/>
            <w:tcBorders>
              <w:top w:val="single" w:sz="6" w:space="0" w:color="auto"/>
              <w:left w:val="single" w:sz="6" w:space="0" w:color="auto"/>
              <w:bottom w:val="single" w:sz="6" w:space="0" w:color="auto"/>
              <w:right w:val="single" w:sz="6" w:space="0" w:color="auto"/>
            </w:tcBorders>
          </w:tcPr>
          <w:p w14:paraId="0D95576C" w14:textId="4C2316F0"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4 </w:t>
            </w:r>
          </w:p>
        </w:tc>
        <w:tc>
          <w:tcPr>
            <w:tcW w:w="7571" w:type="dxa"/>
            <w:gridSpan w:val="2"/>
            <w:tcBorders>
              <w:top w:val="single" w:sz="6" w:space="0" w:color="auto"/>
              <w:left w:val="single" w:sz="6" w:space="0" w:color="auto"/>
              <w:bottom w:val="single" w:sz="6" w:space="0" w:color="auto"/>
              <w:right w:val="single" w:sz="6" w:space="0" w:color="auto"/>
            </w:tcBorders>
          </w:tcPr>
          <w:p w14:paraId="522741E6" w14:textId="77777777" w:rsidR="006754BA" w:rsidRPr="00A60008" w:rsidRDefault="006754BA" w:rsidP="006754BA">
            <w:pPr>
              <w:pStyle w:val="NormalWeb"/>
              <w:rPr>
                <w:rFonts w:asciiTheme="minorHAnsi" w:hAnsiTheme="minorHAnsi" w:cstheme="minorHAnsi"/>
              </w:rPr>
            </w:pPr>
            <w:r w:rsidRPr="00A60008">
              <w:rPr>
                <w:rStyle w:val="Strong"/>
                <w:rFonts w:asciiTheme="minorHAnsi" w:hAnsiTheme="minorHAnsi" w:cstheme="minorHAnsi"/>
              </w:rPr>
              <w:t xml:space="preserve">Autumn: </w:t>
            </w:r>
            <w:r w:rsidRPr="00A60008">
              <w:rPr>
                <w:rFonts w:asciiTheme="minorHAnsi" w:hAnsiTheme="minorHAnsi" w:cstheme="minorHAnsi"/>
              </w:rPr>
              <w:t xml:space="preserve">Healthy Behaviours in Pregnancy – nutrition, smoking, alcohol, and lifestyle choices, Maternal Health and Child Outcomes – understanding impacts and NHS guidance                                                                                        </w:t>
            </w:r>
            <w:r w:rsidRPr="00A60008">
              <w:rPr>
                <w:rStyle w:val="Strong"/>
                <w:rFonts w:asciiTheme="minorHAnsi" w:hAnsiTheme="minorHAnsi" w:cstheme="minorHAnsi"/>
              </w:rPr>
              <w:t xml:space="preserve">Spring: </w:t>
            </w:r>
            <w:r w:rsidRPr="00A60008">
              <w:rPr>
                <w:rFonts w:asciiTheme="minorHAnsi" w:hAnsiTheme="minorHAnsi" w:cstheme="minorHAnsi"/>
              </w:rPr>
              <w:t xml:space="preserve">Parenting and Early Brain Development – care responsibilities and attachment, Parenting in Society – costs, expectations, and social support networks                                                                                                                </w:t>
            </w:r>
            <w:r w:rsidRPr="00A60008">
              <w:rPr>
                <w:rStyle w:val="Strong"/>
                <w:rFonts w:asciiTheme="minorHAnsi" w:hAnsiTheme="minorHAnsi" w:cstheme="minorHAnsi"/>
              </w:rPr>
              <w:t xml:space="preserve">Summer: </w:t>
            </w:r>
            <w:r w:rsidRPr="00A60008">
              <w:rPr>
                <w:rFonts w:asciiTheme="minorHAnsi" w:hAnsiTheme="minorHAnsi" w:cstheme="minorHAnsi"/>
              </w:rPr>
              <w:t>Virginity Testing and Hymenoplasty – legal context, safeguarding, and human rights, Respect and consent – challenging harmful myths and promoting healthy culture.</w:t>
            </w:r>
          </w:p>
          <w:p w14:paraId="53888659" w14:textId="4717E88D" w:rsidR="006754BA" w:rsidRPr="00A60008" w:rsidRDefault="006754BA" w:rsidP="006754BA">
            <w:pPr>
              <w:rPr>
                <w:rFonts w:cstheme="minorHAnsi"/>
                <w:bCs/>
                <w:sz w:val="24"/>
                <w:szCs w:val="24"/>
              </w:rPr>
            </w:pPr>
            <w:r w:rsidRPr="00A60008">
              <w:rPr>
                <w:rFonts w:cstheme="minorHAnsi"/>
              </w:rPr>
              <w:t>                                                                             </w:t>
            </w:r>
          </w:p>
        </w:tc>
      </w:tr>
      <w:tr w:rsidR="006754BA" w14:paraId="25DC5BF0" w14:textId="77777777" w:rsidTr="00993E84">
        <w:trPr>
          <w:trHeight w:val="2903"/>
        </w:trPr>
        <w:tc>
          <w:tcPr>
            <w:tcW w:w="1332" w:type="dxa"/>
            <w:tcBorders>
              <w:top w:val="single" w:sz="6" w:space="0" w:color="auto"/>
              <w:left w:val="single" w:sz="6" w:space="0" w:color="auto"/>
              <w:bottom w:val="single" w:sz="6" w:space="0" w:color="auto"/>
              <w:right w:val="single" w:sz="6" w:space="0" w:color="auto"/>
            </w:tcBorders>
          </w:tcPr>
          <w:p w14:paraId="32FB4277" w14:textId="0F8607B5"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lastRenderedPageBreak/>
              <w:t>Year 5 </w:t>
            </w:r>
          </w:p>
        </w:tc>
        <w:tc>
          <w:tcPr>
            <w:tcW w:w="7571" w:type="dxa"/>
            <w:gridSpan w:val="2"/>
            <w:tcBorders>
              <w:top w:val="single" w:sz="6" w:space="0" w:color="auto"/>
              <w:left w:val="single" w:sz="6" w:space="0" w:color="auto"/>
              <w:bottom w:val="single" w:sz="6" w:space="0" w:color="auto"/>
              <w:right w:val="single" w:sz="6" w:space="0" w:color="auto"/>
            </w:tcBorders>
          </w:tcPr>
          <w:p w14:paraId="55793468" w14:textId="402A6845" w:rsidR="006754BA" w:rsidRPr="00A60008" w:rsidRDefault="006754BA" w:rsidP="00A60008">
            <w:pPr>
              <w:pStyle w:val="NormalWeb"/>
              <w:rPr>
                <w:rFonts w:asciiTheme="minorHAnsi" w:hAnsiTheme="minorHAnsi" w:cstheme="minorHAnsi"/>
              </w:rPr>
            </w:pPr>
            <w:r w:rsidRPr="00A60008">
              <w:rPr>
                <w:rStyle w:val="Strong"/>
                <w:rFonts w:asciiTheme="minorHAnsi" w:hAnsiTheme="minorHAnsi" w:cstheme="minorHAnsi"/>
              </w:rPr>
              <w:t xml:space="preserve">Autumn: </w:t>
            </w:r>
            <w:r w:rsidRPr="00A60008">
              <w:rPr>
                <w:rFonts w:asciiTheme="minorHAnsi" w:hAnsiTheme="minorHAnsi" w:cstheme="minorHAnsi"/>
              </w:rPr>
              <w:t xml:space="preserve">Suicide Prevention (Part 1) – recognising warning signs and initiating safe conversations, Suicide Prevention (Part 2) – support pathways and peer support strategies                                                          </w:t>
            </w:r>
            <w:r w:rsidRPr="00A60008">
              <w:rPr>
                <w:rStyle w:val="Strong"/>
                <w:rFonts w:asciiTheme="minorHAnsi" w:hAnsiTheme="minorHAnsi" w:cstheme="minorHAnsi"/>
              </w:rPr>
              <w:t xml:space="preserve">Spring: </w:t>
            </w:r>
            <w:r w:rsidRPr="00A60008">
              <w:rPr>
                <w:rFonts w:asciiTheme="minorHAnsi" w:hAnsiTheme="minorHAnsi" w:cstheme="minorHAnsi"/>
              </w:rPr>
              <w:t xml:space="preserve">Mental Health and Resilience – coping with exam pressures and stress management, Reinforcing Loneliness and Bereavement Skills – revisiting coping strategies and peer help                                                          </w:t>
            </w:r>
            <w:r w:rsidRPr="00A60008">
              <w:rPr>
                <w:rStyle w:val="Strong"/>
                <w:rFonts w:asciiTheme="minorHAnsi" w:hAnsiTheme="minorHAnsi" w:cstheme="minorHAnsi"/>
              </w:rPr>
              <w:t xml:space="preserve">Summer: </w:t>
            </w:r>
            <w:r w:rsidRPr="00A60008">
              <w:rPr>
                <w:rFonts w:asciiTheme="minorHAnsi" w:hAnsiTheme="minorHAnsi" w:cstheme="minorHAnsi"/>
              </w:rPr>
              <w:t>Consolidation and Transition Preparation for post-16 wellbeing, independent living, and accessing support services.                                        </w:t>
            </w:r>
          </w:p>
        </w:tc>
      </w:tr>
      <w:tr w:rsidR="006754BA" w14:paraId="512725D2" w14:textId="77777777" w:rsidTr="00993E84">
        <w:trPr>
          <w:trHeight w:val="2035"/>
        </w:trPr>
        <w:tc>
          <w:tcPr>
            <w:tcW w:w="1332" w:type="dxa"/>
            <w:tcBorders>
              <w:top w:val="single" w:sz="6" w:space="0" w:color="auto"/>
              <w:left w:val="single" w:sz="6" w:space="0" w:color="auto"/>
              <w:bottom w:val="single" w:sz="6" w:space="0" w:color="auto"/>
              <w:right w:val="single" w:sz="6" w:space="0" w:color="auto"/>
            </w:tcBorders>
          </w:tcPr>
          <w:p w14:paraId="11BFDE15" w14:textId="18D20E10"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6 </w:t>
            </w:r>
          </w:p>
        </w:tc>
        <w:tc>
          <w:tcPr>
            <w:tcW w:w="7571" w:type="dxa"/>
            <w:gridSpan w:val="2"/>
            <w:tcBorders>
              <w:top w:val="single" w:sz="6" w:space="0" w:color="auto"/>
              <w:left w:val="single" w:sz="6" w:space="0" w:color="auto"/>
              <w:bottom w:val="single" w:sz="6" w:space="0" w:color="auto"/>
              <w:right w:val="single" w:sz="6" w:space="0" w:color="auto"/>
            </w:tcBorders>
          </w:tcPr>
          <w:p w14:paraId="2F8D2711" w14:textId="77777777" w:rsidR="006754BA" w:rsidRPr="00A60008" w:rsidRDefault="006754BA" w:rsidP="006754BA">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Autumn:</w:t>
            </w:r>
            <w:r w:rsidRPr="00A60008">
              <w:rPr>
                <w:rFonts w:eastAsia="Times New Roman" w:cstheme="minorHAnsi"/>
                <w:sz w:val="24"/>
                <w:szCs w:val="24"/>
                <w:lang w:eastAsia="en-GB"/>
              </w:rPr>
              <w:t> Gangs; gambling; positive and negative risk-taking; drugs and alcohol. </w:t>
            </w:r>
          </w:p>
          <w:p w14:paraId="55207FB5" w14:textId="77777777" w:rsidR="006754BA" w:rsidRPr="00A60008" w:rsidRDefault="006754BA" w:rsidP="006754BA">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Spring:</w:t>
            </w:r>
            <w:r w:rsidRPr="00A60008">
              <w:rPr>
                <w:rFonts w:eastAsia="Times New Roman" w:cstheme="minorHAnsi"/>
                <w:sz w:val="24"/>
                <w:szCs w:val="24"/>
                <w:lang w:eastAsia="en-GB"/>
              </w:rPr>
              <w:t> Keeping safe; smoking; dangers of the wider world; positive and negative relationships. </w:t>
            </w:r>
          </w:p>
          <w:p w14:paraId="5AD015FF" w14:textId="77777777" w:rsidR="006754BA" w:rsidRPr="00A60008" w:rsidRDefault="006754BA" w:rsidP="006754BA">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Summer:</w:t>
            </w:r>
            <w:r w:rsidRPr="00A60008">
              <w:rPr>
                <w:rFonts w:eastAsia="Times New Roman" w:cstheme="minorHAnsi"/>
                <w:sz w:val="24"/>
                <w:szCs w:val="24"/>
                <w:lang w:eastAsia="en-GB"/>
              </w:rPr>
              <w:t> Body shaming; forced marriages; hate crime; managing social anxiety. </w:t>
            </w:r>
          </w:p>
          <w:p w14:paraId="39F6EE77" w14:textId="7BE8D045" w:rsidR="006754BA" w:rsidRPr="00A60008" w:rsidRDefault="006754BA" w:rsidP="006754BA">
            <w:pPr>
              <w:rPr>
                <w:rFonts w:cstheme="minorHAnsi"/>
                <w:bCs/>
                <w:sz w:val="24"/>
                <w:szCs w:val="24"/>
              </w:rPr>
            </w:pPr>
            <w:r w:rsidRPr="00A60008">
              <w:rPr>
                <w:rFonts w:eastAsia="Times New Roman" w:cstheme="minorHAnsi"/>
                <w:sz w:val="24"/>
                <w:szCs w:val="24"/>
                <w:lang w:eastAsia="en-GB"/>
              </w:rPr>
              <w:t>                                                                                   </w:t>
            </w:r>
          </w:p>
        </w:tc>
      </w:tr>
      <w:tr w:rsidR="006754BA" w14:paraId="48EF6204" w14:textId="77777777" w:rsidTr="00993E84">
        <w:trPr>
          <w:trHeight w:val="2050"/>
        </w:trPr>
        <w:tc>
          <w:tcPr>
            <w:tcW w:w="1332" w:type="dxa"/>
            <w:tcBorders>
              <w:top w:val="single" w:sz="6" w:space="0" w:color="auto"/>
              <w:left w:val="single" w:sz="6" w:space="0" w:color="auto"/>
              <w:bottom w:val="single" w:sz="6" w:space="0" w:color="auto"/>
              <w:right w:val="single" w:sz="6" w:space="0" w:color="auto"/>
            </w:tcBorders>
          </w:tcPr>
          <w:p w14:paraId="65E2CAEB" w14:textId="41A0F8CD"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7 </w:t>
            </w:r>
          </w:p>
        </w:tc>
        <w:tc>
          <w:tcPr>
            <w:tcW w:w="7571" w:type="dxa"/>
            <w:gridSpan w:val="2"/>
            <w:tcBorders>
              <w:top w:val="single" w:sz="6" w:space="0" w:color="auto"/>
              <w:left w:val="single" w:sz="6" w:space="0" w:color="auto"/>
              <w:bottom w:val="single" w:sz="6" w:space="0" w:color="auto"/>
              <w:right w:val="single" w:sz="6" w:space="0" w:color="auto"/>
            </w:tcBorders>
          </w:tcPr>
          <w:p w14:paraId="577577D9" w14:textId="77777777" w:rsidR="006754BA" w:rsidRPr="00A60008" w:rsidRDefault="006754BA" w:rsidP="006754BA">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Autumn</w:t>
            </w:r>
            <w:r w:rsidRPr="00A60008">
              <w:rPr>
                <w:rFonts w:eastAsia="Times New Roman" w:cstheme="minorHAnsi"/>
                <w:sz w:val="24"/>
                <w:szCs w:val="24"/>
                <w:lang w:eastAsia="en-GB"/>
              </w:rPr>
              <w:t>: Mental health; staying safe; harassment and stalking; anti-social behaviour. </w:t>
            </w:r>
          </w:p>
          <w:p w14:paraId="508395B3" w14:textId="77777777" w:rsidR="006754BA" w:rsidRPr="00A60008" w:rsidRDefault="006754BA" w:rsidP="006754BA">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Spring:</w:t>
            </w:r>
            <w:r w:rsidRPr="00A60008">
              <w:rPr>
                <w:rFonts w:eastAsia="Times New Roman" w:cstheme="minorHAnsi"/>
                <w:sz w:val="24"/>
                <w:szCs w:val="24"/>
                <w:lang w:eastAsia="en-GB"/>
              </w:rPr>
              <w:t> My identity; revenge porn; happiness; living in the real world. </w:t>
            </w:r>
          </w:p>
          <w:p w14:paraId="33406855" w14:textId="59D12471" w:rsidR="006754BA" w:rsidRPr="00A60008" w:rsidRDefault="006754BA" w:rsidP="00A60008">
            <w:pPr>
              <w:textAlignment w:val="baseline"/>
              <w:rPr>
                <w:rFonts w:eastAsia="Times New Roman" w:cstheme="minorHAnsi"/>
                <w:sz w:val="24"/>
                <w:szCs w:val="24"/>
                <w:lang w:eastAsia="en-GB"/>
              </w:rPr>
            </w:pPr>
            <w:r w:rsidRPr="00A60008">
              <w:rPr>
                <w:rFonts w:eastAsia="Times New Roman" w:cstheme="minorHAnsi"/>
                <w:b/>
                <w:bCs/>
                <w:i/>
                <w:iCs/>
                <w:sz w:val="24"/>
                <w:szCs w:val="24"/>
                <w:lang w:eastAsia="en-GB"/>
              </w:rPr>
              <w:t>Summer:</w:t>
            </w:r>
            <w:r w:rsidRPr="00A60008">
              <w:rPr>
                <w:rFonts w:eastAsia="Times New Roman" w:cstheme="minorHAnsi"/>
                <w:sz w:val="24"/>
                <w:szCs w:val="24"/>
                <w:lang w:eastAsia="en-GB"/>
              </w:rPr>
              <w:t> Healthy eating; homelessness; rape and consent; keeping fit; self-love.                            </w:t>
            </w:r>
          </w:p>
        </w:tc>
      </w:tr>
      <w:tr w:rsidR="006754BA" w14:paraId="28EBF984" w14:textId="77777777" w:rsidTr="00993E84">
        <w:trPr>
          <w:trHeight w:val="568"/>
        </w:trPr>
        <w:tc>
          <w:tcPr>
            <w:tcW w:w="1332" w:type="dxa"/>
            <w:tcBorders>
              <w:top w:val="single" w:sz="6" w:space="0" w:color="auto"/>
              <w:left w:val="single" w:sz="6" w:space="0" w:color="auto"/>
              <w:bottom w:val="single" w:sz="6" w:space="0" w:color="auto"/>
              <w:right w:val="single" w:sz="6" w:space="0" w:color="auto"/>
            </w:tcBorders>
          </w:tcPr>
          <w:p w14:paraId="3729453C" w14:textId="1ACC6191" w:rsidR="006754BA" w:rsidRPr="00A60008" w:rsidRDefault="006754BA" w:rsidP="006754BA">
            <w:pPr>
              <w:jc w:val="center"/>
              <w:rPr>
                <w:rFonts w:cstheme="minorHAnsi"/>
                <w:bCs/>
                <w:sz w:val="24"/>
                <w:szCs w:val="24"/>
              </w:rPr>
            </w:pPr>
            <w:r w:rsidRPr="00A60008">
              <w:rPr>
                <w:rFonts w:eastAsia="Times New Roman" w:cstheme="minorHAnsi"/>
                <w:sz w:val="24"/>
                <w:szCs w:val="24"/>
                <w:lang w:eastAsia="en-GB"/>
              </w:rPr>
              <w:t>Year 8 </w:t>
            </w:r>
          </w:p>
        </w:tc>
        <w:tc>
          <w:tcPr>
            <w:tcW w:w="7571" w:type="dxa"/>
            <w:gridSpan w:val="2"/>
            <w:tcBorders>
              <w:top w:val="single" w:sz="6" w:space="0" w:color="auto"/>
              <w:left w:val="single" w:sz="6" w:space="0" w:color="auto"/>
              <w:bottom w:val="single" w:sz="6" w:space="0" w:color="auto"/>
              <w:right w:val="single" w:sz="6" w:space="0" w:color="auto"/>
            </w:tcBorders>
          </w:tcPr>
          <w:p w14:paraId="2D485CA9" w14:textId="77777777" w:rsidR="00A60008" w:rsidRPr="00A60008" w:rsidRDefault="006754BA" w:rsidP="00A60008">
            <w:pPr>
              <w:pStyle w:val="NormalWeb"/>
              <w:spacing w:before="0" w:beforeAutospacing="0" w:after="0" w:afterAutospacing="0"/>
              <w:rPr>
                <w:rFonts w:asciiTheme="minorHAnsi" w:hAnsiTheme="minorHAnsi" w:cstheme="minorHAnsi"/>
              </w:rPr>
            </w:pPr>
            <w:r w:rsidRPr="00A60008">
              <w:rPr>
                <w:rStyle w:val="Strong"/>
                <w:rFonts w:asciiTheme="minorHAnsi" w:hAnsiTheme="minorHAnsi" w:cstheme="minorHAnsi"/>
              </w:rPr>
              <w:t xml:space="preserve">Autumn: </w:t>
            </w:r>
            <w:r w:rsidRPr="00A60008">
              <w:rPr>
                <w:rFonts w:asciiTheme="minorHAnsi" w:hAnsiTheme="minorHAnsi" w:cstheme="minorHAnsi"/>
              </w:rPr>
              <w:t xml:space="preserve">Independent Living and Finance – managing rent, bills, and budgeting effectively, Healthy Relationships and Consent (Young Adults) – respect, boundaries, and adult legal responsibilities                                </w:t>
            </w:r>
            <w:r w:rsidRPr="00A60008">
              <w:rPr>
                <w:rStyle w:val="Strong"/>
                <w:rFonts w:asciiTheme="minorHAnsi" w:hAnsiTheme="minorHAnsi" w:cstheme="minorHAnsi"/>
              </w:rPr>
              <w:t xml:space="preserve">Spring: </w:t>
            </w:r>
            <w:r w:rsidRPr="00A60008">
              <w:rPr>
                <w:rFonts w:asciiTheme="minorHAnsi" w:hAnsiTheme="minorHAnsi" w:cstheme="minorHAnsi"/>
              </w:rPr>
              <w:t xml:space="preserve">Workplace Readiness and Employment Rights – CVs, interviews, workplace equality, and whistleblowing, Substance Misuse and Risk – nightlife safety, alcohol, drugs, and vaping beyond school context               </w:t>
            </w:r>
          </w:p>
          <w:p w14:paraId="609901DB" w14:textId="476FF64A" w:rsidR="006754BA" w:rsidRPr="00A60008" w:rsidRDefault="006754BA" w:rsidP="00A60008">
            <w:pPr>
              <w:pStyle w:val="NormalWeb"/>
              <w:spacing w:before="0" w:beforeAutospacing="0" w:after="0" w:afterAutospacing="0"/>
              <w:rPr>
                <w:rFonts w:asciiTheme="minorHAnsi" w:hAnsiTheme="minorHAnsi" w:cstheme="minorHAnsi"/>
              </w:rPr>
            </w:pPr>
            <w:r w:rsidRPr="00A60008">
              <w:rPr>
                <w:rStyle w:val="Strong"/>
                <w:rFonts w:asciiTheme="minorHAnsi" w:hAnsiTheme="minorHAnsi" w:cstheme="minorHAnsi"/>
              </w:rPr>
              <w:t xml:space="preserve">Summer: </w:t>
            </w:r>
            <w:r w:rsidRPr="00A60008">
              <w:rPr>
                <w:rFonts w:asciiTheme="minorHAnsi" w:hAnsiTheme="minorHAnsi" w:cstheme="minorHAnsi"/>
              </w:rPr>
              <w:t>Adult Health and Wellbeing – GP registration, reproductive health, and stress management, Global Citizenship and Long-Term Resilience – civic engagement, volunteering, and environmental responsibility</w:t>
            </w:r>
          </w:p>
          <w:p w14:paraId="2A701540" w14:textId="2DC7AF33" w:rsidR="006754BA" w:rsidRPr="00A60008" w:rsidRDefault="006754BA" w:rsidP="006754BA">
            <w:pPr>
              <w:rPr>
                <w:rFonts w:cstheme="minorHAnsi"/>
                <w:sz w:val="24"/>
                <w:szCs w:val="24"/>
              </w:rPr>
            </w:pPr>
          </w:p>
        </w:tc>
      </w:tr>
    </w:tbl>
    <w:p w14:paraId="2B4DB763" w14:textId="71C9A611" w:rsidR="000F0B4D" w:rsidRDefault="000F0B4D" w:rsidP="00984452">
      <w:pPr>
        <w:jc w:val="center"/>
        <w:rPr>
          <w:rFonts w:cstheme="minorHAnsi"/>
          <w:bCs/>
          <w:sz w:val="24"/>
          <w:szCs w:val="24"/>
        </w:rPr>
      </w:pPr>
    </w:p>
    <w:p w14:paraId="5FF4DC1A" w14:textId="4FACAA16" w:rsidR="00D30C9F" w:rsidRDefault="00D30C9F" w:rsidP="00984452">
      <w:pPr>
        <w:jc w:val="center"/>
        <w:rPr>
          <w:rFonts w:cstheme="minorHAnsi"/>
          <w:bCs/>
          <w:sz w:val="24"/>
          <w:szCs w:val="24"/>
        </w:rPr>
      </w:pPr>
    </w:p>
    <w:p w14:paraId="3ED12C3F" w14:textId="77777777" w:rsidR="00D30C9F" w:rsidRPr="00E6061B" w:rsidRDefault="00D30C9F" w:rsidP="00984452">
      <w:pPr>
        <w:jc w:val="center"/>
        <w:rPr>
          <w:rFonts w:cstheme="minorHAnsi"/>
          <w:bCs/>
          <w:sz w:val="24"/>
          <w:szCs w:val="24"/>
        </w:rPr>
      </w:pPr>
    </w:p>
    <w:p w14:paraId="61988FB1" w14:textId="77777777" w:rsidR="003D4027" w:rsidRDefault="003D4027">
      <w:pPr>
        <w:rPr>
          <w:rFonts w:cstheme="minorHAnsi"/>
          <w:b/>
          <w:sz w:val="28"/>
          <w:szCs w:val="28"/>
          <w:u w:val="single"/>
        </w:rPr>
      </w:pPr>
      <w:r>
        <w:rPr>
          <w:rFonts w:cstheme="minorHAnsi"/>
          <w:b/>
          <w:sz w:val="28"/>
          <w:szCs w:val="28"/>
          <w:u w:val="single"/>
        </w:rPr>
        <w:br w:type="page"/>
      </w:r>
    </w:p>
    <w:p w14:paraId="08D1311D" w14:textId="3859A194" w:rsidR="008A21B6" w:rsidRPr="003D4027" w:rsidRDefault="008A21B6" w:rsidP="008A21B6">
      <w:pPr>
        <w:jc w:val="center"/>
        <w:rPr>
          <w:rFonts w:cstheme="minorHAnsi"/>
          <w:b/>
          <w:sz w:val="36"/>
          <w:szCs w:val="36"/>
          <w:u w:val="single"/>
        </w:rPr>
      </w:pPr>
      <w:r w:rsidRPr="003D4027">
        <w:rPr>
          <w:rFonts w:cstheme="minorHAnsi"/>
          <w:b/>
          <w:sz w:val="36"/>
          <w:szCs w:val="36"/>
          <w:u w:val="single"/>
        </w:rPr>
        <w:lastRenderedPageBreak/>
        <w:t>Careers: Progression Plan</w:t>
      </w:r>
    </w:p>
    <w:tbl>
      <w:tblPr>
        <w:tblStyle w:val="TableGrid"/>
        <w:tblW w:w="9923" w:type="dxa"/>
        <w:tblInd w:w="-289" w:type="dxa"/>
        <w:tblLook w:val="04A0" w:firstRow="1" w:lastRow="0" w:firstColumn="1" w:lastColumn="0" w:noHBand="0" w:noVBand="1"/>
      </w:tblPr>
      <w:tblGrid>
        <w:gridCol w:w="993"/>
        <w:gridCol w:w="4253"/>
        <w:gridCol w:w="4677"/>
      </w:tblGrid>
      <w:tr w:rsidR="00E64035" w14:paraId="5846B36C" w14:textId="77777777" w:rsidTr="7FB565E1">
        <w:tc>
          <w:tcPr>
            <w:tcW w:w="993" w:type="dxa"/>
            <w:shd w:val="clear" w:color="auto" w:fill="595959" w:themeFill="text1" w:themeFillTint="A6"/>
          </w:tcPr>
          <w:p w14:paraId="5C55DDCE" w14:textId="77777777" w:rsidR="00FC3771" w:rsidRDefault="00FC3771" w:rsidP="00E33C75">
            <w:pPr>
              <w:jc w:val="center"/>
              <w:rPr>
                <w:rFonts w:cstheme="minorHAnsi"/>
                <w:bCs/>
                <w:sz w:val="24"/>
                <w:szCs w:val="24"/>
              </w:rPr>
            </w:pPr>
          </w:p>
        </w:tc>
        <w:tc>
          <w:tcPr>
            <w:tcW w:w="4253" w:type="dxa"/>
          </w:tcPr>
          <w:p w14:paraId="355AF2C9" w14:textId="462C01CC" w:rsidR="00D1732A" w:rsidRPr="0031266F" w:rsidRDefault="00FC3771" w:rsidP="0031266F">
            <w:pPr>
              <w:jc w:val="center"/>
              <w:rPr>
                <w:rFonts w:cstheme="minorHAnsi"/>
                <w:b/>
                <w:noProof/>
                <w:sz w:val="24"/>
                <w:szCs w:val="24"/>
              </w:rPr>
            </w:pPr>
            <w:r w:rsidRPr="00D1732A">
              <w:rPr>
                <w:rFonts w:cstheme="minorHAnsi"/>
                <w:b/>
                <w:noProof/>
                <w:sz w:val="24"/>
                <w:szCs w:val="24"/>
              </w:rPr>
              <w:t>Explorers</w:t>
            </w:r>
          </w:p>
          <w:p w14:paraId="09F1DDA4" w14:textId="29B58FD0" w:rsidR="00FC3771" w:rsidRDefault="00FC3771" w:rsidP="00E33C75">
            <w:pPr>
              <w:jc w:val="center"/>
              <w:rPr>
                <w:rFonts w:cstheme="minorHAnsi"/>
                <w:bCs/>
                <w:sz w:val="24"/>
                <w:szCs w:val="24"/>
              </w:rPr>
            </w:pPr>
            <w:r>
              <w:rPr>
                <w:rFonts w:cstheme="minorHAnsi"/>
                <w:bCs/>
                <w:noProof/>
                <w:sz w:val="24"/>
                <w:szCs w:val="24"/>
              </w:rPr>
              <w:drawing>
                <wp:inline distT="0" distB="0" distL="0" distR="0" wp14:anchorId="30CE5155" wp14:editId="0B89B640">
                  <wp:extent cx="869132" cy="534035"/>
                  <wp:effectExtent l="0" t="0" r="7620" b="0"/>
                  <wp:docPr id="42" name="Picture 4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shap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1172" cy="547578"/>
                          </a:xfrm>
                          <a:prstGeom prst="rect">
                            <a:avLst/>
                          </a:prstGeom>
                          <a:noFill/>
                        </pic:spPr>
                      </pic:pic>
                    </a:graphicData>
                  </a:graphic>
                </wp:inline>
              </w:drawing>
            </w:r>
          </w:p>
        </w:tc>
        <w:tc>
          <w:tcPr>
            <w:tcW w:w="4677" w:type="dxa"/>
          </w:tcPr>
          <w:p w14:paraId="43B5A069" w14:textId="44C99697" w:rsidR="00D1732A" w:rsidRPr="00D1732A" w:rsidRDefault="00FC3771" w:rsidP="0031266F">
            <w:pPr>
              <w:jc w:val="center"/>
              <w:rPr>
                <w:rFonts w:cstheme="minorHAnsi"/>
                <w:b/>
                <w:sz w:val="24"/>
                <w:szCs w:val="24"/>
              </w:rPr>
            </w:pPr>
            <w:r w:rsidRPr="00D1732A">
              <w:rPr>
                <w:rFonts w:cstheme="minorHAnsi"/>
                <w:b/>
                <w:sz w:val="24"/>
                <w:szCs w:val="24"/>
              </w:rPr>
              <w:t>Navigators</w:t>
            </w:r>
          </w:p>
          <w:p w14:paraId="40CECACB" w14:textId="77777777" w:rsidR="00FC3771" w:rsidRDefault="00FC3771" w:rsidP="00E33C75">
            <w:pPr>
              <w:jc w:val="center"/>
              <w:rPr>
                <w:rFonts w:cstheme="minorHAnsi"/>
                <w:bCs/>
                <w:sz w:val="24"/>
                <w:szCs w:val="24"/>
              </w:rPr>
            </w:pPr>
            <w:r>
              <w:rPr>
                <w:rFonts w:cstheme="minorHAnsi"/>
                <w:bCs/>
                <w:noProof/>
                <w:sz w:val="24"/>
                <w:szCs w:val="24"/>
              </w:rPr>
              <w:drawing>
                <wp:inline distT="0" distB="0" distL="0" distR="0" wp14:anchorId="500B87E7" wp14:editId="59B7B89D">
                  <wp:extent cx="712805" cy="698500"/>
                  <wp:effectExtent l="0" t="0" r="0" b="6350"/>
                  <wp:docPr id="43" name="Picture 4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 whiteboard&#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7527" cy="722725"/>
                          </a:xfrm>
                          <a:prstGeom prst="rect">
                            <a:avLst/>
                          </a:prstGeom>
                          <a:noFill/>
                        </pic:spPr>
                      </pic:pic>
                    </a:graphicData>
                  </a:graphic>
                </wp:inline>
              </w:drawing>
            </w:r>
          </w:p>
        </w:tc>
      </w:tr>
      <w:tr w:rsidR="0027033C" w14:paraId="26E88E2B" w14:textId="77777777" w:rsidTr="7FB565E1">
        <w:tc>
          <w:tcPr>
            <w:tcW w:w="993" w:type="dxa"/>
          </w:tcPr>
          <w:p w14:paraId="2B5E22BB" w14:textId="298AB0D8" w:rsidR="0027033C" w:rsidRDefault="0027033C"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1</w:t>
            </w:r>
          </w:p>
        </w:tc>
        <w:tc>
          <w:tcPr>
            <w:tcW w:w="8930" w:type="dxa"/>
            <w:gridSpan w:val="2"/>
            <w:vMerge w:val="restart"/>
          </w:tcPr>
          <w:p w14:paraId="04756677" w14:textId="5646A15C" w:rsidR="0027033C" w:rsidRDefault="50C0EFEF" w:rsidP="0D5662E2">
            <w:pPr>
              <w:rPr>
                <w:sz w:val="24"/>
                <w:szCs w:val="24"/>
              </w:rPr>
            </w:pPr>
            <w:r w:rsidRPr="0D5662E2">
              <w:rPr>
                <w:rFonts w:ascii="Calibri" w:eastAsia="Calibri" w:hAnsi="Calibri" w:cs="Calibri"/>
                <w:sz w:val="24"/>
                <w:szCs w:val="24"/>
              </w:rPr>
              <w:t xml:space="preserve">Throughout the academic year, we host a series of dedicated drop-down days for Key Stage 3 students, carefully designed to align with the Gatsby Benchmarks and support </w:t>
            </w:r>
            <w:r w:rsidRPr="0D5662E2">
              <w:rPr>
                <w:rFonts w:ascii="Calibri" w:eastAsia="Calibri" w:hAnsi="Calibri" w:cs="Calibri"/>
                <w:b/>
                <w:bCs/>
                <w:i/>
                <w:iCs/>
                <w:sz w:val="24"/>
                <w:szCs w:val="24"/>
              </w:rPr>
              <w:t xml:space="preserve">meaningful </w:t>
            </w:r>
            <w:r w:rsidRPr="0D5662E2">
              <w:rPr>
                <w:rFonts w:ascii="Calibri" w:eastAsia="Calibri" w:hAnsi="Calibri" w:cs="Calibri"/>
                <w:sz w:val="24"/>
                <w:szCs w:val="24"/>
              </w:rPr>
              <w:t>career education. These events feature interactive sessions with local businesses, giving students first-hand insight into a range of career pathways.  Our qualified careers adviser also guides students in exploring future options and opportunities. Additionally, financial education workshops provide essential knowledge on managing personal finances. Complementing these experiences are engaging, practical workshops that promote skill development and the exploration of individual interests, helping students build a well-rounded understanding of the world of work and their potential within it.</w:t>
            </w:r>
          </w:p>
        </w:tc>
      </w:tr>
      <w:tr w:rsidR="0027033C" w14:paraId="57DE5AFA" w14:textId="77777777" w:rsidTr="7FB565E1">
        <w:tc>
          <w:tcPr>
            <w:tcW w:w="993" w:type="dxa"/>
          </w:tcPr>
          <w:p w14:paraId="42A2BE2B" w14:textId="00B606E1" w:rsidR="0027033C" w:rsidRDefault="0027033C"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2</w:t>
            </w:r>
          </w:p>
        </w:tc>
        <w:tc>
          <w:tcPr>
            <w:tcW w:w="8930" w:type="dxa"/>
            <w:gridSpan w:val="2"/>
            <w:vMerge/>
          </w:tcPr>
          <w:p w14:paraId="2E5A438E" w14:textId="28D23732" w:rsidR="0027033C" w:rsidRDefault="0027033C" w:rsidP="005D7C73">
            <w:pPr>
              <w:rPr>
                <w:rFonts w:cstheme="minorHAnsi"/>
                <w:bCs/>
                <w:sz w:val="24"/>
                <w:szCs w:val="24"/>
              </w:rPr>
            </w:pPr>
          </w:p>
        </w:tc>
      </w:tr>
      <w:tr w:rsidR="0027033C" w14:paraId="78DAC7AE" w14:textId="77777777" w:rsidTr="7FB565E1">
        <w:tc>
          <w:tcPr>
            <w:tcW w:w="993" w:type="dxa"/>
          </w:tcPr>
          <w:p w14:paraId="08551219" w14:textId="485539DD" w:rsidR="0027033C" w:rsidRDefault="0027033C"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3</w:t>
            </w:r>
          </w:p>
        </w:tc>
        <w:tc>
          <w:tcPr>
            <w:tcW w:w="8930" w:type="dxa"/>
            <w:gridSpan w:val="2"/>
            <w:vMerge/>
          </w:tcPr>
          <w:p w14:paraId="2E9DDAAC" w14:textId="6BC97C5B" w:rsidR="0027033C" w:rsidRDefault="0027033C" w:rsidP="005D7C73">
            <w:pPr>
              <w:rPr>
                <w:rFonts w:cstheme="minorHAnsi"/>
                <w:bCs/>
                <w:sz w:val="24"/>
                <w:szCs w:val="24"/>
              </w:rPr>
            </w:pPr>
          </w:p>
        </w:tc>
      </w:tr>
      <w:tr w:rsidR="00A0231F" w14:paraId="3F5CED05" w14:textId="77777777" w:rsidTr="7FB565E1">
        <w:trPr>
          <w:trHeight w:val="708"/>
        </w:trPr>
        <w:tc>
          <w:tcPr>
            <w:tcW w:w="993" w:type="dxa"/>
            <w:vMerge w:val="restart"/>
          </w:tcPr>
          <w:p w14:paraId="7C2B5E2F" w14:textId="3AB3D65B" w:rsidR="00A0231F" w:rsidRDefault="00A0231F"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4</w:t>
            </w:r>
          </w:p>
        </w:tc>
        <w:tc>
          <w:tcPr>
            <w:tcW w:w="4253" w:type="dxa"/>
          </w:tcPr>
          <w:p w14:paraId="1206FF92" w14:textId="38A4C08D" w:rsidR="00A0231F" w:rsidRPr="004E2AF4" w:rsidRDefault="00A0231F" w:rsidP="00C44D6F">
            <w:pPr>
              <w:rPr>
                <w:rFonts w:cstheme="minorHAnsi"/>
                <w:b/>
                <w:sz w:val="24"/>
                <w:szCs w:val="24"/>
              </w:rPr>
            </w:pPr>
            <w:r w:rsidRPr="004E2AF4">
              <w:rPr>
                <w:rFonts w:cstheme="minorHAnsi"/>
                <w:b/>
                <w:sz w:val="24"/>
                <w:szCs w:val="24"/>
              </w:rPr>
              <w:t>Pre-Vocational Study Unit</w:t>
            </w:r>
            <w:r>
              <w:rPr>
                <w:rFonts w:cstheme="minorHAnsi"/>
                <w:b/>
                <w:sz w:val="24"/>
                <w:szCs w:val="24"/>
              </w:rPr>
              <w:t xml:space="preserve"> 18: Working towards an Agreed Target</w:t>
            </w:r>
            <w:r w:rsidRPr="004E2AF4">
              <w:rPr>
                <w:rFonts w:cstheme="minorHAnsi"/>
                <w:b/>
                <w:sz w:val="24"/>
                <w:szCs w:val="24"/>
              </w:rPr>
              <w:t xml:space="preserve"> </w:t>
            </w:r>
            <w:r>
              <w:rPr>
                <w:rFonts w:cstheme="minorHAnsi"/>
                <w:b/>
                <w:sz w:val="24"/>
                <w:szCs w:val="24"/>
              </w:rPr>
              <w:t>(EL2)</w:t>
            </w:r>
          </w:p>
          <w:p w14:paraId="10D8B282" w14:textId="2763C214" w:rsidR="00A0231F" w:rsidRDefault="00A0231F" w:rsidP="005D7C73">
            <w:pPr>
              <w:rPr>
                <w:rFonts w:cstheme="minorHAnsi"/>
                <w:bCs/>
                <w:sz w:val="24"/>
                <w:szCs w:val="24"/>
              </w:rPr>
            </w:pPr>
          </w:p>
        </w:tc>
        <w:tc>
          <w:tcPr>
            <w:tcW w:w="4677" w:type="dxa"/>
          </w:tcPr>
          <w:p w14:paraId="0279D47F" w14:textId="550DE678" w:rsidR="00A0231F" w:rsidRPr="004E2AF4" w:rsidRDefault="00A0231F" w:rsidP="004E2AF4">
            <w:pPr>
              <w:rPr>
                <w:rFonts w:cstheme="minorHAnsi"/>
                <w:b/>
                <w:sz w:val="24"/>
                <w:szCs w:val="24"/>
              </w:rPr>
            </w:pPr>
            <w:r w:rsidRPr="004E2AF4">
              <w:rPr>
                <w:rFonts w:cstheme="minorHAnsi"/>
                <w:b/>
                <w:sz w:val="24"/>
                <w:szCs w:val="24"/>
              </w:rPr>
              <w:t>A2 Mandatory BTEC Unit: Developing a personal progression plan (Level 1)</w:t>
            </w:r>
          </w:p>
          <w:p w14:paraId="6444D2EE" w14:textId="16D9BF2A" w:rsidR="00A0231F" w:rsidRDefault="00A0231F" w:rsidP="00C6315B">
            <w:pPr>
              <w:rPr>
                <w:rFonts w:cstheme="minorHAnsi"/>
                <w:bCs/>
                <w:sz w:val="24"/>
                <w:szCs w:val="24"/>
              </w:rPr>
            </w:pPr>
            <w:r>
              <w:rPr>
                <w:rFonts w:cstheme="minorHAnsi"/>
                <w:bCs/>
                <w:sz w:val="24"/>
                <w:szCs w:val="24"/>
              </w:rPr>
              <w:t xml:space="preserve">                                   </w:t>
            </w:r>
          </w:p>
        </w:tc>
      </w:tr>
      <w:tr w:rsidR="002D03A0" w14:paraId="394F4BC3" w14:textId="77777777" w:rsidTr="7FB565E1">
        <w:trPr>
          <w:trHeight w:val="708"/>
        </w:trPr>
        <w:tc>
          <w:tcPr>
            <w:tcW w:w="993" w:type="dxa"/>
            <w:vMerge/>
          </w:tcPr>
          <w:p w14:paraId="66A784A8" w14:textId="77777777" w:rsidR="002D03A0" w:rsidRDefault="002D03A0" w:rsidP="00E33C75">
            <w:pPr>
              <w:jc w:val="center"/>
              <w:rPr>
                <w:rFonts w:cstheme="minorHAnsi"/>
                <w:bCs/>
                <w:sz w:val="24"/>
                <w:szCs w:val="24"/>
              </w:rPr>
            </w:pPr>
          </w:p>
        </w:tc>
        <w:tc>
          <w:tcPr>
            <w:tcW w:w="4253" w:type="dxa"/>
          </w:tcPr>
          <w:p w14:paraId="43991C97" w14:textId="31153D11" w:rsidR="002D03A0" w:rsidRPr="00CC7505" w:rsidRDefault="5AF36578" w:rsidP="0D5662E2">
            <w:r w:rsidRPr="0D5662E2">
              <w:rPr>
                <w:rFonts w:ascii="Calibri" w:eastAsia="Calibri" w:hAnsi="Calibri" w:cs="Calibri"/>
                <w:sz w:val="24"/>
                <w:szCs w:val="24"/>
              </w:rPr>
              <w:t xml:space="preserve">This unit focuses on building foundational skills to help </w:t>
            </w:r>
            <w:r w:rsidR="10B7D7BA" w:rsidRPr="0D5662E2">
              <w:rPr>
                <w:rFonts w:ascii="Calibri" w:eastAsia="Calibri" w:hAnsi="Calibri" w:cs="Calibri"/>
                <w:sz w:val="24"/>
                <w:szCs w:val="24"/>
              </w:rPr>
              <w:t>students</w:t>
            </w:r>
            <w:r w:rsidRPr="0D5662E2">
              <w:rPr>
                <w:rFonts w:ascii="Calibri" w:eastAsia="Calibri" w:hAnsi="Calibri" w:cs="Calibri"/>
                <w:sz w:val="24"/>
                <w:szCs w:val="24"/>
              </w:rPr>
              <w:t xml:space="preserve"> negotiate, plan, and achieve personal or work-related goals.  Key skills include effective action planning, such as identifying resources, setting realistic goals, and managing time efficiently.  </w:t>
            </w:r>
            <w:r w:rsidR="013F5628" w:rsidRPr="0D5662E2">
              <w:rPr>
                <w:rFonts w:ascii="Calibri" w:eastAsia="Calibri" w:hAnsi="Calibri" w:cs="Calibri"/>
                <w:sz w:val="24"/>
                <w:szCs w:val="24"/>
              </w:rPr>
              <w:t xml:space="preserve">Students </w:t>
            </w:r>
            <w:r w:rsidRPr="0D5662E2">
              <w:rPr>
                <w:rFonts w:ascii="Calibri" w:eastAsia="Calibri" w:hAnsi="Calibri" w:cs="Calibri"/>
                <w:sz w:val="24"/>
                <w:szCs w:val="24"/>
              </w:rPr>
              <w:t>also develop the ability to follow plans, work collaboratively, maintain a positive attitude, and apply basic problem-solving strategies - skills essential for both personal growth and future employability.</w:t>
            </w:r>
          </w:p>
        </w:tc>
        <w:tc>
          <w:tcPr>
            <w:tcW w:w="4677" w:type="dxa"/>
          </w:tcPr>
          <w:p w14:paraId="63EA947C" w14:textId="6D87B500" w:rsidR="002D03A0" w:rsidRPr="00C71C28" w:rsidRDefault="5AF36578" w:rsidP="0D5662E2">
            <w:r w:rsidRPr="0D5662E2">
              <w:rPr>
                <w:rFonts w:ascii="Calibri" w:eastAsia="Calibri" w:hAnsi="Calibri" w:cs="Calibri"/>
                <w:sz w:val="24"/>
                <w:szCs w:val="24"/>
              </w:rPr>
              <w:t>In this unit, students start by identifying their career goals and next steps through independent careers guidance sessions.  Using the action plan developed in these sessions, they research their chosen careers to understand the qualifications and skills required.  Building on this foundation, students create a detailed progression plan outlining the steps needed to achieve their goals, including key skills and qualifications.  This process ensures students are informed, focused, and well-equipped to pursue their future aspirations.</w:t>
            </w:r>
          </w:p>
        </w:tc>
      </w:tr>
      <w:tr w:rsidR="00A0231F" w14:paraId="552B0FD3" w14:textId="77777777" w:rsidTr="7FB565E1">
        <w:tc>
          <w:tcPr>
            <w:tcW w:w="993" w:type="dxa"/>
            <w:vMerge w:val="restart"/>
          </w:tcPr>
          <w:p w14:paraId="6AFDBC9E" w14:textId="1EF1ED37" w:rsidR="00A0231F" w:rsidRDefault="00A0231F"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5</w:t>
            </w:r>
          </w:p>
        </w:tc>
        <w:tc>
          <w:tcPr>
            <w:tcW w:w="4253" w:type="dxa"/>
          </w:tcPr>
          <w:p w14:paraId="01D8DE51" w14:textId="07DFDDEA" w:rsidR="00A0231F" w:rsidRPr="005015ED" w:rsidRDefault="00A0231F" w:rsidP="00C93DD3">
            <w:pPr>
              <w:rPr>
                <w:rFonts w:cstheme="minorHAnsi"/>
                <w:b/>
                <w:sz w:val="24"/>
                <w:szCs w:val="24"/>
              </w:rPr>
            </w:pPr>
            <w:r w:rsidRPr="004E2AF4">
              <w:rPr>
                <w:rFonts w:cstheme="minorHAnsi"/>
                <w:b/>
                <w:sz w:val="24"/>
                <w:szCs w:val="24"/>
              </w:rPr>
              <w:t>Pre-Vocational Study Unit 1</w:t>
            </w:r>
            <w:r>
              <w:rPr>
                <w:rFonts w:cstheme="minorHAnsi"/>
                <w:b/>
                <w:sz w:val="24"/>
                <w:szCs w:val="24"/>
              </w:rPr>
              <w:t>6: Finding out about Future Options</w:t>
            </w:r>
            <w:r w:rsidRPr="004E2AF4">
              <w:rPr>
                <w:rFonts w:cstheme="minorHAnsi"/>
                <w:b/>
                <w:sz w:val="24"/>
                <w:szCs w:val="24"/>
              </w:rPr>
              <w:t xml:space="preserve"> </w:t>
            </w:r>
            <w:r>
              <w:rPr>
                <w:rFonts w:cstheme="minorHAnsi"/>
                <w:b/>
                <w:sz w:val="24"/>
                <w:szCs w:val="24"/>
              </w:rPr>
              <w:t>(EL2)</w:t>
            </w:r>
          </w:p>
        </w:tc>
        <w:tc>
          <w:tcPr>
            <w:tcW w:w="4677" w:type="dxa"/>
          </w:tcPr>
          <w:p w14:paraId="01AF5B5E" w14:textId="77777777" w:rsidR="00482C8D" w:rsidRPr="004E2AF4" w:rsidRDefault="00482C8D" w:rsidP="00482C8D">
            <w:pPr>
              <w:rPr>
                <w:rFonts w:cstheme="minorHAnsi"/>
                <w:b/>
                <w:sz w:val="24"/>
                <w:szCs w:val="24"/>
              </w:rPr>
            </w:pPr>
            <w:r w:rsidRPr="004E2AF4">
              <w:rPr>
                <w:rFonts w:cstheme="minorHAnsi"/>
                <w:b/>
                <w:sz w:val="24"/>
                <w:szCs w:val="24"/>
              </w:rPr>
              <w:t>A2 Mandatory BTEC Unit: Developing a personal progression plan (Level 1)</w:t>
            </w:r>
          </w:p>
          <w:p w14:paraId="77D583B8" w14:textId="496E6E76" w:rsidR="00A0231F" w:rsidRDefault="00A0231F" w:rsidP="00C6315B">
            <w:pPr>
              <w:rPr>
                <w:rFonts w:cstheme="minorHAnsi"/>
                <w:bCs/>
                <w:sz w:val="24"/>
                <w:szCs w:val="24"/>
              </w:rPr>
            </w:pPr>
            <w:r>
              <w:rPr>
                <w:rFonts w:cstheme="minorHAnsi"/>
                <w:bCs/>
                <w:sz w:val="24"/>
                <w:szCs w:val="24"/>
              </w:rPr>
              <w:t xml:space="preserve">                                       </w:t>
            </w:r>
          </w:p>
        </w:tc>
      </w:tr>
      <w:tr w:rsidR="00CC7505" w14:paraId="48C049F2" w14:textId="77777777" w:rsidTr="7FB565E1">
        <w:tc>
          <w:tcPr>
            <w:tcW w:w="993" w:type="dxa"/>
            <w:vMerge/>
          </w:tcPr>
          <w:p w14:paraId="3D9D9B19" w14:textId="77777777" w:rsidR="00CC7505" w:rsidRDefault="00CC7505" w:rsidP="00E33C75">
            <w:pPr>
              <w:jc w:val="center"/>
              <w:rPr>
                <w:rFonts w:cstheme="minorHAnsi"/>
                <w:bCs/>
                <w:sz w:val="24"/>
                <w:szCs w:val="24"/>
              </w:rPr>
            </w:pPr>
          </w:p>
        </w:tc>
        <w:tc>
          <w:tcPr>
            <w:tcW w:w="4253" w:type="dxa"/>
          </w:tcPr>
          <w:p w14:paraId="6253D9AF" w14:textId="2E4766E4" w:rsidR="00CC7505" w:rsidRPr="000E146A" w:rsidRDefault="0BEC290D" w:rsidP="0D5662E2">
            <w:pPr>
              <w:rPr>
                <w:sz w:val="24"/>
                <w:szCs w:val="24"/>
              </w:rPr>
            </w:pPr>
            <w:r w:rsidRPr="0D5662E2">
              <w:rPr>
                <w:sz w:val="24"/>
                <w:szCs w:val="24"/>
              </w:rPr>
              <w:t xml:space="preserve">This unit guides </w:t>
            </w:r>
            <w:r w:rsidR="7F5BEB08" w:rsidRPr="0D5662E2">
              <w:rPr>
                <w:sz w:val="24"/>
                <w:szCs w:val="24"/>
              </w:rPr>
              <w:t xml:space="preserve">students </w:t>
            </w:r>
            <w:r w:rsidRPr="0D5662E2">
              <w:rPr>
                <w:sz w:val="24"/>
                <w:szCs w:val="24"/>
              </w:rPr>
              <w:t xml:space="preserve">in exploring their skills, qualities, and interests as a foundation for future planning. Key activities include assessing personal capabilities through checklists, personal audits, </w:t>
            </w:r>
            <w:r w:rsidR="67532C34" w:rsidRPr="0D5662E2">
              <w:rPr>
                <w:sz w:val="24"/>
                <w:szCs w:val="24"/>
              </w:rPr>
              <w:t>and peer feedback, as well as researching educational and career opportunities that align with individual interests and goals.</w:t>
            </w:r>
            <w:r w:rsidR="0B719788" w:rsidRPr="0D5662E2">
              <w:rPr>
                <w:sz w:val="24"/>
                <w:szCs w:val="24"/>
              </w:rPr>
              <w:t xml:space="preserve">  Students </w:t>
            </w:r>
            <w:r w:rsidR="67532C34" w:rsidRPr="0D5662E2">
              <w:rPr>
                <w:sz w:val="24"/>
                <w:szCs w:val="24"/>
              </w:rPr>
              <w:t>create a clear, realistic plan, setting short</w:t>
            </w:r>
            <w:r w:rsidR="31B71ED4" w:rsidRPr="0D5662E2">
              <w:rPr>
                <w:sz w:val="24"/>
                <w:szCs w:val="24"/>
              </w:rPr>
              <w:t xml:space="preserve"> long-term goals and gathering needed to achieve them.  This unit supports self-</w:t>
            </w:r>
            <w:r w:rsidR="31B71ED4" w:rsidRPr="0D5662E2">
              <w:rPr>
                <w:sz w:val="24"/>
                <w:szCs w:val="24"/>
              </w:rPr>
              <w:lastRenderedPageBreak/>
              <w:t xml:space="preserve">reflection, ambition-setting, and the development of a positive approach to both personal and professional </w:t>
            </w:r>
            <w:r w:rsidR="5578BC9A" w:rsidRPr="0D5662E2">
              <w:rPr>
                <w:sz w:val="24"/>
                <w:szCs w:val="24"/>
              </w:rPr>
              <w:t>futures.</w:t>
            </w:r>
          </w:p>
        </w:tc>
        <w:tc>
          <w:tcPr>
            <w:tcW w:w="4677" w:type="dxa"/>
          </w:tcPr>
          <w:p w14:paraId="45D2F2FA" w14:textId="22EFF210" w:rsidR="00CC7505" w:rsidRPr="008748D2" w:rsidRDefault="00C50396" w:rsidP="004E2AF4">
            <w:pPr>
              <w:rPr>
                <w:rFonts w:cstheme="minorHAnsi"/>
                <w:bCs/>
                <w:sz w:val="24"/>
                <w:szCs w:val="24"/>
              </w:rPr>
            </w:pPr>
            <w:r w:rsidRPr="00C50396">
              <w:rPr>
                <w:rFonts w:cstheme="minorHAnsi"/>
                <w:bCs/>
                <w:sz w:val="24"/>
                <w:szCs w:val="24"/>
              </w:rPr>
              <w:lastRenderedPageBreak/>
              <w:t xml:space="preserve">In Unit A2, students begin by identifying their career goals and next steps during independent careers guidance sessions. Using the action plan developed from these sessions, they conduct research on their desired careers to understand necessary qualifications and skill sets. With this foundation, students create a detailed progression plan that outlines the steps needed to meet their goals, including identifying key skills and qualifications required to reach their intended outcomes. </w:t>
            </w:r>
            <w:r w:rsidRPr="00C50396">
              <w:rPr>
                <w:rFonts w:cstheme="minorHAnsi"/>
                <w:bCs/>
                <w:sz w:val="24"/>
                <w:szCs w:val="24"/>
              </w:rPr>
              <w:lastRenderedPageBreak/>
              <w:t>This process ensures that students are informed, focused, and equipped to pursue their future aspirations.</w:t>
            </w:r>
          </w:p>
        </w:tc>
      </w:tr>
      <w:tr w:rsidR="00A0231F" w14:paraId="5CFD32CB" w14:textId="77777777" w:rsidTr="7FB565E1">
        <w:tc>
          <w:tcPr>
            <w:tcW w:w="993" w:type="dxa"/>
            <w:vMerge w:val="restart"/>
          </w:tcPr>
          <w:p w14:paraId="7383CAD5" w14:textId="671BA974" w:rsidR="00A0231F" w:rsidRDefault="00A0231F" w:rsidP="00E33C75">
            <w:pPr>
              <w:jc w:val="center"/>
              <w:rPr>
                <w:rFonts w:cstheme="minorHAnsi"/>
                <w:bCs/>
                <w:sz w:val="24"/>
                <w:szCs w:val="24"/>
              </w:rPr>
            </w:pPr>
            <w:r>
              <w:rPr>
                <w:rFonts w:cstheme="minorHAnsi"/>
                <w:bCs/>
                <w:sz w:val="24"/>
                <w:szCs w:val="24"/>
              </w:rPr>
              <w:lastRenderedPageBreak/>
              <w:t xml:space="preserve">Year </w:t>
            </w:r>
            <w:r w:rsidR="003F0161">
              <w:rPr>
                <w:rFonts w:cstheme="minorHAnsi"/>
                <w:bCs/>
                <w:sz w:val="24"/>
                <w:szCs w:val="24"/>
              </w:rPr>
              <w:t>6</w:t>
            </w:r>
          </w:p>
          <w:p w14:paraId="3C91E60C" w14:textId="77777777" w:rsidR="00A0231F" w:rsidRDefault="00A0231F" w:rsidP="00E33C75">
            <w:pPr>
              <w:jc w:val="center"/>
              <w:rPr>
                <w:rFonts w:cstheme="minorHAnsi"/>
                <w:bCs/>
                <w:sz w:val="24"/>
                <w:szCs w:val="24"/>
              </w:rPr>
            </w:pPr>
          </w:p>
          <w:p w14:paraId="78C5B875" w14:textId="77777777" w:rsidR="00A0231F" w:rsidRDefault="00A0231F" w:rsidP="00E33C75">
            <w:pPr>
              <w:jc w:val="center"/>
              <w:rPr>
                <w:rFonts w:cstheme="minorHAnsi"/>
                <w:bCs/>
                <w:sz w:val="24"/>
                <w:szCs w:val="24"/>
              </w:rPr>
            </w:pPr>
          </w:p>
          <w:p w14:paraId="123CC93A" w14:textId="77777777" w:rsidR="00A0231F" w:rsidRDefault="00A0231F" w:rsidP="00E33C75">
            <w:pPr>
              <w:jc w:val="center"/>
              <w:rPr>
                <w:rFonts w:cstheme="minorHAnsi"/>
                <w:bCs/>
                <w:sz w:val="24"/>
                <w:szCs w:val="24"/>
              </w:rPr>
            </w:pPr>
          </w:p>
          <w:p w14:paraId="700AE44C" w14:textId="14E97703" w:rsidR="00A0231F" w:rsidRDefault="00A0231F" w:rsidP="00E03F1E">
            <w:pPr>
              <w:rPr>
                <w:rFonts w:cstheme="minorHAnsi"/>
                <w:bCs/>
                <w:sz w:val="24"/>
                <w:szCs w:val="24"/>
              </w:rPr>
            </w:pPr>
          </w:p>
        </w:tc>
        <w:tc>
          <w:tcPr>
            <w:tcW w:w="4253" w:type="dxa"/>
          </w:tcPr>
          <w:p w14:paraId="39FAE20A" w14:textId="075CFB67" w:rsidR="00A0231F" w:rsidRPr="004E2AF4" w:rsidRDefault="00A0231F" w:rsidP="009C1719">
            <w:pPr>
              <w:rPr>
                <w:rFonts w:cstheme="minorHAnsi"/>
                <w:b/>
                <w:sz w:val="24"/>
                <w:szCs w:val="24"/>
              </w:rPr>
            </w:pPr>
            <w:r w:rsidRPr="004E2AF4">
              <w:rPr>
                <w:rFonts w:cstheme="minorHAnsi"/>
                <w:b/>
                <w:sz w:val="24"/>
                <w:szCs w:val="24"/>
              </w:rPr>
              <w:t>Pre-Vocational Study Unit</w:t>
            </w:r>
            <w:r>
              <w:rPr>
                <w:rFonts w:cstheme="minorHAnsi"/>
                <w:b/>
                <w:sz w:val="24"/>
                <w:szCs w:val="24"/>
              </w:rPr>
              <w:t xml:space="preserve"> 2: Following Instructions to Carry Out a Task (EL2)</w:t>
            </w:r>
          </w:p>
          <w:p w14:paraId="2CDDC374" w14:textId="5AD0B6B0" w:rsidR="00A0231F" w:rsidRDefault="00A0231F" w:rsidP="00816A68">
            <w:pPr>
              <w:rPr>
                <w:rFonts w:cstheme="minorHAnsi"/>
                <w:bCs/>
                <w:sz w:val="24"/>
                <w:szCs w:val="24"/>
              </w:rPr>
            </w:pPr>
          </w:p>
        </w:tc>
        <w:tc>
          <w:tcPr>
            <w:tcW w:w="4677" w:type="dxa"/>
          </w:tcPr>
          <w:p w14:paraId="07DC226F" w14:textId="77777777" w:rsidR="00482C8D" w:rsidRPr="00E858A7" w:rsidRDefault="00482C8D" w:rsidP="00482C8D">
            <w:pPr>
              <w:rPr>
                <w:rFonts w:cstheme="minorHAnsi"/>
                <w:b/>
                <w:sz w:val="24"/>
                <w:szCs w:val="24"/>
              </w:rPr>
            </w:pPr>
            <w:r w:rsidRPr="00E858A7">
              <w:rPr>
                <w:rFonts w:cstheme="minorHAnsi"/>
                <w:b/>
                <w:sz w:val="24"/>
                <w:szCs w:val="24"/>
              </w:rPr>
              <w:t>A4 Mandatory BTEC Unit Researching a topic (Level 1)</w:t>
            </w:r>
          </w:p>
          <w:p w14:paraId="529FF169" w14:textId="4C8C11CE" w:rsidR="00A0231F" w:rsidRDefault="00A0231F" w:rsidP="00D30C9F">
            <w:pPr>
              <w:rPr>
                <w:rFonts w:cstheme="minorHAnsi"/>
                <w:bCs/>
                <w:sz w:val="24"/>
                <w:szCs w:val="24"/>
              </w:rPr>
            </w:pPr>
            <w:r>
              <w:rPr>
                <w:rFonts w:cstheme="minorHAnsi"/>
                <w:bCs/>
                <w:sz w:val="24"/>
                <w:szCs w:val="24"/>
              </w:rPr>
              <w:t xml:space="preserve">                                                       </w:t>
            </w:r>
          </w:p>
        </w:tc>
      </w:tr>
      <w:tr w:rsidR="00B62860" w14:paraId="7EA6D1B7" w14:textId="77777777" w:rsidTr="7FB565E1">
        <w:tc>
          <w:tcPr>
            <w:tcW w:w="993" w:type="dxa"/>
            <w:vMerge/>
          </w:tcPr>
          <w:p w14:paraId="044E2E6C" w14:textId="77777777" w:rsidR="00B62860" w:rsidRDefault="00B62860" w:rsidP="00E33C75">
            <w:pPr>
              <w:jc w:val="center"/>
              <w:rPr>
                <w:rFonts w:cstheme="minorHAnsi"/>
                <w:bCs/>
                <w:sz w:val="24"/>
                <w:szCs w:val="24"/>
              </w:rPr>
            </w:pPr>
          </w:p>
        </w:tc>
        <w:tc>
          <w:tcPr>
            <w:tcW w:w="4253" w:type="dxa"/>
          </w:tcPr>
          <w:p w14:paraId="4657A932" w14:textId="03D402D4" w:rsidR="00B62860" w:rsidRPr="00C52AB0" w:rsidRDefault="7FBDFB9A" w:rsidP="0D5662E2">
            <w:r w:rsidRPr="0D5662E2">
              <w:rPr>
                <w:rFonts w:ascii="Calibri" w:eastAsia="Calibri" w:hAnsi="Calibri" w:cs="Calibri"/>
                <w:sz w:val="24"/>
                <w:szCs w:val="24"/>
              </w:rPr>
              <w:t>This unit helps students develop the essential skill of following instructions accurately and reliably, a crucial ability for both daily life and the workplace. Key skills include identifying and focusing on key information, completing tasks step-by-step, and using resources such as diagrams, lists, and verbal directions. Students are also encouraged to review their performance, recognise successes and challenges, and understand how to improve their approach in the future. These skills enhance independence, confidence, and employability.</w:t>
            </w:r>
          </w:p>
        </w:tc>
        <w:tc>
          <w:tcPr>
            <w:tcW w:w="4677" w:type="dxa"/>
          </w:tcPr>
          <w:p w14:paraId="2C02B357" w14:textId="20FC15DE" w:rsidR="00B62860" w:rsidRPr="00FF4595" w:rsidRDefault="7FBDFB9A" w:rsidP="0D5662E2">
            <w:r w:rsidRPr="0D5662E2">
              <w:rPr>
                <w:rFonts w:ascii="Calibri" w:eastAsia="Calibri" w:hAnsi="Calibri" w:cs="Calibri"/>
                <w:sz w:val="24"/>
                <w:szCs w:val="24"/>
              </w:rPr>
              <w:t>This unit helps learners develop basic research skills by selecting a topic, gathering information from multiple sources, and tracking progress in a research log, culminating in a presentation of their findings.  Students also explore their transition to post-19 education or training, researching chosen pathways, required qualifications, career opportunities, and travel arrangements.  They reflect on how the transition may impact their EHCP, summarise the application process for their next steps, and identify opportunities for community involvement to enhance their cultural capital.</w:t>
            </w:r>
          </w:p>
        </w:tc>
      </w:tr>
      <w:tr w:rsidR="00A0231F" w14:paraId="48F78D8F" w14:textId="77777777" w:rsidTr="7FB565E1">
        <w:tc>
          <w:tcPr>
            <w:tcW w:w="993" w:type="dxa"/>
            <w:vMerge w:val="restart"/>
          </w:tcPr>
          <w:p w14:paraId="7731E83F" w14:textId="648F686D" w:rsidR="00A0231F" w:rsidRDefault="00A0231F" w:rsidP="00E33C75">
            <w:pPr>
              <w:jc w:val="center"/>
              <w:rPr>
                <w:rFonts w:cstheme="minorHAnsi"/>
                <w:bCs/>
                <w:sz w:val="24"/>
                <w:szCs w:val="24"/>
              </w:rPr>
            </w:pPr>
            <w:r>
              <w:rPr>
                <w:rFonts w:cstheme="minorHAnsi"/>
                <w:bCs/>
                <w:sz w:val="24"/>
                <w:szCs w:val="24"/>
              </w:rPr>
              <w:t xml:space="preserve">Year </w:t>
            </w:r>
            <w:r w:rsidR="003F0161">
              <w:rPr>
                <w:rFonts w:cstheme="minorHAnsi"/>
                <w:bCs/>
                <w:sz w:val="24"/>
                <w:szCs w:val="24"/>
              </w:rPr>
              <w:t>7</w:t>
            </w:r>
          </w:p>
          <w:p w14:paraId="789273EE" w14:textId="78E10D74" w:rsidR="00A0231F" w:rsidRDefault="00A0231F" w:rsidP="00E33C75">
            <w:pPr>
              <w:jc w:val="center"/>
              <w:rPr>
                <w:rFonts w:cstheme="minorHAnsi"/>
                <w:bCs/>
                <w:sz w:val="24"/>
                <w:szCs w:val="24"/>
              </w:rPr>
            </w:pPr>
          </w:p>
        </w:tc>
        <w:tc>
          <w:tcPr>
            <w:tcW w:w="4253" w:type="dxa"/>
          </w:tcPr>
          <w:p w14:paraId="5C7D1488" w14:textId="4603B76A" w:rsidR="00A0231F" w:rsidRDefault="00A0231F" w:rsidP="00C2512F">
            <w:pPr>
              <w:rPr>
                <w:rFonts w:cstheme="minorHAnsi"/>
                <w:b/>
                <w:sz w:val="24"/>
                <w:szCs w:val="24"/>
              </w:rPr>
            </w:pPr>
            <w:r w:rsidRPr="004E2AF4">
              <w:rPr>
                <w:rFonts w:cstheme="minorHAnsi"/>
                <w:b/>
                <w:sz w:val="24"/>
                <w:szCs w:val="24"/>
              </w:rPr>
              <w:t xml:space="preserve">Pre-Vocational Study Unit </w:t>
            </w:r>
            <w:r>
              <w:rPr>
                <w:rFonts w:cstheme="minorHAnsi"/>
                <w:b/>
                <w:sz w:val="24"/>
                <w:szCs w:val="24"/>
              </w:rPr>
              <w:t>11: Communicating with Others (EL2)</w:t>
            </w:r>
          </w:p>
          <w:p w14:paraId="480DE54E" w14:textId="4F7CD713" w:rsidR="00A0231F" w:rsidRDefault="00A0231F" w:rsidP="00816A68">
            <w:pPr>
              <w:rPr>
                <w:rFonts w:cstheme="minorHAnsi"/>
                <w:bCs/>
                <w:sz w:val="24"/>
                <w:szCs w:val="24"/>
              </w:rPr>
            </w:pPr>
          </w:p>
        </w:tc>
        <w:tc>
          <w:tcPr>
            <w:tcW w:w="4677" w:type="dxa"/>
          </w:tcPr>
          <w:p w14:paraId="0E47DFB6" w14:textId="77777777" w:rsidR="00A0231F" w:rsidRPr="00E858A7" w:rsidRDefault="00A0231F" w:rsidP="00000E88">
            <w:pPr>
              <w:rPr>
                <w:rFonts w:cstheme="minorHAnsi"/>
                <w:b/>
                <w:sz w:val="24"/>
                <w:szCs w:val="24"/>
              </w:rPr>
            </w:pPr>
            <w:r w:rsidRPr="00E858A7">
              <w:rPr>
                <w:rFonts w:cstheme="minorHAnsi"/>
                <w:b/>
                <w:sz w:val="24"/>
                <w:szCs w:val="24"/>
              </w:rPr>
              <w:t>A4 Mandatory BTEC Unit Researching a topic (Level 1)</w:t>
            </w:r>
          </w:p>
          <w:p w14:paraId="5822C54A" w14:textId="74AAC93B" w:rsidR="00A0231F" w:rsidRDefault="00A0231F" w:rsidP="00AA27F9">
            <w:pPr>
              <w:rPr>
                <w:rFonts w:cstheme="minorHAnsi"/>
                <w:bCs/>
                <w:sz w:val="24"/>
                <w:szCs w:val="24"/>
              </w:rPr>
            </w:pPr>
          </w:p>
        </w:tc>
      </w:tr>
      <w:tr w:rsidR="008A5775" w14:paraId="61848861" w14:textId="77777777" w:rsidTr="7FB565E1">
        <w:tc>
          <w:tcPr>
            <w:tcW w:w="993" w:type="dxa"/>
            <w:vMerge/>
          </w:tcPr>
          <w:p w14:paraId="1FFE6A3C" w14:textId="77777777" w:rsidR="008A5775" w:rsidRDefault="008A5775" w:rsidP="00E33C75">
            <w:pPr>
              <w:jc w:val="center"/>
              <w:rPr>
                <w:rFonts w:cstheme="minorHAnsi"/>
                <w:bCs/>
                <w:sz w:val="24"/>
                <w:szCs w:val="24"/>
              </w:rPr>
            </w:pPr>
          </w:p>
        </w:tc>
        <w:tc>
          <w:tcPr>
            <w:tcW w:w="4253" w:type="dxa"/>
          </w:tcPr>
          <w:p w14:paraId="7E3E4EFE" w14:textId="77907192" w:rsidR="008A5775" w:rsidRPr="008A5775" w:rsidRDefault="7646BE12" w:rsidP="0D5662E2">
            <w:r w:rsidRPr="0D5662E2">
              <w:rPr>
                <w:rFonts w:ascii="Calibri" w:eastAsia="Calibri" w:hAnsi="Calibri" w:cs="Calibri"/>
                <w:sz w:val="24"/>
                <w:szCs w:val="24"/>
              </w:rPr>
              <w:t>This unit develops essential communication skills for personal, academic, and employment contexts. Students practise giving and receiving information, understanding different communication techniques, and adapting their language and approach to suit the audience and purpose.  Activities such as role-play, discussions, and presentations help students convey meaning effectively in both informal and formal settings.  The unit also enhances verbal and non-verbal skills, empowering learners to interact confidently and appropriately in a variety of situations.</w:t>
            </w:r>
          </w:p>
        </w:tc>
        <w:tc>
          <w:tcPr>
            <w:tcW w:w="4677" w:type="dxa"/>
          </w:tcPr>
          <w:p w14:paraId="37696640" w14:textId="4D0E3C35" w:rsidR="008A5775" w:rsidRPr="00FF4595" w:rsidRDefault="7646BE12" w:rsidP="0D5662E2">
            <w:r w:rsidRPr="23122070">
              <w:rPr>
                <w:rFonts w:ascii="Calibri" w:eastAsia="Calibri" w:hAnsi="Calibri" w:cs="Calibri"/>
                <w:sz w:val="24"/>
                <w:szCs w:val="24"/>
              </w:rPr>
              <w:t xml:space="preserve">This unit helps </w:t>
            </w:r>
            <w:r w:rsidR="2611A114" w:rsidRPr="23122070">
              <w:rPr>
                <w:rFonts w:ascii="Calibri" w:eastAsia="Calibri" w:hAnsi="Calibri" w:cs="Calibri"/>
                <w:sz w:val="24"/>
                <w:szCs w:val="24"/>
              </w:rPr>
              <w:t>student</w:t>
            </w:r>
            <w:r w:rsidRPr="23122070">
              <w:rPr>
                <w:rFonts w:ascii="Calibri" w:eastAsia="Calibri" w:hAnsi="Calibri" w:cs="Calibri"/>
                <w:sz w:val="24"/>
                <w:szCs w:val="24"/>
              </w:rPr>
              <w:t xml:space="preserve">s develop basic research skills by selecting a topic, gathering information from multiple sources, and tracking their progress in a research log, culminating in a presentation of their findings.  Students also explore their transition to </w:t>
            </w:r>
            <w:proofErr w:type="gramStart"/>
            <w:r w:rsidRPr="23122070">
              <w:rPr>
                <w:rFonts w:ascii="Calibri" w:eastAsia="Calibri" w:hAnsi="Calibri" w:cs="Calibri"/>
                <w:sz w:val="24"/>
                <w:szCs w:val="24"/>
              </w:rPr>
              <w:t>Post-19</w:t>
            </w:r>
            <w:proofErr w:type="gramEnd"/>
            <w:r w:rsidRPr="23122070">
              <w:rPr>
                <w:rFonts w:ascii="Calibri" w:eastAsia="Calibri" w:hAnsi="Calibri" w:cs="Calibri"/>
                <w:sz w:val="24"/>
                <w:szCs w:val="24"/>
              </w:rPr>
              <w:t xml:space="preserve"> education or training, researching pathways, required qualifications, career opportunities, and travel arrangements.  They reflect on how the transition may affect their EHCP, summarise the application process for their next steps, and identify opportunities for community involvement to enhance their cultural capital.</w:t>
            </w:r>
          </w:p>
        </w:tc>
      </w:tr>
      <w:tr w:rsidR="00F36F03" w14:paraId="019E347F" w14:textId="77777777" w:rsidTr="7FB565E1">
        <w:tc>
          <w:tcPr>
            <w:tcW w:w="993" w:type="dxa"/>
            <w:vMerge w:val="restart"/>
          </w:tcPr>
          <w:p w14:paraId="5BFE9372" w14:textId="51FA2C2B" w:rsidR="00F36F03" w:rsidRDefault="0FFE83FF" w:rsidP="0D5662E2">
            <w:pPr>
              <w:jc w:val="center"/>
              <w:rPr>
                <w:sz w:val="24"/>
                <w:szCs w:val="24"/>
              </w:rPr>
            </w:pPr>
            <w:r w:rsidRPr="0D5662E2">
              <w:rPr>
                <w:sz w:val="24"/>
                <w:szCs w:val="24"/>
              </w:rPr>
              <w:t xml:space="preserve">Year </w:t>
            </w:r>
            <w:r w:rsidR="66979A73" w:rsidRPr="0D5662E2">
              <w:rPr>
                <w:sz w:val="24"/>
                <w:szCs w:val="24"/>
              </w:rPr>
              <w:t>8</w:t>
            </w:r>
          </w:p>
        </w:tc>
        <w:tc>
          <w:tcPr>
            <w:tcW w:w="4253" w:type="dxa"/>
          </w:tcPr>
          <w:p w14:paraId="4AFBEC34" w14:textId="325A4FFC" w:rsidR="00F36F03" w:rsidRDefault="00F36F03" w:rsidP="00F36F03">
            <w:pPr>
              <w:rPr>
                <w:rFonts w:cstheme="minorHAnsi"/>
                <w:b/>
                <w:sz w:val="24"/>
                <w:szCs w:val="24"/>
              </w:rPr>
            </w:pPr>
            <w:r w:rsidRPr="004E2AF4">
              <w:rPr>
                <w:rFonts w:cstheme="minorHAnsi"/>
                <w:b/>
                <w:sz w:val="24"/>
                <w:szCs w:val="24"/>
              </w:rPr>
              <w:t xml:space="preserve">Pre-Vocational Study Unit </w:t>
            </w:r>
            <w:r>
              <w:rPr>
                <w:rFonts w:cstheme="minorHAnsi"/>
                <w:b/>
                <w:sz w:val="24"/>
                <w:szCs w:val="24"/>
              </w:rPr>
              <w:t>19: Producing a Document (EL2)</w:t>
            </w:r>
          </w:p>
          <w:p w14:paraId="085F81AD" w14:textId="37FB60B6" w:rsidR="00F36F03" w:rsidRDefault="00F36F03" w:rsidP="00F36F03">
            <w:pPr>
              <w:rPr>
                <w:rFonts w:cstheme="minorHAnsi"/>
                <w:bCs/>
                <w:sz w:val="24"/>
                <w:szCs w:val="24"/>
              </w:rPr>
            </w:pPr>
          </w:p>
        </w:tc>
        <w:tc>
          <w:tcPr>
            <w:tcW w:w="4677" w:type="dxa"/>
          </w:tcPr>
          <w:p w14:paraId="4A7B9209" w14:textId="285677F9" w:rsidR="00F36F03" w:rsidRPr="00000E88" w:rsidRDefault="00F36F03" w:rsidP="00F36F03">
            <w:pPr>
              <w:rPr>
                <w:rFonts w:cstheme="minorHAnsi"/>
                <w:b/>
                <w:sz w:val="24"/>
                <w:szCs w:val="24"/>
              </w:rPr>
            </w:pPr>
            <w:r w:rsidRPr="00000E88">
              <w:rPr>
                <w:rFonts w:cstheme="minorHAnsi"/>
                <w:b/>
                <w:sz w:val="24"/>
                <w:szCs w:val="24"/>
              </w:rPr>
              <w:t>Catch up work for Mandatory Units</w:t>
            </w:r>
            <w:r>
              <w:rPr>
                <w:rFonts w:cstheme="minorHAnsi"/>
                <w:b/>
                <w:sz w:val="24"/>
                <w:szCs w:val="24"/>
              </w:rPr>
              <w:t xml:space="preserve"> (Level 1)</w:t>
            </w:r>
          </w:p>
        </w:tc>
      </w:tr>
      <w:tr w:rsidR="00F36F03" w14:paraId="3D983500" w14:textId="77777777" w:rsidTr="7FB565E1">
        <w:trPr>
          <w:trHeight w:val="4380"/>
        </w:trPr>
        <w:tc>
          <w:tcPr>
            <w:tcW w:w="993" w:type="dxa"/>
            <w:vMerge/>
          </w:tcPr>
          <w:p w14:paraId="0E55E236" w14:textId="77777777" w:rsidR="00F36F03" w:rsidRDefault="00F36F03" w:rsidP="00F36F03">
            <w:pPr>
              <w:jc w:val="center"/>
              <w:rPr>
                <w:rFonts w:cstheme="minorHAnsi"/>
                <w:bCs/>
                <w:sz w:val="24"/>
                <w:szCs w:val="24"/>
              </w:rPr>
            </w:pPr>
          </w:p>
        </w:tc>
        <w:tc>
          <w:tcPr>
            <w:tcW w:w="4253" w:type="dxa"/>
          </w:tcPr>
          <w:p w14:paraId="0FD3E7A5" w14:textId="13DEE527" w:rsidR="00F36F03" w:rsidRPr="00E0269B" w:rsidRDefault="6342B6F8" w:rsidP="0D5662E2">
            <w:r w:rsidRPr="0D5662E2">
              <w:rPr>
                <w:rFonts w:ascii="Calibri" w:eastAsia="Calibri" w:hAnsi="Calibri" w:cs="Calibri"/>
                <w:sz w:val="24"/>
                <w:szCs w:val="24"/>
              </w:rPr>
              <w:t>This unit focuses on developing skills in planning, drafting, and presenting information in written form.  Students explore various document types, including CVs, forms, and reports, and gain an understanding of their purpose and structure.  They practice selecting relevant content, organising information, and formatting text for specific audiences. This unit enhances students’ ability to manage and communicate information effectively—an essential skill for both personal and professional contexts.</w:t>
            </w:r>
          </w:p>
        </w:tc>
        <w:tc>
          <w:tcPr>
            <w:tcW w:w="4677" w:type="dxa"/>
          </w:tcPr>
          <w:p w14:paraId="4F6A56FE" w14:textId="471F0044" w:rsidR="00F36F03" w:rsidRPr="0068696C" w:rsidRDefault="6342B6F8" w:rsidP="0D5662E2">
            <w:r w:rsidRPr="0D5662E2">
              <w:rPr>
                <w:rFonts w:ascii="Calibri" w:eastAsia="Calibri" w:hAnsi="Calibri" w:cs="Calibri"/>
                <w:sz w:val="24"/>
                <w:szCs w:val="24"/>
              </w:rPr>
              <w:t>In Year 14, students will have dedicated time to complete catch-up work for their BTEC Level 1 Introductory units. This structured support focuses on reinforcing key skills, including organisation, teamwork, personal planning, and research techniques.  Students will revisit essential tasks such as creating personal progression plans, improving time management using planners, and developing teamwork and communication strategies.  By completing outstanding work with targeted guidance, students will be better prepared for progression and equipped with practical skills for future education or employment.</w:t>
            </w:r>
          </w:p>
        </w:tc>
      </w:tr>
      <w:tr w:rsidR="00836DDB" w14:paraId="22ED8BC2" w14:textId="77777777" w:rsidTr="7FB565E1">
        <w:trPr>
          <w:gridAfter w:val="2"/>
          <w:wAfter w:w="8930" w:type="dxa"/>
          <w:trHeight w:val="293"/>
        </w:trPr>
        <w:tc>
          <w:tcPr>
            <w:tcW w:w="993" w:type="dxa"/>
            <w:vMerge/>
          </w:tcPr>
          <w:p w14:paraId="1F03C70D" w14:textId="77777777" w:rsidR="00836DDB" w:rsidRDefault="00836DDB" w:rsidP="00E33C75">
            <w:pPr>
              <w:jc w:val="center"/>
              <w:rPr>
                <w:rFonts w:cstheme="minorHAnsi"/>
                <w:bCs/>
                <w:sz w:val="24"/>
                <w:szCs w:val="24"/>
              </w:rPr>
            </w:pPr>
          </w:p>
        </w:tc>
      </w:tr>
    </w:tbl>
    <w:p w14:paraId="2EED94A7" w14:textId="77777777" w:rsidR="009907C3" w:rsidRDefault="009907C3">
      <w:pPr>
        <w:rPr>
          <w:rFonts w:cstheme="minorHAnsi"/>
          <w:b/>
          <w:sz w:val="28"/>
          <w:szCs w:val="28"/>
          <w:u w:val="single"/>
        </w:rPr>
      </w:pPr>
    </w:p>
    <w:p w14:paraId="1405A0B1" w14:textId="34CD6CD7" w:rsidR="008A21B6" w:rsidRDefault="008A21B6" w:rsidP="008A21B6">
      <w:pPr>
        <w:jc w:val="center"/>
        <w:rPr>
          <w:rFonts w:cstheme="minorHAnsi"/>
          <w:b/>
          <w:sz w:val="28"/>
          <w:szCs w:val="28"/>
          <w:u w:val="single"/>
        </w:rPr>
      </w:pPr>
      <w:r>
        <w:rPr>
          <w:rFonts w:cstheme="minorHAnsi"/>
          <w:b/>
          <w:sz w:val="28"/>
          <w:szCs w:val="28"/>
          <w:u w:val="single"/>
        </w:rPr>
        <w:t xml:space="preserve">Independence: </w:t>
      </w:r>
      <w:r w:rsidRPr="001D401D">
        <w:rPr>
          <w:rFonts w:cstheme="minorHAnsi"/>
          <w:b/>
          <w:sz w:val="28"/>
          <w:szCs w:val="28"/>
          <w:u w:val="single"/>
        </w:rPr>
        <w:t xml:space="preserve">Progression </w:t>
      </w:r>
      <w:r>
        <w:rPr>
          <w:rFonts w:cstheme="minorHAnsi"/>
          <w:b/>
          <w:sz w:val="28"/>
          <w:szCs w:val="28"/>
          <w:u w:val="single"/>
        </w:rPr>
        <w:t>Plan</w:t>
      </w:r>
    </w:p>
    <w:tbl>
      <w:tblPr>
        <w:tblStyle w:val="TableGrid"/>
        <w:tblW w:w="9351" w:type="dxa"/>
        <w:tblLook w:val="04A0" w:firstRow="1" w:lastRow="0" w:firstColumn="1" w:lastColumn="0" w:noHBand="0" w:noVBand="1"/>
      </w:tblPr>
      <w:tblGrid>
        <w:gridCol w:w="937"/>
        <w:gridCol w:w="4020"/>
        <w:gridCol w:w="4394"/>
      </w:tblGrid>
      <w:tr w:rsidR="00F370E2" w14:paraId="707096A0" w14:textId="77777777" w:rsidTr="7FB565E1">
        <w:tc>
          <w:tcPr>
            <w:tcW w:w="937" w:type="dxa"/>
            <w:shd w:val="clear" w:color="auto" w:fill="595959" w:themeFill="text1" w:themeFillTint="A6"/>
          </w:tcPr>
          <w:p w14:paraId="36F2665E" w14:textId="77777777" w:rsidR="00F370E2" w:rsidRDefault="00F370E2" w:rsidP="00E33C75">
            <w:pPr>
              <w:jc w:val="center"/>
              <w:rPr>
                <w:rFonts w:cstheme="minorHAnsi"/>
                <w:bCs/>
                <w:sz w:val="24"/>
                <w:szCs w:val="24"/>
              </w:rPr>
            </w:pPr>
          </w:p>
        </w:tc>
        <w:tc>
          <w:tcPr>
            <w:tcW w:w="4020" w:type="dxa"/>
          </w:tcPr>
          <w:p w14:paraId="231372C1" w14:textId="77777777" w:rsidR="00F370E2" w:rsidRPr="0031266F" w:rsidRDefault="00F370E2" w:rsidP="00E33C75">
            <w:pPr>
              <w:jc w:val="center"/>
              <w:rPr>
                <w:rFonts w:cstheme="minorHAnsi"/>
                <w:b/>
                <w:noProof/>
                <w:sz w:val="24"/>
                <w:szCs w:val="24"/>
              </w:rPr>
            </w:pPr>
            <w:r w:rsidRPr="0031266F">
              <w:rPr>
                <w:rFonts w:cstheme="minorHAnsi"/>
                <w:b/>
                <w:noProof/>
                <w:sz w:val="24"/>
                <w:szCs w:val="24"/>
              </w:rPr>
              <w:t>Explorers</w:t>
            </w:r>
          </w:p>
          <w:p w14:paraId="3C26168D" w14:textId="77777777" w:rsidR="00F370E2" w:rsidRDefault="00F370E2" w:rsidP="00E33C75">
            <w:pPr>
              <w:jc w:val="center"/>
              <w:rPr>
                <w:rFonts w:cstheme="minorHAnsi"/>
                <w:bCs/>
                <w:sz w:val="24"/>
                <w:szCs w:val="24"/>
              </w:rPr>
            </w:pPr>
            <w:r>
              <w:rPr>
                <w:rFonts w:cstheme="minorHAnsi"/>
                <w:bCs/>
                <w:noProof/>
                <w:sz w:val="24"/>
                <w:szCs w:val="24"/>
              </w:rPr>
              <w:drawing>
                <wp:inline distT="0" distB="0" distL="0" distR="0" wp14:anchorId="00FAB509" wp14:editId="02C5795D">
                  <wp:extent cx="1365250" cy="767613"/>
                  <wp:effectExtent l="0" t="0" r="6350" b="0"/>
                  <wp:docPr id="45" name="Picture 4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shap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8855" cy="775262"/>
                          </a:xfrm>
                          <a:prstGeom prst="rect">
                            <a:avLst/>
                          </a:prstGeom>
                          <a:noFill/>
                        </pic:spPr>
                      </pic:pic>
                    </a:graphicData>
                  </a:graphic>
                </wp:inline>
              </w:drawing>
            </w:r>
          </w:p>
        </w:tc>
        <w:tc>
          <w:tcPr>
            <w:tcW w:w="4394" w:type="dxa"/>
          </w:tcPr>
          <w:p w14:paraId="1C3C0128" w14:textId="77777777" w:rsidR="00F370E2" w:rsidRPr="0031266F" w:rsidRDefault="00F370E2" w:rsidP="00E33C75">
            <w:pPr>
              <w:jc w:val="center"/>
              <w:rPr>
                <w:rFonts w:cstheme="minorHAnsi"/>
                <w:b/>
                <w:sz w:val="24"/>
                <w:szCs w:val="24"/>
              </w:rPr>
            </w:pPr>
            <w:r w:rsidRPr="0031266F">
              <w:rPr>
                <w:rFonts w:cstheme="minorHAnsi"/>
                <w:b/>
                <w:sz w:val="24"/>
                <w:szCs w:val="24"/>
              </w:rPr>
              <w:t>Navigators</w:t>
            </w:r>
          </w:p>
          <w:p w14:paraId="45051E84" w14:textId="77777777" w:rsidR="00F370E2" w:rsidRDefault="00F370E2" w:rsidP="00E33C75">
            <w:pPr>
              <w:jc w:val="center"/>
              <w:rPr>
                <w:rFonts w:cstheme="minorHAnsi"/>
                <w:bCs/>
                <w:sz w:val="24"/>
                <w:szCs w:val="24"/>
              </w:rPr>
            </w:pPr>
            <w:r>
              <w:rPr>
                <w:rFonts w:cstheme="minorHAnsi"/>
                <w:bCs/>
                <w:noProof/>
                <w:sz w:val="24"/>
                <w:szCs w:val="24"/>
              </w:rPr>
              <w:drawing>
                <wp:inline distT="0" distB="0" distL="0" distR="0" wp14:anchorId="6B70F679" wp14:editId="58CA2A24">
                  <wp:extent cx="812800" cy="764994"/>
                  <wp:effectExtent l="0" t="0" r="6350" b="0"/>
                  <wp:docPr id="46" name="Picture 46"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Text, whiteboard&#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151" cy="776619"/>
                          </a:xfrm>
                          <a:prstGeom prst="rect">
                            <a:avLst/>
                          </a:prstGeom>
                          <a:noFill/>
                        </pic:spPr>
                      </pic:pic>
                    </a:graphicData>
                  </a:graphic>
                </wp:inline>
              </w:drawing>
            </w:r>
          </w:p>
        </w:tc>
      </w:tr>
      <w:tr w:rsidR="008306E5" w14:paraId="6F547F7C" w14:textId="77777777" w:rsidTr="7FB565E1">
        <w:tc>
          <w:tcPr>
            <w:tcW w:w="937" w:type="dxa"/>
          </w:tcPr>
          <w:p w14:paraId="2A4F6ED0" w14:textId="5A0C1E76" w:rsidR="008306E5" w:rsidRDefault="008306E5" w:rsidP="00E33C75">
            <w:pPr>
              <w:jc w:val="center"/>
              <w:rPr>
                <w:rFonts w:cstheme="minorHAnsi"/>
                <w:bCs/>
                <w:sz w:val="24"/>
                <w:szCs w:val="24"/>
              </w:rPr>
            </w:pPr>
            <w:r>
              <w:rPr>
                <w:rFonts w:cstheme="minorHAnsi"/>
                <w:bCs/>
                <w:sz w:val="24"/>
                <w:szCs w:val="24"/>
              </w:rPr>
              <w:t>Year 1</w:t>
            </w:r>
          </w:p>
        </w:tc>
        <w:tc>
          <w:tcPr>
            <w:tcW w:w="8414" w:type="dxa"/>
            <w:gridSpan w:val="2"/>
            <w:vMerge w:val="restart"/>
          </w:tcPr>
          <w:p w14:paraId="3A1C6B7D" w14:textId="2233DA94" w:rsidR="008306E5" w:rsidRDefault="4BD1844A" w:rsidP="0D5662E2">
            <w:r w:rsidRPr="0D5662E2">
              <w:rPr>
                <w:rFonts w:ascii="Calibri" w:eastAsia="Calibri" w:hAnsi="Calibri" w:cs="Calibri"/>
                <w:sz w:val="24"/>
                <w:szCs w:val="24"/>
              </w:rPr>
              <w:t xml:space="preserve">At Key Stage 3, the development of independence skills is woven throughout the curriculum, particularly in PSHE, Computing, and the Votes for Schools programme.  In PSHE, students examine personal responsibility, decision-making, and self-management, laying a strong foundation for informed life choices and an understanding of independence in daily life.  Computing lessons foster digital literacy, covering online safety, digital communication, and the responsible use of technology - essential skills for navigating an increasingly digital world with confidence and autonomy.  The Votes for Schools programme </w:t>
            </w:r>
            <w:proofErr w:type="gramStart"/>
            <w:r w:rsidRPr="0D5662E2">
              <w:rPr>
                <w:rFonts w:ascii="Calibri" w:eastAsia="Calibri" w:hAnsi="Calibri" w:cs="Calibri"/>
                <w:sz w:val="24"/>
                <w:szCs w:val="24"/>
              </w:rPr>
              <w:t>encourages</w:t>
            </w:r>
            <w:proofErr w:type="gramEnd"/>
            <w:r w:rsidRPr="0D5662E2">
              <w:rPr>
                <w:rFonts w:ascii="Calibri" w:eastAsia="Calibri" w:hAnsi="Calibri" w:cs="Calibri"/>
                <w:sz w:val="24"/>
                <w:szCs w:val="24"/>
              </w:rPr>
              <w:t xml:space="preserve"> students to express their views, engage in debates on current issues, and explore civic responsibility, empowering them to think critically and contribute meaningfully to society.  This cross-curricular approach cultivates independence by developing students’ skills, confidence, and awareness, equipping them to face real-life challenges and achieve future success.</w:t>
            </w:r>
          </w:p>
        </w:tc>
      </w:tr>
      <w:tr w:rsidR="008306E5" w14:paraId="2355C839" w14:textId="77777777" w:rsidTr="7FB565E1">
        <w:tc>
          <w:tcPr>
            <w:tcW w:w="937" w:type="dxa"/>
          </w:tcPr>
          <w:p w14:paraId="17ABB987" w14:textId="07662CEB" w:rsidR="008306E5" w:rsidRDefault="008306E5" w:rsidP="00E33C75">
            <w:pPr>
              <w:jc w:val="center"/>
              <w:rPr>
                <w:rFonts w:cstheme="minorHAnsi"/>
                <w:bCs/>
                <w:sz w:val="24"/>
                <w:szCs w:val="24"/>
              </w:rPr>
            </w:pPr>
            <w:r>
              <w:rPr>
                <w:rFonts w:cstheme="minorHAnsi"/>
                <w:bCs/>
                <w:sz w:val="24"/>
                <w:szCs w:val="24"/>
              </w:rPr>
              <w:t>Year 2</w:t>
            </w:r>
          </w:p>
        </w:tc>
        <w:tc>
          <w:tcPr>
            <w:tcW w:w="8414" w:type="dxa"/>
            <w:gridSpan w:val="2"/>
            <w:vMerge/>
          </w:tcPr>
          <w:p w14:paraId="094B284D" w14:textId="77777777" w:rsidR="008306E5" w:rsidRDefault="008306E5" w:rsidP="001F375F">
            <w:pPr>
              <w:rPr>
                <w:rFonts w:cstheme="minorHAnsi"/>
                <w:bCs/>
                <w:sz w:val="24"/>
                <w:szCs w:val="24"/>
              </w:rPr>
            </w:pPr>
          </w:p>
        </w:tc>
      </w:tr>
      <w:tr w:rsidR="008306E5" w14:paraId="6EB5E001" w14:textId="77777777" w:rsidTr="7FB565E1">
        <w:tc>
          <w:tcPr>
            <w:tcW w:w="937" w:type="dxa"/>
          </w:tcPr>
          <w:p w14:paraId="2CEEF9AA" w14:textId="29D506B4" w:rsidR="008306E5" w:rsidRDefault="008306E5" w:rsidP="00E33C75">
            <w:pPr>
              <w:jc w:val="center"/>
              <w:rPr>
                <w:rFonts w:cstheme="minorHAnsi"/>
                <w:bCs/>
                <w:sz w:val="24"/>
                <w:szCs w:val="24"/>
              </w:rPr>
            </w:pPr>
            <w:r>
              <w:rPr>
                <w:rFonts w:cstheme="minorHAnsi"/>
                <w:bCs/>
                <w:sz w:val="24"/>
                <w:szCs w:val="24"/>
              </w:rPr>
              <w:t>Year 3</w:t>
            </w:r>
          </w:p>
        </w:tc>
        <w:tc>
          <w:tcPr>
            <w:tcW w:w="8414" w:type="dxa"/>
            <w:gridSpan w:val="2"/>
            <w:vMerge/>
          </w:tcPr>
          <w:p w14:paraId="20EAE73D" w14:textId="77777777" w:rsidR="008306E5" w:rsidRDefault="008306E5" w:rsidP="001F375F">
            <w:pPr>
              <w:rPr>
                <w:rFonts w:cstheme="minorHAnsi"/>
                <w:bCs/>
                <w:sz w:val="24"/>
                <w:szCs w:val="24"/>
              </w:rPr>
            </w:pPr>
          </w:p>
        </w:tc>
      </w:tr>
      <w:tr w:rsidR="000478FD" w14:paraId="6789EDA3" w14:textId="77777777" w:rsidTr="7FB565E1">
        <w:tc>
          <w:tcPr>
            <w:tcW w:w="937" w:type="dxa"/>
            <w:vMerge w:val="restart"/>
          </w:tcPr>
          <w:p w14:paraId="525F8631" w14:textId="010F317B" w:rsidR="000478FD" w:rsidRDefault="000478FD" w:rsidP="0056654F">
            <w:pPr>
              <w:jc w:val="center"/>
              <w:rPr>
                <w:rFonts w:cstheme="minorHAnsi"/>
                <w:bCs/>
                <w:sz w:val="24"/>
                <w:szCs w:val="24"/>
              </w:rPr>
            </w:pPr>
            <w:r>
              <w:rPr>
                <w:rFonts w:cstheme="minorHAnsi"/>
                <w:bCs/>
                <w:sz w:val="24"/>
                <w:szCs w:val="24"/>
              </w:rPr>
              <w:t xml:space="preserve">Year </w:t>
            </w:r>
            <w:r w:rsidR="003F0161">
              <w:rPr>
                <w:rFonts w:cstheme="minorHAnsi"/>
                <w:bCs/>
                <w:sz w:val="24"/>
                <w:szCs w:val="24"/>
              </w:rPr>
              <w:t>4</w:t>
            </w:r>
          </w:p>
        </w:tc>
        <w:tc>
          <w:tcPr>
            <w:tcW w:w="4020" w:type="dxa"/>
          </w:tcPr>
          <w:p w14:paraId="1D02F003" w14:textId="1ADFA2C9" w:rsidR="000478FD" w:rsidRPr="00A070CD" w:rsidRDefault="0BECDC67" w:rsidP="7FB565E1">
            <w:pPr>
              <w:rPr>
                <w:b/>
                <w:bCs/>
                <w:sz w:val="24"/>
                <w:szCs w:val="24"/>
              </w:rPr>
            </w:pPr>
            <w:r w:rsidRPr="7FB565E1">
              <w:rPr>
                <w:b/>
                <w:bCs/>
                <w:sz w:val="24"/>
                <w:szCs w:val="24"/>
              </w:rPr>
              <w:t xml:space="preserve">Pre-Vocational Study Unit 1: Adapting to New Situations (EL2)   </w:t>
            </w:r>
            <w:r w:rsidRPr="7FB565E1">
              <w:rPr>
                <w:sz w:val="24"/>
                <w:szCs w:val="24"/>
              </w:rPr>
              <w:t xml:space="preserve">            </w:t>
            </w:r>
          </w:p>
        </w:tc>
        <w:tc>
          <w:tcPr>
            <w:tcW w:w="4394" w:type="dxa"/>
          </w:tcPr>
          <w:p w14:paraId="3C11B8F0" w14:textId="77777777" w:rsidR="001F4B75" w:rsidRPr="004E2AF4" w:rsidRDefault="001F4B75" w:rsidP="001F4B75">
            <w:pPr>
              <w:rPr>
                <w:rFonts w:cstheme="minorHAnsi"/>
                <w:b/>
                <w:sz w:val="24"/>
                <w:szCs w:val="24"/>
              </w:rPr>
            </w:pPr>
            <w:r w:rsidRPr="004E2AF4">
              <w:rPr>
                <w:rFonts w:cstheme="minorHAnsi"/>
                <w:b/>
                <w:sz w:val="24"/>
                <w:szCs w:val="24"/>
              </w:rPr>
              <w:t>A1 Mandatory BTEC Unit: Being Organised (Level 1)</w:t>
            </w:r>
          </w:p>
          <w:p w14:paraId="14BE6734" w14:textId="7E7B8C7D" w:rsidR="000478FD" w:rsidRDefault="000478FD" w:rsidP="0056654F">
            <w:pPr>
              <w:rPr>
                <w:rFonts w:cstheme="minorHAnsi"/>
                <w:bCs/>
                <w:sz w:val="24"/>
                <w:szCs w:val="24"/>
              </w:rPr>
            </w:pPr>
          </w:p>
        </w:tc>
      </w:tr>
      <w:tr w:rsidR="00E0269B" w14:paraId="71BE44F7" w14:textId="77777777" w:rsidTr="7FB565E1">
        <w:tc>
          <w:tcPr>
            <w:tcW w:w="937" w:type="dxa"/>
            <w:vMerge/>
          </w:tcPr>
          <w:p w14:paraId="02A4E8E4" w14:textId="77777777" w:rsidR="00E0269B" w:rsidRDefault="00E0269B" w:rsidP="0056654F">
            <w:pPr>
              <w:jc w:val="center"/>
              <w:rPr>
                <w:rFonts w:cstheme="minorHAnsi"/>
                <w:bCs/>
                <w:sz w:val="24"/>
                <w:szCs w:val="24"/>
              </w:rPr>
            </w:pPr>
          </w:p>
        </w:tc>
        <w:tc>
          <w:tcPr>
            <w:tcW w:w="4020" w:type="dxa"/>
          </w:tcPr>
          <w:p w14:paraId="0B872509" w14:textId="3C5DA761" w:rsidR="00E0269B" w:rsidRPr="00B017C5" w:rsidRDefault="408C17EA" w:rsidP="0D5662E2">
            <w:pPr>
              <w:rPr>
                <w:sz w:val="24"/>
                <w:szCs w:val="24"/>
              </w:rPr>
            </w:pPr>
            <w:r w:rsidRPr="0D5662E2">
              <w:rPr>
                <w:sz w:val="24"/>
                <w:szCs w:val="24"/>
              </w:rPr>
              <w:t xml:space="preserve">This unit helps </w:t>
            </w:r>
            <w:r w:rsidR="3C57F054" w:rsidRPr="0D5662E2">
              <w:rPr>
                <w:sz w:val="24"/>
                <w:szCs w:val="24"/>
              </w:rPr>
              <w:t>students</w:t>
            </w:r>
            <w:r w:rsidRPr="0D5662E2">
              <w:rPr>
                <w:sz w:val="24"/>
                <w:szCs w:val="24"/>
              </w:rPr>
              <w:t xml:space="preserve"> navigate and adapt to new situations they may encounter in daily </w:t>
            </w:r>
            <w:r w:rsidR="0CCAC77C" w:rsidRPr="0D5662E2">
              <w:rPr>
                <w:sz w:val="24"/>
                <w:szCs w:val="24"/>
              </w:rPr>
              <w:t>education, or the workplace.</w:t>
            </w:r>
            <w:r w:rsidR="20A978EE" w:rsidRPr="0D5662E2">
              <w:rPr>
                <w:sz w:val="24"/>
                <w:szCs w:val="24"/>
              </w:rPr>
              <w:t xml:space="preserve">  </w:t>
            </w:r>
            <w:r w:rsidR="0CCAC77C" w:rsidRPr="0D5662E2">
              <w:rPr>
                <w:sz w:val="24"/>
                <w:szCs w:val="24"/>
              </w:rPr>
              <w:t xml:space="preserve">Students practice </w:t>
            </w:r>
            <w:r w:rsidR="51924EA9" w:rsidRPr="0D5662E2">
              <w:rPr>
                <w:sz w:val="24"/>
                <w:szCs w:val="24"/>
              </w:rPr>
              <w:t>recognising</w:t>
            </w:r>
            <w:r w:rsidR="0CCAC77C" w:rsidRPr="0D5662E2">
              <w:rPr>
                <w:sz w:val="24"/>
                <w:szCs w:val="24"/>
              </w:rPr>
              <w:t xml:space="preserve"> </w:t>
            </w:r>
            <w:r w:rsidR="7EDE5F9D" w:rsidRPr="0D5662E2">
              <w:rPr>
                <w:sz w:val="24"/>
                <w:szCs w:val="24"/>
              </w:rPr>
              <w:t>unfamiliar</w:t>
            </w:r>
            <w:r w:rsidR="0CCAC77C" w:rsidRPr="0D5662E2">
              <w:rPr>
                <w:sz w:val="24"/>
                <w:szCs w:val="24"/>
              </w:rPr>
              <w:t xml:space="preserve"> situations and </w:t>
            </w:r>
            <w:r w:rsidR="7F4FC82B" w:rsidRPr="0D5662E2">
              <w:rPr>
                <w:sz w:val="24"/>
                <w:szCs w:val="24"/>
              </w:rPr>
              <w:t>exploring the emotions</w:t>
            </w:r>
            <w:r w:rsidR="0CCAC77C" w:rsidRPr="0D5662E2">
              <w:rPr>
                <w:sz w:val="24"/>
                <w:szCs w:val="24"/>
              </w:rPr>
              <w:t xml:space="preserve"> that accompany change, such as </w:t>
            </w:r>
            <w:r w:rsidR="0CCAC77C" w:rsidRPr="0D5662E2">
              <w:rPr>
                <w:sz w:val="24"/>
                <w:szCs w:val="24"/>
              </w:rPr>
              <w:lastRenderedPageBreak/>
              <w:t>excitement or anxiety.</w:t>
            </w:r>
            <w:r w:rsidR="4D51E1F3" w:rsidRPr="0D5662E2">
              <w:rPr>
                <w:sz w:val="24"/>
                <w:szCs w:val="24"/>
              </w:rPr>
              <w:t xml:space="preserve">  </w:t>
            </w:r>
            <w:r w:rsidR="0CCAC77C" w:rsidRPr="0D5662E2">
              <w:rPr>
                <w:sz w:val="24"/>
                <w:szCs w:val="24"/>
              </w:rPr>
              <w:t xml:space="preserve">They </w:t>
            </w:r>
            <w:r w:rsidR="7B58C85A" w:rsidRPr="0D5662E2">
              <w:rPr>
                <w:sz w:val="24"/>
                <w:szCs w:val="24"/>
              </w:rPr>
              <w:t>develop</w:t>
            </w:r>
            <w:r w:rsidR="0CCAC77C" w:rsidRPr="0D5662E2">
              <w:rPr>
                <w:sz w:val="24"/>
                <w:szCs w:val="24"/>
              </w:rPr>
              <w:t xml:space="preserve"> strategies to manage these </w:t>
            </w:r>
            <w:r w:rsidR="22EA05CA" w:rsidRPr="0D5662E2">
              <w:rPr>
                <w:sz w:val="24"/>
                <w:szCs w:val="24"/>
              </w:rPr>
              <w:t xml:space="preserve">feelings </w:t>
            </w:r>
            <w:r w:rsidR="0CCAC77C" w:rsidRPr="0D5662E2">
              <w:rPr>
                <w:sz w:val="24"/>
                <w:szCs w:val="24"/>
              </w:rPr>
              <w:t>and ad</w:t>
            </w:r>
            <w:r w:rsidR="57872EC6" w:rsidRPr="0D5662E2">
              <w:rPr>
                <w:sz w:val="24"/>
                <w:szCs w:val="24"/>
              </w:rPr>
              <w:t>just effectively</w:t>
            </w:r>
            <w:r w:rsidR="0CCAC77C" w:rsidRPr="0D5662E2">
              <w:rPr>
                <w:sz w:val="24"/>
                <w:szCs w:val="24"/>
              </w:rPr>
              <w:t xml:space="preserve">, </w:t>
            </w:r>
            <w:r w:rsidR="769763FA" w:rsidRPr="0D5662E2">
              <w:rPr>
                <w:sz w:val="24"/>
                <w:szCs w:val="24"/>
              </w:rPr>
              <w:t>building</w:t>
            </w:r>
            <w:r w:rsidR="0CCAC77C" w:rsidRPr="0D5662E2">
              <w:rPr>
                <w:sz w:val="24"/>
                <w:szCs w:val="24"/>
              </w:rPr>
              <w:t xml:space="preserve"> confidence and independence </w:t>
            </w:r>
            <w:r w:rsidR="25AB16DF" w:rsidRPr="0D5662E2">
              <w:rPr>
                <w:sz w:val="24"/>
                <w:szCs w:val="24"/>
              </w:rPr>
              <w:t>through</w:t>
            </w:r>
            <w:r w:rsidR="0CCAC77C" w:rsidRPr="0D5662E2">
              <w:rPr>
                <w:sz w:val="24"/>
                <w:szCs w:val="24"/>
              </w:rPr>
              <w:t xml:space="preserve"> experienc</w:t>
            </w:r>
            <w:r w:rsidR="2C8D220E" w:rsidRPr="0D5662E2">
              <w:rPr>
                <w:sz w:val="24"/>
                <w:szCs w:val="24"/>
              </w:rPr>
              <w:t>ing</w:t>
            </w:r>
            <w:r w:rsidR="0CCAC77C" w:rsidRPr="0D5662E2">
              <w:rPr>
                <w:sz w:val="24"/>
                <w:szCs w:val="24"/>
              </w:rPr>
              <w:t xml:space="preserve"> and reflect on new challenges.</w:t>
            </w:r>
          </w:p>
        </w:tc>
        <w:tc>
          <w:tcPr>
            <w:tcW w:w="4394" w:type="dxa"/>
          </w:tcPr>
          <w:p w14:paraId="5AA47235" w14:textId="5B563B82" w:rsidR="00E0269B" w:rsidRPr="00DE47C5" w:rsidRDefault="3C09AF78" w:rsidP="0D5662E2">
            <w:r w:rsidRPr="0D5662E2">
              <w:rPr>
                <w:rFonts w:ascii="Calibri" w:eastAsia="Calibri" w:hAnsi="Calibri" w:cs="Calibri"/>
                <w:sz w:val="24"/>
                <w:szCs w:val="24"/>
              </w:rPr>
              <w:lastRenderedPageBreak/>
              <w:t xml:space="preserve">The Duke of Edinburgh Award is integrated into this unit to strengthen organisational skills, particularly </w:t>
            </w:r>
            <w:proofErr w:type="gramStart"/>
            <w:r w:rsidRPr="0D5662E2">
              <w:rPr>
                <w:rFonts w:ascii="Calibri" w:eastAsia="Calibri" w:hAnsi="Calibri" w:cs="Calibri"/>
                <w:sz w:val="24"/>
                <w:szCs w:val="24"/>
              </w:rPr>
              <w:t>through the use of</w:t>
            </w:r>
            <w:proofErr w:type="gramEnd"/>
            <w:r w:rsidRPr="0D5662E2">
              <w:rPr>
                <w:rFonts w:ascii="Calibri" w:eastAsia="Calibri" w:hAnsi="Calibri" w:cs="Calibri"/>
                <w:sz w:val="24"/>
                <w:szCs w:val="24"/>
              </w:rPr>
              <w:t xml:space="preserve"> public transport.  Students focus on essential techniques for planning and completing journeys, building confidence in independent navigation.  </w:t>
            </w:r>
            <w:r w:rsidRPr="0D5662E2">
              <w:rPr>
                <w:rFonts w:ascii="Calibri" w:eastAsia="Calibri" w:hAnsi="Calibri" w:cs="Calibri"/>
                <w:sz w:val="24"/>
                <w:szCs w:val="24"/>
              </w:rPr>
              <w:lastRenderedPageBreak/>
              <w:t>They learn to use journey planners and apply key skills such as time management and route planning, enabling them to travel safely and independently.  This not only supports personal growth but also equips students to navigate real-world situations effectively.</w:t>
            </w:r>
          </w:p>
        </w:tc>
      </w:tr>
      <w:tr w:rsidR="000478FD" w14:paraId="1A15CE92" w14:textId="77777777" w:rsidTr="7FB565E1">
        <w:tc>
          <w:tcPr>
            <w:tcW w:w="937" w:type="dxa"/>
            <w:vMerge w:val="restart"/>
          </w:tcPr>
          <w:p w14:paraId="316E6573" w14:textId="6EDB50C6" w:rsidR="000478FD" w:rsidRDefault="000478FD" w:rsidP="0056654F">
            <w:pPr>
              <w:jc w:val="center"/>
              <w:rPr>
                <w:rFonts w:cstheme="minorHAnsi"/>
                <w:bCs/>
                <w:sz w:val="24"/>
                <w:szCs w:val="24"/>
              </w:rPr>
            </w:pPr>
            <w:r>
              <w:rPr>
                <w:rFonts w:cstheme="minorHAnsi"/>
                <w:bCs/>
                <w:sz w:val="24"/>
                <w:szCs w:val="24"/>
              </w:rPr>
              <w:lastRenderedPageBreak/>
              <w:t xml:space="preserve">Year </w:t>
            </w:r>
            <w:r w:rsidR="003F0161">
              <w:rPr>
                <w:rFonts w:cstheme="minorHAnsi"/>
                <w:bCs/>
                <w:sz w:val="24"/>
                <w:szCs w:val="24"/>
              </w:rPr>
              <w:t>5</w:t>
            </w:r>
          </w:p>
        </w:tc>
        <w:tc>
          <w:tcPr>
            <w:tcW w:w="4020" w:type="dxa"/>
          </w:tcPr>
          <w:p w14:paraId="5325F401" w14:textId="37363C3A" w:rsidR="000478FD" w:rsidRPr="004E2AF4" w:rsidRDefault="000478FD" w:rsidP="0056654F">
            <w:pPr>
              <w:rPr>
                <w:rFonts w:cstheme="minorHAnsi"/>
                <w:b/>
                <w:sz w:val="24"/>
                <w:szCs w:val="24"/>
              </w:rPr>
            </w:pPr>
            <w:r w:rsidRPr="004E2AF4">
              <w:rPr>
                <w:rFonts w:cstheme="minorHAnsi"/>
                <w:b/>
                <w:sz w:val="24"/>
                <w:szCs w:val="24"/>
              </w:rPr>
              <w:t xml:space="preserve">Pre-Vocational Study Unit </w:t>
            </w:r>
            <w:r>
              <w:rPr>
                <w:rFonts w:cstheme="minorHAnsi"/>
                <w:b/>
                <w:sz w:val="24"/>
                <w:szCs w:val="24"/>
              </w:rPr>
              <w:t>5: Participating in a Visit</w:t>
            </w:r>
            <w:r w:rsidRPr="004E2AF4">
              <w:rPr>
                <w:rFonts w:cstheme="minorHAnsi"/>
                <w:b/>
                <w:sz w:val="24"/>
                <w:szCs w:val="24"/>
              </w:rPr>
              <w:t xml:space="preserve"> </w:t>
            </w:r>
            <w:r>
              <w:rPr>
                <w:rFonts w:cstheme="minorHAnsi"/>
                <w:b/>
                <w:sz w:val="24"/>
                <w:szCs w:val="24"/>
              </w:rPr>
              <w:t>(EL2)</w:t>
            </w:r>
          </w:p>
          <w:p w14:paraId="16A815FF" w14:textId="32879267" w:rsidR="000478FD" w:rsidRDefault="0BECDC67" w:rsidP="7FB565E1">
            <w:pPr>
              <w:rPr>
                <w:sz w:val="24"/>
                <w:szCs w:val="24"/>
              </w:rPr>
            </w:pPr>
            <w:r w:rsidRPr="7FB565E1">
              <w:rPr>
                <w:sz w:val="24"/>
                <w:szCs w:val="24"/>
              </w:rPr>
              <w:t xml:space="preserve">                                                                 </w:t>
            </w:r>
          </w:p>
        </w:tc>
        <w:tc>
          <w:tcPr>
            <w:tcW w:w="4394" w:type="dxa"/>
          </w:tcPr>
          <w:p w14:paraId="67866943" w14:textId="77777777" w:rsidR="0051423A" w:rsidRPr="004E2AF4" w:rsidRDefault="0051423A" w:rsidP="0051423A">
            <w:pPr>
              <w:rPr>
                <w:rFonts w:cstheme="minorHAnsi"/>
                <w:b/>
                <w:sz w:val="24"/>
                <w:szCs w:val="24"/>
              </w:rPr>
            </w:pPr>
            <w:r w:rsidRPr="004E2AF4">
              <w:rPr>
                <w:rFonts w:cstheme="minorHAnsi"/>
                <w:b/>
                <w:sz w:val="24"/>
                <w:szCs w:val="24"/>
              </w:rPr>
              <w:t>A1 Mandatory BTEC Unit: Being Organised (Level 1)</w:t>
            </w:r>
          </w:p>
          <w:p w14:paraId="49609A8C" w14:textId="75745F34" w:rsidR="000478FD" w:rsidRDefault="000478FD" w:rsidP="0056654F">
            <w:pPr>
              <w:rPr>
                <w:rFonts w:cstheme="minorHAnsi"/>
                <w:bCs/>
                <w:sz w:val="24"/>
                <w:szCs w:val="24"/>
              </w:rPr>
            </w:pPr>
          </w:p>
        </w:tc>
      </w:tr>
      <w:tr w:rsidR="00B017C5" w14:paraId="0761E742" w14:textId="77777777" w:rsidTr="7FB565E1">
        <w:trPr>
          <w:trHeight w:val="2970"/>
        </w:trPr>
        <w:tc>
          <w:tcPr>
            <w:tcW w:w="937" w:type="dxa"/>
            <w:vMerge/>
          </w:tcPr>
          <w:p w14:paraId="3985AD80" w14:textId="77777777" w:rsidR="00B017C5" w:rsidRDefault="00B017C5" w:rsidP="0056654F">
            <w:pPr>
              <w:jc w:val="center"/>
              <w:rPr>
                <w:rFonts w:cstheme="minorHAnsi"/>
                <w:bCs/>
                <w:sz w:val="24"/>
                <w:szCs w:val="24"/>
              </w:rPr>
            </w:pPr>
          </w:p>
        </w:tc>
        <w:tc>
          <w:tcPr>
            <w:tcW w:w="4020" w:type="dxa"/>
          </w:tcPr>
          <w:p w14:paraId="6A30ADCC" w14:textId="2181F2EA" w:rsidR="00B017C5" w:rsidRPr="00441873" w:rsidRDefault="17229E28" w:rsidP="23122070">
            <w:r w:rsidRPr="23122070">
              <w:rPr>
                <w:rFonts w:ascii="Calibri" w:eastAsia="Calibri" w:hAnsi="Calibri" w:cs="Calibri"/>
                <w:sz w:val="24"/>
                <w:szCs w:val="24"/>
              </w:rPr>
              <w:t>This unit prepares students to plan and participate in visits to local sites. They develop skills such as time management, budgeting, and appropriate behaviour.  Students are encouraged to communicate effectively and interact respectfully with others, building confidence in navigating a variety of environments.</w:t>
            </w:r>
          </w:p>
          <w:p w14:paraId="585DD653" w14:textId="2441CD5D" w:rsidR="00B017C5" w:rsidRPr="00441873" w:rsidRDefault="00B017C5" w:rsidP="41FF667C">
            <w:pPr>
              <w:rPr>
                <w:sz w:val="24"/>
                <w:szCs w:val="24"/>
              </w:rPr>
            </w:pPr>
          </w:p>
        </w:tc>
        <w:tc>
          <w:tcPr>
            <w:tcW w:w="4394" w:type="dxa"/>
          </w:tcPr>
          <w:p w14:paraId="22F40B4A" w14:textId="6BED7A99" w:rsidR="00B017C5" w:rsidRPr="004E2AF4" w:rsidRDefault="17229E28" w:rsidP="23122070">
            <w:r w:rsidRPr="23122070">
              <w:rPr>
                <w:rFonts w:ascii="Calibri" w:eastAsia="Calibri" w:hAnsi="Calibri" w:cs="Calibri"/>
                <w:sz w:val="24"/>
                <w:szCs w:val="24"/>
              </w:rPr>
              <w:t xml:space="preserve">In Unit A1, the Duke of Edinburgh Award is integrated to reinforce organisational skills, particularly </w:t>
            </w:r>
            <w:proofErr w:type="gramStart"/>
            <w:r w:rsidRPr="23122070">
              <w:rPr>
                <w:rFonts w:ascii="Calibri" w:eastAsia="Calibri" w:hAnsi="Calibri" w:cs="Calibri"/>
                <w:sz w:val="24"/>
                <w:szCs w:val="24"/>
              </w:rPr>
              <w:t>through the use of</w:t>
            </w:r>
            <w:proofErr w:type="gramEnd"/>
            <w:r w:rsidRPr="23122070">
              <w:rPr>
                <w:rFonts w:ascii="Calibri" w:eastAsia="Calibri" w:hAnsi="Calibri" w:cs="Calibri"/>
                <w:sz w:val="24"/>
                <w:szCs w:val="24"/>
              </w:rPr>
              <w:t xml:space="preserve"> public transport. Students focus on essential techniques for planning and undertaking journeys, developing confidence in independent travel. They learn to use journey planners and apply core skills, such as time management and route planning, to travel safely and independently. This supports both their personal growth and their ability to navigate real-world situations effectively.</w:t>
            </w:r>
          </w:p>
        </w:tc>
      </w:tr>
      <w:tr w:rsidR="00962B0A" w14:paraId="340BCDE6" w14:textId="77777777" w:rsidTr="7FB565E1">
        <w:tc>
          <w:tcPr>
            <w:tcW w:w="937" w:type="dxa"/>
            <w:vMerge w:val="restart"/>
          </w:tcPr>
          <w:p w14:paraId="51A2651F" w14:textId="2A500369" w:rsidR="00962B0A" w:rsidRDefault="00962B0A" w:rsidP="0056654F">
            <w:pPr>
              <w:jc w:val="center"/>
              <w:rPr>
                <w:rFonts w:cstheme="minorHAnsi"/>
                <w:bCs/>
                <w:sz w:val="24"/>
                <w:szCs w:val="24"/>
              </w:rPr>
            </w:pPr>
            <w:r>
              <w:rPr>
                <w:rFonts w:cstheme="minorHAnsi"/>
                <w:bCs/>
                <w:sz w:val="24"/>
                <w:szCs w:val="24"/>
              </w:rPr>
              <w:t xml:space="preserve">Year </w:t>
            </w:r>
            <w:r w:rsidR="003F0161">
              <w:rPr>
                <w:rFonts w:cstheme="minorHAnsi"/>
                <w:bCs/>
                <w:sz w:val="24"/>
                <w:szCs w:val="24"/>
              </w:rPr>
              <w:t>6</w:t>
            </w:r>
          </w:p>
        </w:tc>
        <w:tc>
          <w:tcPr>
            <w:tcW w:w="4020" w:type="dxa"/>
          </w:tcPr>
          <w:p w14:paraId="57F048D6" w14:textId="4F792F2B" w:rsidR="00962B0A" w:rsidRPr="004E2AF4" w:rsidRDefault="00962B0A" w:rsidP="0056654F">
            <w:pPr>
              <w:rPr>
                <w:rFonts w:cstheme="minorHAnsi"/>
                <w:b/>
                <w:sz w:val="24"/>
                <w:szCs w:val="24"/>
              </w:rPr>
            </w:pPr>
            <w:r w:rsidRPr="004E2AF4">
              <w:rPr>
                <w:rFonts w:cstheme="minorHAnsi"/>
                <w:b/>
                <w:sz w:val="24"/>
                <w:szCs w:val="24"/>
              </w:rPr>
              <w:t xml:space="preserve">Pre-Vocational Study Unit </w:t>
            </w:r>
            <w:r>
              <w:rPr>
                <w:rFonts w:cstheme="minorHAnsi"/>
                <w:b/>
                <w:sz w:val="24"/>
                <w:szCs w:val="24"/>
              </w:rPr>
              <w:t>20: Using Public Transport (EL2)</w:t>
            </w:r>
          </w:p>
          <w:p w14:paraId="5FABDA63" w14:textId="55D5763B" w:rsidR="00962B0A" w:rsidRPr="00A070CD" w:rsidRDefault="00962B0A" w:rsidP="00962B0A">
            <w:pPr>
              <w:rPr>
                <w:rFonts w:cstheme="minorHAnsi"/>
                <w:b/>
                <w:sz w:val="24"/>
                <w:szCs w:val="24"/>
              </w:rPr>
            </w:pPr>
            <w:r>
              <w:rPr>
                <w:rFonts w:cstheme="minorHAnsi"/>
                <w:bCs/>
                <w:sz w:val="24"/>
                <w:szCs w:val="24"/>
              </w:rPr>
              <w:t xml:space="preserve">                                        </w:t>
            </w:r>
          </w:p>
        </w:tc>
        <w:tc>
          <w:tcPr>
            <w:tcW w:w="4394" w:type="dxa"/>
          </w:tcPr>
          <w:p w14:paraId="5EE5E194" w14:textId="097D748D" w:rsidR="00962B0A" w:rsidRPr="008352B6" w:rsidRDefault="008352B6" w:rsidP="008352B6">
            <w:pPr>
              <w:rPr>
                <w:rFonts w:cstheme="minorHAnsi"/>
                <w:b/>
                <w:sz w:val="24"/>
                <w:szCs w:val="24"/>
              </w:rPr>
            </w:pPr>
            <w:r w:rsidRPr="004E2AF4">
              <w:rPr>
                <w:rFonts w:cstheme="minorHAnsi"/>
                <w:b/>
                <w:sz w:val="24"/>
                <w:szCs w:val="24"/>
              </w:rPr>
              <w:t>A</w:t>
            </w:r>
            <w:r>
              <w:rPr>
                <w:rFonts w:cstheme="minorHAnsi"/>
                <w:b/>
                <w:sz w:val="24"/>
                <w:szCs w:val="24"/>
              </w:rPr>
              <w:t>3</w:t>
            </w:r>
            <w:r w:rsidRPr="004E2AF4">
              <w:rPr>
                <w:rFonts w:cstheme="minorHAnsi"/>
                <w:b/>
                <w:sz w:val="24"/>
                <w:szCs w:val="24"/>
              </w:rPr>
              <w:t xml:space="preserve"> Mandatory BTEC Unit: </w:t>
            </w:r>
            <w:r w:rsidRPr="008352B6">
              <w:rPr>
                <w:rFonts w:cstheme="minorHAnsi"/>
                <w:b/>
                <w:sz w:val="24"/>
                <w:szCs w:val="24"/>
              </w:rPr>
              <w:t>Working with Others</w:t>
            </w:r>
            <w:r>
              <w:rPr>
                <w:rFonts w:cstheme="minorHAnsi"/>
                <w:b/>
                <w:sz w:val="24"/>
                <w:szCs w:val="24"/>
              </w:rPr>
              <w:t xml:space="preserve"> </w:t>
            </w:r>
            <w:r w:rsidRPr="004E2AF4">
              <w:rPr>
                <w:rFonts w:cstheme="minorHAnsi"/>
                <w:b/>
                <w:sz w:val="24"/>
                <w:szCs w:val="24"/>
              </w:rPr>
              <w:t>(Level 1)</w:t>
            </w:r>
          </w:p>
        </w:tc>
      </w:tr>
      <w:tr w:rsidR="00441873" w14:paraId="4B44FF67" w14:textId="77777777" w:rsidTr="7FB565E1">
        <w:tc>
          <w:tcPr>
            <w:tcW w:w="937" w:type="dxa"/>
            <w:vMerge/>
          </w:tcPr>
          <w:p w14:paraId="7B3754A6" w14:textId="77777777" w:rsidR="00441873" w:rsidRDefault="00441873" w:rsidP="0056654F">
            <w:pPr>
              <w:jc w:val="center"/>
              <w:rPr>
                <w:rFonts w:cstheme="minorHAnsi"/>
                <w:bCs/>
                <w:sz w:val="24"/>
                <w:szCs w:val="24"/>
              </w:rPr>
            </w:pPr>
          </w:p>
        </w:tc>
        <w:tc>
          <w:tcPr>
            <w:tcW w:w="4020" w:type="dxa"/>
          </w:tcPr>
          <w:p w14:paraId="14B757C6" w14:textId="78B11ED4" w:rsidR="00441873" w:rsidRPr="008C020D" w:rsidRDefault="0D832D90" w:rsidP="23122070">
            <w:r w:rsidRPr="23122070">
              <w:rPr>
                <w:rFonts w:ascii="Calibri" w:eastAsia="Calibri" w:hAnsi="Calibri" w:cs="Calibri"/>
                <w:sz w:val="24"/>
                <w:szCs w:val="24"/>
              </w:rPr>
              <w:t>Students develop essential skills for using public transport independently, including reading timetables, handling tickets, and planning routes. This unit promotes practical life skills and independence, enabling students to navigate public transportation confidently in a variety of settings.</w:t>
            </w:r>
          </w:p>
        </w:tc>
        <w:tc>
          <w:tcPr>
            <w:tcW w:w="4394" w:type="dxa"/>
          </w:tcPr>
          <w:p w14:paraId="388152E4" w14:textId="2F3069FA" w:rsidR="00441873" w:rsidRPr="006A137B" w:rsidRDefault="793BE0D1" w:rsidP="23122070">
            <w:r w:rsidRPr="7FB565E1">
              <w:rPr>
                <w:rFonts w:ascii="Calibri" w:eastAsia="Calibri" w:hAnsi="Calibri" w:cs="Calibri"/>
                <w:sz w:val="24"/>
                <w:szCs w:val="24"/>
              </w:rPr>
              <w:t xml:space="preserve">In Unit A3, students identify key charity dates throughout the academic year and collaborate to plan and execute related events. Their first project, the </w:t>
            </w:r>
            <w:r w:rsidRPr="7FB565E1">
              <w:rPr>
                <w:rFonts w:ascii="Calibri" w:eastAsia="Calibri" w:hAnsi="Calibri" w:cs="Calibri"/>
                <w:i/>
                <w:iCs/>
                <w:sz w:val="24"/>
                <w:szCs w:val="24"/>
              </w:rPr>
              <w:t>Macmillan Coffee Morning</w:t>
            </w:r>
            <w:r w:rsidRPr="7FB565E1">
              <w:rPr>
                <w:rFonts w:ascii="Calibri" w:eastAsia="Calibri" w:hAnsi="Calibri" w:cs="Calibri"/>
                <w:sz w:val="24"/>
                <w:szCs w:val="24"/>
              </w:rPr>
              <w:t>, is carried out with strong staff support to help students understand the essential concepts of managing a successful event. Throughout the unit, students engage in self-evaluation and peer-review activities, with the option to receive additional coaching for further development. Additionally, they work as a team to create items for sale at the Christmas Fair and other major events, fostering teamwork and providing hands-on experience in event planning.</w:t>
            </w:r>
          </w:p>
          <w:p w14:paraId="0222650B" w14:textId="10A70F6C" w:rsidR="00441873" w:rsidRPr="006A137B" w:rsidRDefault="00441873" w:rsidP="7FB565E1">
            <w:pPr>
              <w:rPr>
                <w:rFonts w:ascii="Calibri" w:eastAsia="Calibri" w:hAnsi="Calibri" w:cs="Calibri"/>
                <w:sz w:val="24"/>
                <w:szCs w:val="24"/>
              </w:rPr>
            </w:pPr>
          </w:p>
          <w:p w14:paraId="5261B46A" w14:textId="4EC24D43" w:rsidR="00441873" w:rsidRPr="006A137B" w:rsidRDefault="00441873" w:rsidP="7FB565E1">
            <w:pPr>
              <w:rPr>
                <w:rFonts w:ascii="Calibri" w:eastAsia="Calibri" w:hAnsi="Calibri" w:cs="Calibri"/>
                <w:sz w:val="24"/>
                <w:szCs w:val="24"/>
              </w:rPr>
            </w:pPr>
          </w:p>
          <w:p w14:paraId="58AEF6F5" w14:textId="3D3F4E33" w:rsidR="00441873" w:rsidRPr="006A137B" w:rsidRDefault="00441873" w:rsidP="7FB565E1">
            <w:pPr>
              <w:rPr>
                <w:rFonts w:ascii="Calibri" w:eastAsia="Calibri" w:hAnsi="Calibri" w:cs="Calibri"/>
                <w:sz w:val="24"/>
                <w:szCs w:val="24"/>
              </w:rPr>
            </w:pPr>
          </w:p>
        </w:tc>
      </w:tr>
      <w:tr w:rsidR="00C84A52" w14:paraId="3E8534FA" w14:textId="77777777" w:rsidTr="7FB565E1">
        <w:tc>
          <w:tcPr>
            <w:tcW w:w="937" w:type="dxa"/>
            <w:vMerge w:val="restart"/>
          </w:tcPr>
          <w:p w14:paraId="43E6AFF2" w14:textId="5C2BA4F2" w:rsidR="00C84A52" w:rsidRDefault="00C84A52" w:rsidP="0056654F">
            <w:pPr>
              <w:jc w:val="center"/>
              <w:rPr>
                <w:rFonts w:cstheme="minorHAnsi"/>
                <w:bCs/>
                <w:sz w:val="24"/>
                <w:szCs w:val="24"/>
              </w:rPr>
            </w:pPr>
            <w:r>
              <w:rPr>
                <w:rFonts w:cstheme="minorHAnsi"/>
                <w:bCs/>
                <w:sz w:val="24"/>
                <w:szCs w:val="24"/>
              </w:rPr>
              <w:t xml:space="preserve">Year </w:t>
            </w:r>
            <w:r w:rsidR="003F0161">
              <w:rPr>
                <w:rFonts w:cstheme="minorHAnsi"/>
                <w:bCs/>
                <w:sz w:val="24"/>
                <w:szCs w:val="24"/>
              </w:rPr>
              <w:t>7</w:t>
            </w:r>
          </w:p>
        </w:tc>
        <w:tc>
          <w:tcPr>
            <w:tcW w:w="4020" w:type="dxa"/>
          </w:tcPr>
          <w:p w14:paraId="2771876E" w14:textId="4603A4CB" w:rsidR="00C84A52" w:rsidRPr="004E2AF4" w:rsidRDefault="00C84A52" w:rsidP="0056654F">
            <w:pPr>
              <w:rPr>
                <w:rFonts w:cstheme="minorHAnsi"/>
                <w:b/>
                <w:sz w:val="24"/>
                <w:szCs w:val="24"/>
              </w:rPr>
            </w:pPr>
            <w:r w:rsidRPr="004E2AF4">
              <w:rPr>
                <w:rFonts w:cstheme="minorHAnsi"/>
                <w:b/>
                <w:sz w:val="24"/>
                <w:szCs w:val="24"/>
              </w:rPr>
              <w:t xml:space="preserve">Pre-Vocational Study Unit </w:t>
            </w:r>
            <w:r>
              <w:rPr>
                <w:rFonts w:cstheme="minorHAnsi"/>
                <w:b/>
                <w:sz w:val="24"/>
                <w:szCs w:val="24"/>
              </w:rPr>
              <w:t>6: Understanding Personal Health and Wellbeing (EL2)</w:t>
            </w:r>
          </w:p>
          <w:p w14:paraId="74B903C5" w14:textId="571E23C2" w:rsidR="00C84A52" w:rsidRDefault="00C84A52" w:rsidP="0056654F">
            <w:pPr>
              <w:jc w:val="center"/>
              <w:rPr>
                <w:rFonts w:cstheme="minorHAnsi"/>
                <w:bCs/>
                <w:sz w:val="24"/>
                <w:szCs w:val="24"/>
              </w:rPr>
            </w:pPr>
          </w:p>
        </w:tc>
        <w:tc>
          <w:tcPr>
            <w:tcW w:w="4394" w:type="dxa"/>
          </w:tcPr>
          <w:p w14:paraId="78D27FFE" w14:textId="124C49E3" w:rsidR="00C84A52" w:rsidRPr="006A137B" w:rsidRDefault="008352B6" w:rsidP="008352B6">
            <w:pPr>
              <w:rPr>
                <w:rFonts w:cstheme="minorHAnsi"/>
                <w:bCs/>
                <w:sz w:val="24"/>
                <w:szCs w:val="24"/>
              </w:rPr>
            </w:pPr>
            <w:r w:rsidRPr="004E2AF4">
              <w:rPr>
                <w:rFonts w:cstheme="minorHAnsi"/>
                <w:b/>
                <w:sz w:val="24"/>
                <w:szCs w:val="24"/>
              </w:rPr>
              <w:lastRenderedPageBreak/>
              <w:t>A</w:t>
            </w:r>
            <w:r>
              <w:rPr>
                <w:rFonts w:cstheme="minorHAnsi"/>
                <w:b/>
                <w:sz w:val="24"/>
                <w:szCs w:val="24"/>
              </w:rPr>
              <w:t>3</w:t>
            </w:r>
            <w:r w:rsidRPr="004E2AF4">
              <w:rPr>
                <w:rFonts w:cstheme="minorHAnsi"/>
                <w:b/>
                <w:sz w:val="24"/>
                <w:szCs w:val="24"/>
              </w:rPr>
              <w:t xml:space="preserve"> Mandatory BTEC Unit: </w:t>
            </w:r>
            <w:r w:rsidRPr="008352B6">
              <w:rPr>
                <w:rFonts w:cstheme="minorHAnsi"/>
                <w:b/>
                <w:sz w:val="24"/>
                <w:szCs w:val="24"/>
              </w:rPr>
              <w:t>Working with Others</w:t>
            </w:r>
            <w:r>
              <w:rPr>
                <w:rFonts w:cstheme="minorHAnsi"/>
                <w:b/>
                <w:sz w:val="24"/>
                <w:szCs w:val="24"/>
              </w:rPr>
              <w:t xml:space="preserve"> </w:t>
            </w:r>
            <w:r w:rsidRPr="004E2AF4">
              <w:rPr>
                <w:rFonts w:cstheme="minorHAnsi"/>
                <w:b/>
                <w:sz w:val="24"/>
                <w:szCs w:val="24"/>
              </w:rPr>
              <w:t>(Level 1)</w:t>
            </w:r>
          </w:p>
        </w:tc>
      </w:tr>
      <w:tr w:rsidR="008C020D" w14:paraId="4AB23132" w14:textId="77777777" w:rsidTr="7FB565E1">
        <w:tc>
          <w:tcPr>
            <w:tcW w:w="937" w:type="dxa"/>
            <w:vMerge/>
          </w:tcPr>
          <w:p w14:paraId="6BA3B8D3" w14:textId="77777777" w:rsidR="008C020D" w:rsidRDefault="008C020D" w:rsidP="0056654F">
            <w:pPr>
              <w:jc w:val="center"/>
              <w:rPr>
                <w:rFonts w:cstheme="minorHAnsi"/>
                <w:bCs/>
                <w:sz w:val="24"/>
                <w:szCs w:val="24"/>
              </w:rPr>
            </w:pPr>
          </w:p>
        </w:tc>
        <w:tc>
          <w:tcPr>
            <w:tcW w:w="4020" w:type="dxa"/>
          </w:tcPr>
          <w:p w14:paraId="02F67476" w14:textId="4F59D052" w:rsidR="008C020D" w:rsidRPr="00394FC8" w:rsidRDefault="2699F62E" w:rsidP="23122070">
            <w:r w:rsidRPr="23122070">
              <w:rPr>
                <w:rFonts w:ascii="Calibri" w:eastAsia="Calibri" w:hAnsi="Calibri" w:cs="Calibri"/>
                <w:sz w:val="24"/>
                <w:szCs w:val="24"/>
              </w:rPr>
              <w:t>This unit focuses on maintaining a healthy lifestyle through diet, exercise, and personal hygiene. Learners track their health routines and explore ways to improve them. They develop awareness of the benefits of staying healthy, such as increased self-esteem and enhanced social interactions, and set personal goals to support their wellbeing.</w:t>
            </w:r>
          </w:p>
        </w:tc>
        <w:tc>
          <w:tcPr>
            <w:tcW w:w="4394" w:type="dxa"/>
          </w:tcPr>
          <w:p w14:paraId="43DE8572" w14:textId="66C4D0C3" w:rsidR="008C020D" w:rsidRDefault="7ABEBEBB" w:rsidP="23122070">
            <w:pPr>
              <w:rPr>
                <w:sz w:val="24"/>
                <w:szCs w:val="24"/>
              </w:rPr>
            </w:pPr>
            <w:r w:rsidRPr="23122070">
              <w:rPr>
                <w:sz w:val="24"/>
                <w:szCs w:val="24"/>
              </w:rPr>
              <w:t>In Unit A3, students identify key charity dates throughout the academic yea</w:t>
            </w:r>
            <w:r w:rsidR="019A3514" w:rsidRPr="23122070">
              <w:rPr>
                <w:sz w:val="24"/>
                <w:szCs w:val="24"/>
              </w:rPr>
              <w:t>r and</w:t>
            </w:r>
            <w:r w:rsidRPr="23122070">
              <w:rPr>
                <w:sz w:val="24"/>
                <w:szCs w:val="24"/>
              </w:rPr>
              <w:t xml:space="preserve"> collaborat</w:t>
            </w:r>
            <w:r w:rsidR="7C307233" w:rsidRPr="23122070">
              <w:rPr>
                <w:sz w:val="24"/>
                <w:szCs w:val="24"/>
              </w:rPr>
              <w:t>e</w:t>
            </w:r>
            <w:r w:rsidRPr="23122070">
              <w:rPr>
                <w:sz w:val="24"/>
                <w:szCs w:val="24"/>
              </w:rPr>
              <w:t xml:space="preserve"> to plan and execute</w:t>
            </w:r>
            <w:r w:rsidR="68351D47" w:rsidRPr="23122070">
              <w:rPr>
                <w:sz w:val="24"/>
                <w:szCs w:val="24"/>
              </w:rPr>
              <w:t xml:space="preserve"> related</w:t>
            </w:r>
            <w:r w:rsidRPr="23122070">
              <w:rPr>
                <w:sz w:val="24"/>
                <w:szCs w:val="24"/>
              </w:rPr>
              <w:t xml:space="preserve"> events. Their first project, the Macmillan coffee morning, will be conducted with strong staff support to help students </w:t>
            </w:r>
            <w:r w:rsidR="782714A9" w:rsidRPr="23122070">
              <w:rPr>
                <w:sz w:val="24"/>
                <w:szCs w:val="24"/>
              </w:rPr>
              <w:t>understand the</w:t>
            </w:r>
            <w:r w:rsidRPr="23122070">
              <w:rPr>
                <w:sz w:val="24"/>
                <w:szCs w:val="24"/>
              </w:rPr>
              <w:t xml:space="preserve"> essential concepts for managing a successful event. Throughout th</w:t>
            </w:r>
            <w:r w:rsidR="4A5DA353" w:rsidRPr="23122070">
              <w:rPr>
                <w:sz w:val="24"/>
                <w:szCs w:val="24"/>
              </w:rPr>
              <w:t>e</w:t>
            </w:r>
            <w:r w:rsidRPr="23122070">
              <w:rPr>
                <w:sz w:val="24"/>
                <w:szCs w:val="24"/>
              </w:rPr>
              <w:t xml:space="preserve"> unit, students </w:t>
            </w:r>
            <w:r w:rsidR="1040CFE8" w:rsidRPr="23122070">
              <w:rPr>
                <w:sz w:val="24"/>
                <w:szCs w:val="24"/>
              </w:rPr>
              <w:t>engage in self-evaluation</w:t>
            </w:r>
            <w:r w:rsidRPr="23122070">
              <w:rPr>
                <w:sz w:val="24"/>
                <w:szCs w:val="24"/>
              </w:rPr>
              <w:t xml:space="preserve"> and peer-review activities, with </w:t>
            </w:r>
            <w:r w:rsidR="691D832A" w:rsidRPr="23122070">
              <w:rPr>
                <w:sz w:val="24"/>
                <w:szCs w:val="24"/>
              </w:rPr>
              <w:t xml:space="preserve">the </w:t>
            </w:r>
            <w:r w:rsidRPr="23122070">
              <w:rPr>
                <w:sz w:val="24"/>
                <w:szCs w:val="24"/>
              </w:rPr>
              <w:t xml:space="preserve">option to </w:t>
            </w:r>
            <w:r w:rsidR="799B9F8B" w:rsidRPr="23122070">
              <w:rPr>
                <w:sz w:val="24"/>
                <w:szCs w:val="24"/>
              </w:rPr>
              <w:t>receive additional</w:t>
            </w:r>
            <w:r w:rsidRPr="23122070">
              <w:rPr>
                <w:sz w:val="24"/>
                <w:szCs w:val="24"/>
              </w:rPr>
              <w:t xml:space="preserve"> coaching for further development. </w:t>
            </w:r>
            <w:r w:rsidR="4FD10BC8" w:rsidRPr="23122070">
              <w:rPr>
                <w:sz w:val="24"/>
                <w:szCs w:val="24"/>
              </w:rPr>
              <w:t xml:space="preserve">They also </w:t>
            </w:r>
            <w:r w:rsidRPr="23122070">
              <w:rPr>
                <w:sz w:val="24"/>
                <w:szCs w:val="24"/>
              </w:rPr>
              <w:t xml:space="preserve">work as a team to create items </w:t>
            </w:r>
            <w:r w:rsidR="5A012D4C" w:rsidRPr="23122070">
              <w:rPr>
                <w:sz w:val="24"/>
                <w:szCs w:val="24"/>
              </w:rPr>
              <w:t xml:space="preserve">for </w:t>
            </w:r>
            <w:r w:rsidRPr="23122070">
              <w:rPr>
                <w:sz w:val="24"/>
                <w:szCs w:val="24"/>
              </w:rPr>
              <w:t>s</w:t>
            </w:r>
            <w:r w:rsidR="67B94443" w:rsidRPr="23122070">
              <w:rPr>
                <w:sz w:val="24"/>
                <w:szCs w:val="24"/>
              </w:rPr>
              <w:t>ale</w:t>
            </w:r>
            <w:r w:rsidRPr="23122070">
              <w:rPr>
                <w:sz w:val="24"/>
                <w:szCs w:val="24"/>
              </w:rPr>
              <w:t xml:space="preserve"> at the Christmas </w:t>
            </w:r>
            <w:r w:rsidR="369CCCA3" w:rsidRPr="23122070">
              <w:rPr>
                <w:sz w:val="24"/>
                <w:szCs w:val="24"/>
              </w:rPr>
              <w:t>F</w:t>
            </w:r>
            <w:r w:rsidRPr="23122070">
              <w:rPr>
                <w:sz w:val="24"/>
                <w:szCs w:val="24"/>
              </w:rPr>
              <w:t>air and other major events, fostering teamwork and</w:t>
            </w:r>
            <w:r w:rsidR="01C428BA" w:rsidRPr="23122070">
              <w:rPr>
                <w:sz w:val="24"/>
                <w:szCs w:val="24"/>
              </w:rPr>
              <w:t xml:space="preserve"> providing practical</w:t>
            </w:r>
            <w:r w:rsidRPr="23122070">
              <w:rPr>
                <w:sz w:val="24"/>
                <w:szCs w:val="24"/>
              </w:rPr>
              <w:t xml:space="preserve"> hands-on experience in event planning.</w:t>
            </w:r>
          </w:p>
        </w:tc>
      </w:tr>
      <w:tr w:rsidR="00C84A52" w14:paraId="36044673" w14:textId="77777777" w:rsidTr="7FB565E1">
        <w:tc>
          <w:tcPr>
            <w:tcW w:w="937" w:type="dxa"/>
            <w:vMerge w:val="restart"/>
          </w:tcPr>
          <w:p w14:paraId="174E1E7C" w14:textId="51923077" w:rsidR="00C84A52" w:rsidRDefault="00C84A52" w:rsidP="0056654F">
            <w:pPr>
              <w:jc w:val="center"/>
              <w:rPr>
                <w:rFonts w:cstheme="minorHAnsi"/>
                <w:bCs/>
                <w:sz w:val="24"/>
                <w:szCs w:val="24"/>
              </w:rPr>
            </w:pPr>
            <w:r>
              <w:rPr>
                <w:rFonts w:cstheme="minorHAnsi"/>
                <w:bCs/>
                <w:sz w:val="24"/>
                <w:szCs w:val="24"/>
              </w:rPr>
              <w:t xml:space="preserve">Year </w:t>
            </w:r>
            <w:r w:rsidR="003F0161">
              <w:rPr>
                <w:rFonts w:cstheme="minorHAnsi"/>
                <w:bCs/>
                <w:sz w:val="24"/>
                <w:szCs w:val="24"/>
              </w:rPr>
              <w:t>8</w:t>
            </w:r>
          </w:p>
        </w:tc>
        <w:tc>
          <w:tcPr>
            <w:tcW w:w="4020" w:type="dxa"/>
          </w:tcPr>
          <w:p w14:paraId="512B4B0D" w14:textId="7C60BA63" w:rsidR="00C84A52" w:rsidRPr="00C84A52" w:rsidRDefault="256F17BB" w:rsidP="23122070">
            <w:pPr>
              <w:rPr>
                <w:b/>
                <w:bCs/>
                <w:sz w:val="24"/>
                <w:szCs w:val="24"/>
              </w:rPr>
            </w:pPr>
            <w:r w:rsidRPr="23122070">
              <w:rPr>
                <w:b/>
                <w:bCs/>
                <w:sz w:val="24"/>
                <w:szCs w:val="24"/>
              </w:rPr>
              <w:t>Pre-Vocational Study Unit 3: Handling Money Transactions (EL2)</w:t>
            </w:r>
          </w:p>
          <w:p w14:paraId="74C93AED" w14:textId="1036B710" w:rsidR="00C84A52" w:rsidRDefault="00C84A52" w:rsidP="0056654F">
            <w:pPr>
              <w:jc w:val="center"/>
              <w:rPr>
                <w:rFonts w:cstheme="minorHAnsi"/>
                <w:bCs/>
                <w:sz w:val="24"/>
                <w:szCs w:val="24"/>
              </w:rPr>
            </w:pPr>
          </w:p>
        </w:tc>
        <w:tc>
          <w:tcPr>
            <w:tcW w:w="4394" w:type="dxa"/>
          </w:tcPr>
          <w:p w14:paraId="66E68EE1" w14:textId="3F22C611" w:rsidR="00C84A52" w:rsidRPr="00A070CD" w:rsidRDefault="005E40B6" w:rsidP="005E40B6">
            <w:pPr>
              <w:rPr>
                <w:rFonts w:cstheme="minorHAnsi"/>
                <w:b/>
                <w:sz w:val="24"/>
                <w:szCs w:val="24"/>
              </w:rPr>
            </w:pPr>
            <w:r>
              <w:rPr>
                <w:rFonts w:cstheme="minorHAnsi"/>
                <w:b/>
                <w:sz w:val="24"/>
                <w:szCs w:val="24"/>
              </w:rPr>
              <w:t xml:space="preserve">Travel Training </w:t>
            </w:r>
          </w:p>
        </w:tc>
      </w:tr>
      <w:tr w:rsidR="00394FC8" w14:paraId="084CC7B4" w14:textId="77777777" w:rsidTr="7FB565E1">
        <w:tc>
          <w:tcPr>
            <w:tcW w:w="937" w:type="dxa"/>
            <w:vMerge/>
          </w:tcPr>
          <w:p w14:paraId="0025D2CF" w14:textId="77777777" w:rsidR="00394FC8" w:rsidRDefault="00394FC8" w:rsidP="0056654F">
            <w:pPr>
              <w:jc w:val="center"/>
              <w:rPr>
                <w:rFonts w:cstheme="minorHAnsi"/>
                <w:bCs/>
                <w:sz w:val="24"/>
                <w:szCs w:val="24"/>
              </w:rPr>
            </w:pPr>
          </w:p>
        </w:tc>
        <w:tc>
          <w:tcPr>
            <w:tcW w:w="4020" w:type="dxa"/>
          </w:tcPr>
          <w:p w14:paraId="46150034" w14:textId="64C60536" w:rsidR="00394FC8" w:rsidRDefault="3E7E3C65" w:rsidP="23122070">
            <w:r w:rsidRPr="23122070">
              <w:rPr>
                <w:rFonts w:ascii="Calibri" w:eastAsia="Calibri" w:hAnsi="Calibri" w:cs="Calibri"/>
                <w:sz w:val="24"/>
                <w:szCs w:val="24"/>
              </w:rPr>
              <w:t>This unit equips students with essential skills for managing money in practical, real-life contexts. Students practice basic transactions, including counting money, calculating costs, giving change, and handling receipts accurately. They also explore the importance of accountability and honesty, particularly when managing money that belongs to others. Through activities that simulate personal and workplace situations, students build confidence and responsibility in handling financial tasks.</w:t>
            </w:r>
          </w:p>
        </w:tc>
        <w:tc>
          <w:tcPr>
            <w:tcW w:w="4394" w:type="dxa"/>
          </w:tcPr>
          <w:p w14:paraId="2EB59CCA" w14:textId="26BAF96A" w:rsidR="00394FC8" w:rsidRPr="005E40B6" w:rsidRDefault="3E7E3C65" w:rsidP="23122070">
            <w:r w:rsidRPr="23122070">
              <w:rPr>
                <w:rFonts w:ascii="Calibri" w:eastAsia="Calibri" w:hAnsi="Calibri" w:cs="Calibri"/>
                <w:sz w:val="24"/>
                <w:szCs w:val="24"/>
              </w:rPr>
              <w:t>Developing independence in travel is vital for students’ confidence and autonomy. Through structured travel training, students learn to navigate public transport safely and independently. This includes practical skills such as reading timetables, planning routes, and managing unexpected situations. With guidance from staff, students participate in supported practice sessions, gradually gaining familiarity with local routes and developing strategies to handle potential challenges. As their confidence grows, students transition to independent travel, with ongoing support available to reinforce their skills. This approach empowers students to travel safely and independently, opening opportunities for personal growth and engagement within the community.</w:t>
            </w:r>
          </w:p>
        </w:tc>
      </w:tr>
    </w:tbl>
    <w:p w14:paraId="02A5D430" w14:textId="12F63E95" w:rsidR="000654AF" w:rsidRDefault="000654AF" w:rsidP="23122070">
      <w:pPr>
        <w:rPr>
          <w:b/>
          <w:bCs/>
          <w:sz w:val="28"/>
          <w:szCs w:val="28"/>
          <w:u w:val="single"/>
        </w:rPr>
      </w:pPr>
    </w:p>
    <w:p w14:paraId="351FC2FD" w14:textId="02208AFB" w:rsidR="7FB565E1" w:rsidRDefault="7FB565E1" w:rsidP="7FB565E1">
      <w:pPr>
        <w:jc w:val="center"/>
        <w:rPr>
          <w:b/>
          <w:bCs/>
          <w:sz w:val="28"/>
          <w:szCs w:val="28"/>
          <w:u w:val="single"/>
        </w:rPr>
      </w:pPr>
    </w:p>
    <w:p w14:paraId="36C3607B" w14:textId="77B9961C" w:rsidR="00DB7BD8" w:rsidRDefault="00CE4DA9" w:rsidP="00DB7BD8">
      <w:pPr>
        <w:jc w:val="center"/>
        <w:rPr>
          <w:rFonts w:cstheme="minorHAnsi"/>
          <w:b/>
          <w:sz w:val="28"/>
          <w:szCs w:val="28"/>
          <w:u w:val="single"/>
        </w:rPr>
      </w:pPr>
      <w:r>
        <w:rPr>
          <w:rFonts w:cstheme="minorHAnsi"/>
          <w:b/>
          <w:sz w:val="28"/>
          <w:szCs w:val="28"/>
          <w:u w:val="single"/>
        </w:rPr>
        <w:t>Additional Pre-</w:t>
      </w:r>
      <w:r w:rsidR="00F1568A">
        <w:rPr>
          <w:rFonts w:cstheme="minorHAnsi"/>
          <w:b/>
          <w:sz w:val="28"/>
          <w:szCs w:val="28"/>
          <w:u w:val="single"/>
        </w:rPr>
        <w:t>Vocational</w:t>
      </w:r>
      <w:r>
        <w:rPr>
          <w:rFonts w:cstheme="minorHAnsi"/>
          <w:b/>
          <w:sz w:val="28"/>
          <w:szCs w:val="28"/>
          <w:u w:val="single"/>
        </w:rPr>
        <w:t xml:space="preserve"> Units: </w:t>
      </w:r>
      <w:r w:rsidR="00AC55C0">
        <w:rPr>
          <w:rFonts w:cstheme="minorHAnsi"/>
          <w:b/>
          <w:sz w:val="28"/>
          <w:szCs w:val="28"/>
          <w:u w:val="single"/>
        </w:rPr>
        <w:t xml:space="preserve">Cookery </w:t>
      </w:r>
      <w:r w:rsidR="00155511">
        <w:rPr>
          <w:rFonts w:cstheme="minorHAnsi"/>
          <w:b/>
          <w:sz w:val="28"/>
          <w:szCs w:val="28"/>
          <w:u w:val="single"/>
        </w:rPr>
        <w:t xml:space="preserve">&amp; </w:t>
      </w:r>
      <w:r w:rsidR="007B0A43">
        <w:rPr>
          <w:rFonts w:cstheme="minorHAnsi"/>
          <w:b/>
          <w:sz w:val="28"/>
          <w:szCs w:val="28"/>
          <w:u w:val="single"/>
        </w:rPr>
        <w:t>Enterprise</w:t>
      </w:r>
    </w:p>
    <w:tbl>
      <w:tblPr>
        <w:tblStyle w:val="TableGrid"/>
        <w:tblW w:w="0" w:type="auto"/>
        <w:tblLook w:val="04A0" w:firstRow="1" w:lastRow="0" w:firstColumn="1" w:lastColumn="0" w:noHBand="0" w:noVBand="1"/>
      </w:tblPr>
      <w:tblGrid>
        <w:gridCol w:w="937"/>
        <w:gridCol w:w="8079"/>
      </w:tblGrid>
      <w:tr w:rsidR="0031266F" w14:paraId="225379C9" w14:textId="77777777" w:rsidTr="23122070">
        <w:tc>
          <w:tcPr>
            <w:tcW w:w="937" w:type="dxa"/>
            <w:shd w:val="clear" w:color="auto" w:fill="A6A6A6" w:themeFill="background1" w:themeFillShade="A6"/>
          </w:tcPr>
          <w:p w14:paraId="46039EE2" w14:textId="0BA9A551" w:rsidR="0031266F" w:rsidRDefault="0031266F" w:rsidP="00200A04">
            <w:pPr>
              <w:jc w:val="center"/>
              <w:rPr>
                <w:rFonts w:cstheme="minorHAnsi"/>
                <w:bCs/>
                <w:sz w:val="24"/>
                <w:szCs w:val="24"/>
              </w:rPr>
            </w:pPr>
          </w:p>
        </w:tc>
        <w:tc>
          <w:tcPr>
            <w:tcW w:w="8079" w:type="dxa"/>
          </w:tcPr>
          <w:p w14:paraId="513F3926" w14:textId="77777777" w:rsidR="0031266F" w:rsidRPr="0031266F" w:rsidRDefault="0031266F" w:rsidP="0031266F">
            <w:pPr>
              <w:jc w:val="center"/>
              <w:rPr>
                <w:rFonts w:cstheme="minorHAnsi"/>
                <w:b/>
                <w:sz w:val="24"/>
                <w:szCs w:val="24"/>
              </w:rPr>
            </w:pPr>
            <w:r w:rsidRPr="0031266F">
              <w:rPr>
                <w:rFonts w:cstheme="minorHAnsi"/>
                <w:b/>
                <w:sz w:val="24"/>
                <w:szCs w:val="24"/>
              </w:rPr>
              <w:t>Explorers</w:t>
            </w:r>
          </w:p>
          <w:p w14:paraId="703AFEF2" w14:textId="6E9003E4" w:rsidR="0031266F" w:rsidRDefault="0031266F" w:rsidP="0031266F">
            <w:pPr>
              <w:jc w:val="center"/>
              <w:rPr>
                <w:rFonts w:cstheme="minorHAnsi"/>
                <w:bCs/>
                <w:sz w:val="24"/>
                <w:szCs w:val="24"/>
              </w:rPr>
            </w:pPr>
            <w:r>
              <w:rPr>
                <w:rFonts w:cstheme="minorHAnsi"/>
                <w:bCs/>
                <w:noProof/>
                <w:sz w:val="24"/>
                <w:szCs w:val="24"/>
              </w:rPr>
              <w:lastRenderedPageBreak/>
              <w:drawing>
                <wp:inline distT="0" distB="0" distL="0" distR="0" wp14:anchorId="25F2391E" wp14:editId="5885EDF7">
                  <wp:extent cx="1584533" cy="890905"/>
                  <wp:effectExtent l="0" t="0" r="0" b="4445"/>
                  <wp:docPr id="445192949" name="Picture 44519294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87" cy="896164"/>
                          </a:xfrm>
                          <a:prstGeom prst="rect">
                            <a:avLst/>
                          </a:prstGeom>
                          <a:noFill/>
                        </pic:spPr>
                      </pic:pic>
                    </a:graphicData>
                  </a:graphic>
                </wp:inline>
              </w:drawing>
            </w:r>
          </w:p>
        </w:tc>
      </w:tr>
      <w:tr w:rsidR="0031266F" w14:paraId="23DAAE50" w14:textId="77777777" w:rsidTr="23122070">
        <w:tc>
          <w:tcPr>
            <w:tcW w:w="937" w:type="dxa"/>
          </w:tcPr>
          <w:p w14:paraId="72A9202D" w14:textId="019099BD" w:rsidR="0031266F" w:rsidRDefault="0031266F" w:rsidP="00200A04">
            <w:pPr>
              <w:jc w:val="center"/>
              <w:rPr>
                <w:rFonts w:cstheme="minorHAnsi"/>
                <w:bCs/>
                <w:sz w:val="24"/>
                <w:szCs w:val="24"/>
              </w:rPr>
            </w:pPr>
            <w:r>
              <w:rPr>
                <w:rFonts w:cstheme="minorHAnsi"/>
                <w:bCs/>
                <w:sz w:val="24"/>
                <w:szCs w:val="24"/>
              </w:rPr>
              <w:lastRenderedPageBreak/>
              <w:t xml:space="preserve">Year </w:t>
            </w:r>
            <w:r w:rsidR="003F0161">
              <w:rPr>
                <w:rFonts w:cstheme="minorHAnsi"/>
                <w:bCs/>
                <w:sz w:val="24"/>
                <w:szCs w:val="24"/>
              </w:rPr>
              <w:t>4</w:t>
            </w:r>
          </w:p>
        </w:tc>
        <w:tc>
          <w:tcPr>
            <w:tcW w:w="8079" w:type="dxa"/>
          </w:tcPr>
          <w:p w14:paraId="152B35B9" w14:textId="1FCC3107" w:rsidR="0031266F" w:rsidRPr="00C735AB" w:rsidRDefault="00C735AB" w:rsidP="00200A04">
            <w:pPr>
              <w:rPr>
                <w:rFonts w:cstheme="minorHAnsi"/>
                <w:bCs/>
                <w:sz w:val="24"/>
                <w:szCs w:val="24"/>
                <w:u w:val="single"/>
              </w:rPr>
            </w:pPr>
            <w:r w:rsidRPr="00C735AB">
              <w:rPr>
                <w:rFonts w:cstheme="minorHAnsi"/>
                <w:bCs/>
                <w:sz w:val="24"/>
                <w:szCs w:val="24"/>
                <w:u w:val="single"/>
              </w:rPr>
              <w:t>Cookery</w:t>
            </w:r>
          </w:p>
          <w:p w14:paraId="5D4464C4" w14:textId="525BB3B4" w:rsidR="00C735AB" w:rsidRDefault="0E593D06" w:rsidP="23122070">
            <w:pPr>
              <w:rPr>
                <w:b/>
                <w:bCs/>
                <w:sz w:val="24"/>
                <w:szCs w:val="24"/>
              </w:rPr>
            </w:pPr>
            <w:r w:rsidRPr="23122070">
              <w:rPr>
                <w:b/>
                <w:bCs/>
                <w:sz w:val="24"/>
                <w:szCs w:val="24"/>
              </w:rPr>
              <w:t>Pre-Vocational Study Unit</w:t>
            </w:r>
            <w:r w:rsidR="6CC73554" w:rsidRPr="23122070">
              <w:rPr>
                <w:b/>
                <w:bCs/>
                <w:sz w:val="24"/>
                <w:szCs w:val="24"/>
              </w:rPr>
              <w:t xml:space="preserve"> 4: Preparing a Meal for Others</w:t>
            </w:r>
            <w:r w:rsidR="2B94B516" w:rsidRPr="23122070">
              <w:rPr>
                <w:b/>
                <w:bCs/>
                <w:sz w:val="24"/>
                <w:szCs w:val="24"/>
              </w:rPr>
              <w:t xml:space="preserve"> </w:t>
            </w:r>
            <w:r w:rsidRPr="23122070">
              <w:rPr>
                <w:b/>
                <w:bCs/>
                <w:sz w:val="24"/>
                <w:szCs w:val="24"/>
              </w:rPr>
              <w:t>(EL2)</w:t>
            </w:r>
            <w:r w:rsidR="00C735AB">
              <w:br/>
            </w:r>
            <w:r w:rsidR="677632EF" w:rsidRPr="23122070">
              <w:rPr>
                <w:rFonts w:ascii="Calibri" w:eastAsia="Calibri" w:hAnsi="Calibri" w:cs="Calibri"/>
                <w:sz w:val="24"/>
                <w:szCs w:val="24"/>
              </w:rPr>
              <w:t xml:space="preserve">In this unit, </w:t>
            </w:r>
            <w:r w:rsidR="58911AE9" w:rsidRPr="23122070">
              <w:rPr>
                <w:rFonts w:ascii="Calibri" w:eastAsia="Calibri" w:hAnsi="Calibri" w:cs="Calibri"/>
                <w:sz w:val="24"/>
                <w:szCs w:val="24"/>
              </w:rPr>
              <w:t>students</w:t>
            </w:r>
            <w:r w:rsidR="677632EF" w:rsidRPr="23122070">
              <w:rPr>
                <w:rFonts w:ascii="Calibri" w:eastAsia="Calibri" w:hAnsi="Calibri" w:cs="Calibri"/>
                <w:sz w:val="24"/>
                <w:szCs w:val="24"/>
              </w:rPr>
              <w:t xml:space="preserve"> develop skills in planning, preparing, and serving a meal. They practice selecting ingredients, following recipes, and working safely in a kitchen environment. The unit also promotes teamwork and communication, as </w:t>
            </w:r>
            <w:r w:rsidR="25A265D6" w:rsidRPr="23122070">
              <w:rPr>
                <w:rFonts w:ascii="Calibri" w:eastAsia="Calibri" w:hAnsi="Calibri" w:cs="Calibri"/>
                <w:sz w:val="24"/>
                <w:szCs w:val="24"/>
              </w:rPr>
              <w:t xml:space="preserve">students </w:t>
            </w:r>
            <w:r w:rsidR="677632EF" w:rsidRPr="23122070">
              <w:rPr>
                <w:rFonts w:ascii="Calibri" w:eastAsia="Calibri" w:hAnsi="Calibri" w:cs="Calibri"/>
                <w:sz w:val="24"/>
                <w:szCs w:val="24"/>
              </w:rPr>
              <w:t>collaborate to prepare and share food, gaining valuable practical experience.</w:t>
            </w:r>
          </w:p>
        </w:tc>
      </w:tr>
      <w:tr w:rsidR="008A2B9B" w14:paraId="2D3D9496" w14:textId="77777777" w:rsidTr="23122070">
        <w:tc>
          <w:tcPr>
            <w:tcW w:w="937" w:type="dxa"/>
          </w:tcPr>
          <w:p w14:paraId="50973E40" w14:textId="7685CB19" w:rsidR="008A2B9B" w:rsidRDefault="008A2B9B" w:rsidP="008A2B9B">
            <w:pPr>
              <w:jc w:val="center"/>
              <w:rPr>
                <w:rFonts w:cstheme="minorHAnsi"/>
                <w:bCs/>
                <w:sz w:val="24"/>
                <w:szCs w:val="24"/>
              </w:rPr>
            </w:pPr>
            <w:r>
              <w:rPr>
                <w:rFonts w:cstheme="minorHAnsi"/>
                <w:bCs/>
                <w:sz w:val="24"/>
                <w:szCs w:val="24"/>
              </w:rPr>
              <w:t xml:space="preserve">Year </w:t>
            </w:r>
            <w:r w:rsidR="003F0161">
              <w:rPr>
                <w:rFonts w:cstheme="minorHAnsi"/>
                <w:bCs/>
                <w:sz w:val="24"/>
                <w:szCs w:val="24"/>
              </w:rPr>
              <w:t>5</w:t>
            </w:r>
          </w:p>
        </w:tc>
        <w:tc>
          <w:tcPr>
            <w:tcW w:w="8079" w:type="dxa"/>
          </w:tcPr>
          <w:p w14:paraId="49926752" w14:textId="656A087B" w:rsidR="008A2B9B" w:rsidRPr="00C735AB" w:rsidRDefault="00C735AB" w:rsidP="008A2B9B">
            <w:pPr>
              <w:rPr>
                <w:rFonts w:cstheme="minorHAnsi"/>
                <w:bCs/>
                <w:sz w:val="24"/>
                <w:szCs w:val="24"/>
                <w:u w:val="single"/>
              </w:rPr>
            </w:pPr>
            <w:r w:rsidRPr="00C735AB">
              <w:rPr>
                <w:rFonts w:cstheme="minorHAnsi"/>
                <w:bCs/>
                <w:sz w:val="24"/>
                <w:szCs w:val="24"/>
                <w:u w:val="single"/>
              </w:rPr>
              <w:t>Cookery</w:t>
            </w:r>
          </w:p>
          <w:p w14:paraId="77B9C814" w14:textId="0FC39880" w:rsidR="00C735AB" w:rsidRDefault="0E593D06" w:rsidP="23122070">
            <w:pPr>
              <w:rPr>
                <w:b/>
                <w:bCs/>
                <w:sz w:val="24"/>
                <w:szCs w:val="24"/>
              </w:rPr>
            </w:pPr>
            <w:r w:rsidRPr="23122070">
              <w:rPr>
                <w:b/>
                <w:bCs/>
                <w:sz w:val="24"/>
                <w:szCs w:val="24"/>
              </w:rPr>
              <w:t xml:space="preserve">Pre-Vocational Study Unit </w:t>
            </w:r>
            <w:r w:rsidR="2B94B516" w:rsidRPr="23122070">
              <w:rPr>
                <w:b/>
                <w:bCs/>
                <w:sz w:val="24"/>
                <w:szCs w:val="24"/>
              </w:rPr>
              <w:t xml:space="preserve">14: Being Creative </w:t>
            </w:r>
            <w:r w:rsidRPr="23122070">
              <w:rPr>
                <w:b/>
                <w:bCs/>
                <w:sz w:val="24"/>
                <w:szCs w:val="24"/>
              </w:rPr>
              <w:t>(EL2)</w:t>
            </w:r>
            <w:r w:rsidR="004C03C2">
              <w:br/>
            </w:r>
            <w:r w:rsidR="365AF995" w:rsidRPr="23122070">
              <w:rPr>
                <w:rFonts w:ascii="Calibri" w:eastAsia="Calibri" w:hAnsi="Calibri" w:cs="Calibri"/>
                <w:sz w:val="24"/>
                <w:szCs w:val="24"/>
              </w:rPr>
              <w:t>In this unit, students enhance their creative abilities through projects that encourage originality and problem-solving. They build confidence in self-expression and develop skills to generate ideas, experiment with materials, and complete a creative task from concept to finished product.</w:t>
            </w:r>
          </w:p>
        </w:tc>
      </w:tr>
      <w:tr w:rsidR="008A2B9B" w14:paraId="093A8C11" w14:textId="77777777" w:rsidTr="23122070">
        <w:tc>
          <w:tcPr>
            <w:tcW w:w="937" w:type="dxa"/>
          </w:tcPr>
          <w:p w14:paraId="1605B449" w14:textId="212146C7" w:rsidR="008A2B9B" w:rsidRDefault="008A2B9B" w:rsidP="008A2B9B">
            <w:pPr>
              <w:jc w:val="center"/>
              <w:rPr>
                <w:rFonts w:cstheme="minorHAnsi"/>
                <w:bCs/>
                <w:sz w:val="24"/>
                <w:szCs w:val="24"/>
              </w:rPr>
            </w:pPr>
            <w:r>
              <w:rPr>
                <w:rFonts w:cstheme="minorHAnsi"/>
                <w:bCs/>
                <w:sz w:val="24"/>
                <w:szCs w:val="24"/>
              </w:rPr>
              <w:t xml:space="preserve">Year </w:t>
            </w:r>
            <w:r w:rsidR="003F0161">
              <w:rPr>
                <w:rFonts w:cstheme="minorHAnsi"/>
                <w:bCs/>
                <w:sz w:val="24"/>
                <w:szCs w:val="24"/>
              </w:rPr>
              <w:t>6</w:t>
            </w:r>
          </w:p>
        </w:tc>
        <w:tc>
          <w:tcPr>
            <w:tcW w:w="8079" w:type="dxa"/>
          </w:tcPr>
          <w:p w14:paraId="5053E212" w14:textId="24ADC88E" w:rsidR="008A2B9B" w:rsidRPr="00C735AB" w:rsidRDefault="00C735AB" w:rsidP="00C735AB">
            <w:pPr>
              <w:rPr>
                <w:rFonts w:cstheme="minorHAnsi"/>
                <w:bCs/>
                <w:sz w:val="24"/>
                <w:szCs w:val="24"/>
                <w:u w:val="single"/>
              </w:rPr>
            </w:pPr>
            <w:r w:rsidRPr="00C735AB">
              <w:rPr>
                <w:rFonts w:cstheme="minorHAnsi"/>
                <w:bCs/>
                <w:sz w:val="24"/>
                <w:szCs w:val="24"/>
                <w:u w:val="single"/>
              </w:rPr>
              <w:t>Enterprise</w:t>
            </w:r>
          </w:p>
          <w:p w14:paraId="308569DA" w14:textId="486B75EC" w:rsidR="00C735AB" w:rsidRPr="00C178B1" w:rsidRDefault="0E593D06" w:rsidP="23122070">
            <w:pPr>
              <w:rPr>
                <w:rFonts w:ascii="Calibri" w:eastAsia="Calibri" w:hAnsi="Calibri" w:cs="Calibri"/>
                <w:sz w:val="24"/>
                <w:szCs w:val="24"/>
              </w:rPr>
            </w:pPr>
            <w:r w:rsidRPr="23122070">
              <w:rPr>
                <w:b/>
                <w:bCs/>
                <w:sz w:val="24"/>
                <w:szCs w:val="24"/>
              </w:rPr>
              <w:t xml:space="preserve">Pre-Vocational Study Unit </w:t>
            </w:r>
            <w:r w:rsidR="7C0A6218" w:rsidRPr="23122070">
              <w:rPr>
                <w:b/>
                <w:bCs/>
                <w:sz w:val="24"/>
                <w:szCs w:val="24"/>
              </w:rPr>
              <w:t xml:space="preserve">15: Participating in an Enterprise Activity </w:t>
            </w:r>
            <w:r w:rsidRPr="23122070">
              <w:rPr>
                <w:b/>
                <w:bCs/>
                <w:sz w:val="24"/>
                <w:szCs w:val="24"/>
              </w:rPr>
              <w:t>(EL2)</w:t>
            </w:r>
            <w:r w:rsidR="004C03C2">
              <w:br/>
            </w:r>
            <w:r w:rsidR="37803EFC" w:rsidRPr="23122070">
              <w:rPr>
                <w:rFonts w:ascii="Calibri" w:eastAsia="Calibri" w:hAnsi="Calibri" w:cs="Calibri"/>
                <w:sz w:val="24"/>
                <w:szCs w:val="24"/>
              </w:rPr>
              <w:t xml:space="preserve">This unit introduces </w:t>
            </w:r>
            <w:r w:rsidR="36865F70" w:rsidRPr="23122070">
              <w:rPr>
                <w:rFonts w:ascii="Calibri" w:eastAsia="Calibri" w:hAnsi="Calibri" w:cs="Calibri"/>
                <w:sz w:val="24"/>
                <w:szCs w:val="24"/>
              </w:rPr>
              <w:t xml:space="preserve">students </w:t>
            </w:r>
            <w:r w:rsidR="37803EFC" w:rsidRPr="23122070">
              <w:rPr>
                <w:rFonts w:ascii="Calibri" w:eastAsia="Calibri" w:hAnsi="Calibri" w:cs="Calibri"/>
                <w:sz w:val="24"/>
                <w:szCs w:val="24"/>
              </w:rPr>
              <w:t>to the basic principles of entrepreneurship, including teamwork, budgeting, and customer service.</w:t>
            </w:r>
            <w:r w:rsidR="7AD09A17" w:rsidRPr="23122070">
              <w:rPr>
                <w:rFonts w:ascii="Calibri" w:eastAsia="Calibri" w:hAnsi="Calibri" w:cs="Calibri"/>
                <w:sz w:val="24"/>
                <w:szCs w:val="24"/>
              </w:rPr>
              <w:t xml:space="preserve"> Students </w:t>
            </w:r>
            <w:r w:rsidR="37803EFC" w:rsidRPr="23122070">
              <w:rPr>
                <w:rFonts w:ascii="Calibri" w:eastAsia="Calibri" w:hAnsi="Calibri" w:cs="Calibri"/>
                <w:sz w:val="24"/>
                <w:szCs w:val="24"/>
              </w:rPr>
              <w:t>work together to plan and carry out a small-scale business activity, gaining hands-on experience in roles that develop essential workplace skills.</w:t>
            </w:r>
          </w:p>
        </w:tc>
      </w:tr>
      <w:tr w:rsidR="008A2B9B" w14:paraId="79368111" w14:textId="77777777" w:rsidTr="23122070">
        <w:tc>
          <w:tcPr>
            <w:tcW w:w="937" w:type="dxa"/>
          </w:tcPr>
          <w:p w14:paraId="261C20AC" w14:textId="04E85CAE" w:rsidR="008A2B9B" w:rsidRDefault="008A2B9B" w:rsidP="008A2B9B">
            <w:pPr>
              <w:jc w:val="center"/>
              <w:rPr>
                <w:rFonts w:cstheme="minorHAnsi"/>
                <w:bCs/>
                <w:sz w:val="24"/>
                <w:szCs w:val="24"/>
              </w:rPr>
            </w:pPr>
            <w:r>
              <w:rPr>
                <w:rFonts w:cstheme="minorHAnsi"/>
                <w:bCs/>
                <w:sz w:val="24"/>
                <w:szCs w:val="24"/>
              </w:rPr>
              <w:t xml:space="preserve">Year </w:t>
            </w:r>
            <w:r w:rsidR="003F0161">
              <w:rPr>
                <w:rFonts w:cstheme="minorHAnsi"/>
                <w:bCs/>
                <w:sz w:val="24"/>
                <w:szCs w:val="24"/>
              </w:rPr>
              <w:t>7</w:t>
            </w:r>
          </w:p>
        </w:tc>
        <w:tc>
          <w:tcPr>
            <w:tcW w:w="8079" w:type="dxa"/>
          </w:tcPr>
          <w:p w14:paraId="1AC2405B" w14:textId="68828968" w:rsidR="008A2B9B" w:rsidRPr="00C735AB" w:rsidRDefault="00C735AB" w:rsidP="00C735AB">
            <w:pPr>
              <w:rPr>
                <w:rFonts w:cstheme="minorHAnsi"/>
                <w:bCs/>
                <w:sz w:val="24"/>
                <w:szCs w:val="24"/>
                <w:u w:val="single"/>
              </w:rPr>
            </w:pPr>
            <w:r w:rsidRPr="00C735AB">
              <w:rPr>
                <w:rFonts w:cstheme="minorHAnsi"/>
                <w:bCs/>
                <w:sz w:val="24"/>
                <w:szCs w:val="24"/>
                <w:u w:val="single"/>
              </w:rPr>
              <w:t xml:space="preserve">Enterprise </w:t>
            </w:r>
          </w:p>
          <w:p w14:paraId="536C34E8" w14:textId="7C036762" w:rsidR="00C178B1" w:rsidRPr="00BD2DED" w:rsidRDefault="0E593D06" w:rsidP="23122070">
            <w:pPr>
              <w:rPr>
                <w:rFonts w:ascii="Calibri" w:eastAsia="Calibri" w:hAnsi="Calibri" w:cs="Calibri"/>
                <w:sz w:val="24"/>
                <w:szCs w:val="24"/>
              </w:rPr>
            </w:pPr>
            <w:r w:rsidRPr="23122070">
              <w:rPr>
                <w:b/>
                <w:bCs/>
                <w:sz w:val="24"/>
                <w:szCs w:val="24"/>
              </w:rPr>
              <w:t xml:space="preserve">Pre-Vocational Study Unit </w:t>
            </w:r>
            <w:r w:rsidR="61B26BC5" w:rsidRPr="23122070">
              <w:rPr>
                <w:b/>
                <w:bCs/>
                <w:sz w:val="24"/>
                <w:szCs w:val="24"/>
              </w:rPr>
              <w:t xml:space="preserve">13: Create a Product </w:t>
            </w:r>
            <w:r w:rsidRPr="23122070">
              <w:rPr>
                <w:b/>
                <w:bCs/>
                <w:sz w:val="24"/>
                <w:szCs w:val="24"/>
              </w:rPr>
              <w:t>(EL2)</w:t>
            </w:r>
            <w:r w:rsidR="00BD2DED">
              <w:br/>
            </w:r>
            <w:r w:rsidR="49A54BF6" w:rsidRPr="23122070">
              <w:rPr>
                <w:rFonts w:ascii="Calibri" w:eastAsia="Calibri" w:hAnsi="Calibri" w:cs="Calibri"/>
                <w:sz w:val="24"/>
                <w:szCs w:val="24"/>
              </w:rPr>
              <w:t xml:space="preserve">This unit focuses on creativity as </w:t>
            </w:r>
            <w:r w:rsidR="1DE2F89F" w:rsidRPr="23122070">
              <w:rPr>
                <w:rFonts w:ascii="Calibri" w:eastAsia="Calibri" w:hAnsi="Calibri" w:cs="Calibri"/>
                <w:sz w:val="24"/>
                <w:szCs w:val="24"/>
              </w:rPr>
              <w:t>students</w:t>
            </w:r>
            <w:r w:rsidR="49A54BF6" w:rsidRPr="23122070">
              <w:rPr>
                <w:rFonts w:ascii="Calibri" w:eastAsia="Calibri" w:hAnsi="Calibri" w:cs="Calibri"/>
                <w:sz w:val="24"/>
                <w:szCs w:val="24"/>
              </w:rPr>
              <w:t xml:space="preserve"> design and produce a product. They practi</w:t>
            </w:r>
            <w:r w:rsidR="7080BA2C" w:rsidRPr="23122070">
              <w:rPr>
                <w:rFonts w:ascii="Calibri" w:eastAsia="Calibri" w:hAnsi="Calibri" w:cs="Calibri"/>
                <w:sz w:val="24"/>
                <w:szCs w:val="24"/>
              </w:rPr>
              <w:t>s</w:t>
            </w:r>
            <w:r w:rsidR="49A54BF6" w:rsidRPr="23122070">
              <w:rPr>
                <w:rFonts w:ascii="Calibri" w:eastAsia="Calibri" w:hAnsi="Calibri" w:cs="Calibri"/>
                <w:sz w:val="24"/>
                <w:szCs w:val="24"/>
              </w:rPr>
              <w:t xml:space="preserve">e planning, selecting materials, and refining their ideas based on feedback. </w:t>
            </w:r>
            <w:r w:rsidR="62D3DD66" w:rsidRPr="23122070">
              <w:rPr>
                <w:rFonts w:ascii="Calibri" w:eastAsia="Calibri" w:hAnsi="Calibri" w:cs="Calibri"/>
                <w:sz w:val="24"/>
                <w:szCs w:val="24"/>
              </w:rPr>
              <w:t xml:space="preserve">Students </w:t>
            </w:r>
            <w:r w:rsidR="49A54BF6" w:rsidRPr="23122070">
              <w:rPr>
                <w:rFonts w:ascii="Calibri" w:eastAsia="Calibri" w:hAnsi="Calibri" w:cs="Calibri"/>
                <w:sz w:val="24"/>
                <w:szCs w:val="24"/>
              </w:rPr>
              <w:t>gain an understanding of the product creation process, emphasi</w:t>
            </w:r>
            <w:r w:rsidR="69FA5814" w:rsidRPr="23122070">
              <w:rPr>
                <w:rFonts w:ascii="Calibri" w:eastAsia="Calibri" w:hAnsi="Calibri" w:cs="Calibri"/>
                <w:sz w:val="24"/>
                <w:szCs w:val="24"/>
              </w:rPr>
              <w:t>s</w:t>
            </w:r>
            <w:r w:rsidR="49A54BF6" w:rsidRPr="23122070">
              <w:rPr>
                <w:rFonts w:ascii="Calibri" w:eastAsia="Calibri" w:hAnsi="Calibri" w:cs="Calibri"/>
                <w:sz w:val="24"/>
                <w:szCs w:val="24"/>
              </w:rPr>
              <w:t>ing quality, design, and innovation.</w:t>
            </w:r>
          </w:p>
        </w:tc>
      </w:tr>
      <w:tr w:rsidR="008A2B9B" w14:paraId="1B6788AC" w14:textId="77777777" w:rsidTr="23122070">
        <w:tc>
          <w:tcPr>
            <w:tcW w:w="937" w:type="dxa"/>
          </w:tcPr>
          <w:p w14:paraId="3B0272BF" w14:textId="6EDA7D57" w:rsidR="008A2B9B" w:rsidRDefault="008A2B9B" w:rsidP="008A2B9B">
            <w:pPr>
              <w:jc w:val="center"/>
              <w:rPr>
                <w:rFonts w:cstheme="minorHAnsi"/>
                <w:bCs/>
                <w:sz w:val="24"/>
                <w:szCs w:val="24"/>
              </w:rPr>
            </w:pPr>
            <w:r>
              <w:rPr>
                <w:rFonts w:cstheme="minorHAnsi"/>
                <w:bCs/>
                <w:sz w:val="24"/>
                <w:szCs w:val="24"/>
              </w:rPr>
              <w:t xml:space="preserve">Year </w:t>
            </w:r>
            <w:r w:rsidR="003F0161">
              <w:rPr>
                <w:rFonts w:cstheme="minorHAnsi"/>
                <w:bCs/>
                <w:sz w:val="24"/>
                <w:szCs w:val="24"/>
              </w:rPr>
              <w:t>8</w:t>
            </w:r>
          </w:p>
        </w:tc>
        <w:tc>
          <w:tcPr>
            <w:tcW w:w="8079" w:type="dxa"/>
          </w:tcPr>
          <w:p w14:paraId="3C7F5886" w14:textId="31117F60" w:rsidR="008A2B9B" w:rsidRPr="00C735AB" w:rsidRDefault="00C735AB" w:rsidP="008A2B9B">
            <w:pPr>
              <w:rPr>
                <w:rFonts w:cstheme="minorHAnsi"/>
                <w:bCs/>
                <w:sz w:val="24"/>
                <w:szCs w:val="24"/>
                <w:u w:val="single"/>
              </w:rPr>
            </w:pPr>
            <w:r w:rsidRPr="00C735AB">
              <w:rPr>
                <w:rFonts w:cstheme="minorHAnsi"/>
                <w:bCs/>
                <w:sz w:val="24"/>
                <w:szCs w:val="24"/>
                <w:u w:val="single"/>
              </w:rPr>
              <w:t>Enterprise</w:t>
            </w:r>
          </w:p>
          <w:p w14:paraId="32705990" w14:textId="5F1E1EFA" w:rsidR="00C178B1" w:rsidRDefault="0E593D06" w:rsidP="008A2B9B">
            <w:pPr>
              <w:rPr>
                <w:rFonts w:cstheme="minorHAnsi"/>
                <w:b/>
                <w:sz w:val="24"/>
                <w:szCs w:val="24"/>
              </w:rPr>
            </w:pPr>
            <w:r w:rsidRPr="23122070">
              <w:rPr>
                <w:b/>
                <w:bCs/>
                <w:sz w:val="24"/>
                <w:szCs w:val="24"/>
              </w:rPr>
              <w:t xml:space="preserve">Pre-Vocational Study Unit </w:t>
            </w:r>
            <w:r w:rsidR="61B26BC5" w:rsidRPr="23122070">
              <w:rPr>
                <w:b/>
                <w:bCs/>
                <w:sz w:val="24"/>
                <w:szCs w:val="24"/>
              </w:rPr>
              <w:t xml:space="preserve">7: Contribute to </w:t>
            </w:r>
            <w:r w:rsidR="00AC55C0" w:rsidRPr="23122070">
              <w:rPr>
                <w:b/>
                <w:bCs/>
                <w:sz w:val="24"/>
                <w:szCs w:val="24"/>
              </w:rPr>
              <w:t xml:space="preserve">Running an Event </w:t>
            </w:r>
            <w:r w:rsidRPr="23122070">
              <w:rPr>
                <w:b/>
                <w:bCs/>
                <w:sz w:val="24"/>
                <w:szCs w:val="24"/>
              </w:rPr>
              <w:t>(EL2)</w:t>
            </w:r>
          </w:p>
          <w:p w14:paraId="48D4810C" w14:textId="5B801D0D" w:rsidR="00C735AB" w:rsidRPr="006A137B" w:rsidRDefault="1BEA123D" w:rsidP="23122070">
            <w:r w:rsidRPr="23122070">
              <w:rPr>
                <w:rFonts w:ascii="Calibri" w:eastAsia="Calibri" w:hAnsi="Calibri" w:cs="Calibri"/>
                <w:sz w:val="24"/>
                <w:szCs w:val="24"/>
              </w:rPr>
              <w:t>In this unit, students gain practical experience in organising and managing events. They plan, coordinate tasks, and address unexpected challenges, developing essential problem-solving and communication skills. Through teamwork, they learn how to deliver a successful event from start to finish.</w:t>
            </w:r>
          </w:p>
        </w:tc>
      </w:tr>
    </w:tbl>
    <w:p w14:paraId="45726F55" w14:textId="59175769" w:rsidR="0D5662E2" w:rsidRDefault="0D5662E2" w:rsidP="0D5662E2">
      <w:pPr>
        <w:rPr>
          <w:rFonts w:ascii="Calibri" w:eastAsia="Calibri" w:hAnsi="Calibri" w:cs="Calibri"/>
          <w:sz w:val="28"/>
          <w:szCs w:val="28"/>
        </w:rPr>
      </w:pPr>
    </w:p>
    <w:p w14:paraId="26C5DB50" w14:textId="5D8317E1" w:rsidR="7FB565E1" w:rsidRDefault="7FB565E1" w:rsidP="7FB565E1">
      <w:pPr>
        <w:rPr>
          <w:rFonts w:ascii="Calibri" w:eastAsia="Calibri" w:hAnsi="Calibri" w:cs="Calibri"/>
          <w:b/>
          <w:bCs/>
          <w:sz w:val="28"/>
          <w:szCs w:val="28"/>
        </w:rPr>
      </w:pPr>
    </w:p>
    <w:p w14:paraId="600626B7" w14:textId="581F9897" w:rsidR="7FB565E1" w:rsidRDefault="7FB565E1" w:rsidP="7FB565E1">
      <w:pPr>
        <w:rPr>
          <w:rFonts w:ascii="Calibri" w:eastAsia="Calibri" w:hAnsi="Calibri" w:cs="Calibri"/>
          <w:b/>
          <w:bCs/>
          <w:sz w:val="28"/>
          <w:szCs w:val="28"/>
        </w:rPr>
      </w:pPr>
    </w:p>
    <w:p w14:paraId="72AE280E" w14:textId="3363F4C6" w:rsidR="7FB565E1" w:rsidRDefault="7FB565E1" w:rsidP="7FB565E1">
      <w:pPr>
        <w:rPr>
          <w:rFonts w:ascii="Calibri" w:eastAsia="Calibri" w:hAnsi="Calibri" w:cs="Calibri"/>
          <w:b/>
          <w:bCs/>
          <w:sz w:val="28"/>
          <w:szCs w:val="28"/>
        </w:rPr>
      </w:pPr>
    </w:p>
    <w:p w14:paraId="01EB7433" w14:textId="40C788B2" w:rsidR="50F063B2" w:rsidRDefault="50F063B2" w:rsidP="0D5662E2">
      <w:pPr>
        <w:rPr>
          <w:rFonts w:ascii="Calibri" w:eastAsia="Calibri" w:hAnsi="Calibri" w:cs="Calibri"/>
          <w:b/>
          <w:sz w:val="24"/>
          <w:szCs w:val="24"/>
        </w:rPr>
      </w:pPr>
      <w:r w:rsidRPr="5750BC4C">
        <w:rPr>
          <w:rFonts w:ascii="Calibri" w:eastAsia="Calibri" w:hAnsi="Calibri" w:cs="Calibri"/>
          <w:b/>
          <w:sz w:val="24"/>
          <w:szCs w:val="24"/>
        </w:rPr>
        <w:t>Holistic Personal and Social Development in PfA</w:t>
      </w:r>
    </w:p>
    <w:p w14:paraId="3FE0C902" w14:textId="6DE939C6" w:rsidR="0047252F" w:rsidRDefault="50F063B2" w:rsidP="0D5662E2">
      <w:pPr>
        <w:rPr>
          <w:rFonts w:ascii="Calibri" w:eastAsia="Calibri" w:hAnsi="Calibri" w:cs="Calibri"/>
        </w:rPr>
      </w:pPr>
      <w:r w:rsidRPr="5750BC4C">
        <w:rPr>
          <w:rFonts w:ascii="Calibri" w:eastAsia="Calibri" w:hAnsi="Calibri" w:cs="Calibri"/>
          <w:sz w:val="24"/>
          <w:szCs w:val="24"/>
        </w:rPr>
        <w:t>O</w:t>
      </w:r>
      <w:r w:rsidR="5075A5F9" w:rsidRPr="5750BC4C">
        <w:rPr>
          <w:rFonts w:ascii="Calibri" w:eastAsia="Calibri" w:hAnsi="Calibri" w:cs="Calibri"/>
          <w:sz w:val="24"/>
          <w:szCs w:val="24"/>
        </w:rPr>
        <w:t xml:space="preserve">ur PfA programme supports students in developing essential life, personal, and social skills. It focuses on building self-awareness, resilience, and confidence, while fostering </w:t>
      </w:r>
      <w:r w:rsidR="5075A5F9" w:rsidRPr="5750BC4C">
        <w:rPr>
          <w:rFonts w:ascii="Calibri" w:eastAsia="Calibri" w:hAnsi="Calibri" w:cs="Calibri"/>
          <w:sz w:val="24"/>
          <w:szCs w:val="24"/>
        </w:rPr>
        <w:lastRenderedPageBreak/>
        <w:t>independence, communication, and teamwork. Students also explore cultural, moral, and spiritual perspectives, understand their rights and responsibilities, and develop practical skills for future education, employment, and independent living.  The programme also promotes equality, diversity, and active citizenship, helping students become well-rounded, confident, and socially responsible individuals.</w:t>
      </w:r>
    </w:p>
    <w:p w14:paraId="1711253D" w14:textId="39D5832B" w:rsidR="0047252F" w:rsidRDefault="74639B5A" w:rsidP="0D5662E2">
      <w:pPr>
        <w:rPr>
          <w:rFonts w:ascii="Calibri" w:eastAsia="Calibri" w:hAnsi="Calibri" w:cs="Calibri"/>
          <w:b/>
          <w:sz w:val="24"/>
          <w:szCs w:val="24"/>
        </w:rPr>
      </w:pPr>
      <w:r w:rsidRPr="5750BC4C">
        <w:rPr>
          <w:rFonts w:ascii="Calibri" w:eastAsia="Calibri" w:hAnsi="Calibri" w:cs="Calibri"/>
          <w:b/>
          <w:sz w:val="24"/>
          <w:szCs w:val="24"/>
        </w:rPr>
        <w:t>Personal Development in PfA</w:t>
      </w:r>
    </w:p>
    <w:p w14:paraId="42E2D1B7" w14:textId="40A678D8"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Developing self-awareness, emotional regulation, and resilience</w:t>
      </w:r>
    </w:p>
    <w:p w14:paraId="31773218" w14:textId="4C021202"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Building confidence and self-esteem through reflection and feedback</w:t>
      </w:r>
    </w:p>
    <w:p w14:paraId="20B37985" w14:textId="7CFD6992"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Exploring personal strengths, interests, and future goals</w:t>
      </w:r>
    </w:p>
    <w:p w14:paraId="6BF07ABB" w14:textId="03024F2A"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Learning strategies to manage anxiety and maintain mental well-being</w:t>
      </w:r>
    </w:p>
    <w:p w14:paraId="3DDF1B95" w14:textId="60F2ADCE"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Setting and working towards individual EHCP and personal targets</w:t>
      </w:r>
    </w:p>
    <w:p w14:paraId="6545B5AD" w14:textId="46BB57D0"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Encouraging independence in personal care, organisation, and decision-making</w:t>
      </w:r>
    </w:p>
    <w:p w14:paraId="06EE25DC" w14:textId="17148086" w:rsidR="0047252F" w:rsidRDefault="74639B5A" w:rsidP="0D5662E2">
      <w:pPr>
        <w:pStyle w:val="ListParagraph"/>
        <w:numPr>
          <w:ilvl w:val="0"/>
          <w:numId w:val="5"/>
        </w:numPr>
        <w:spacing w:before="240" w:after="240"/>
        <w:rPr>
          <w:rFonts w:ascii="Calibri" w:eastAsia="Calibri" w:hAnsi="Calibri" w:cs="Calibri"/>
          <w:sz w:val="24"/>
          <w:szCs w:val="24"/>
        </w:rPr>
      </w:pPr>
      <w:r w:rsidRPr="5750BC4C">
        <w:rPr>
          <w:rFonts w:ascii="Calibri" w:eastAsia="Calibri" w:hAnsi="Calibri" w:cs="Calibri"/>
          <w:sz w:val="24"/>
          <w:szCs w:val="24"/>
        </w:rPr>
        <w:t>Developing communication and social interaction skills</w:t>
      </w:r>
    </w:p>
    <w:p w14:paraId="21DF99FC" w14:textId="569ED3CA" w:rsidR="0047252F" w:rsidRDefault="74639B5A" w:rsidP="0D5662E2">
      <w:pPr>
        <w:spacing w:before="240" w:after="240"/>
        <w:rPr>
          <w:rFonts w:ascii="Calibri" w:eastAsia="Calibri" w:hAnsi="Calibri" w:cs="Calibri"/>
          <w:b/>
        </w:rPr>
      </w:pPr>
      <w:r w:rsidRPr="5750BC4C">
        <w:rPr>
          <w:rFonts w:ascii="Calibri" w:eastAsia="Calibri" w:hAnsi="Calibri" w:cs="Calibri"/>
          <w:b/>
          <w:sz w:val="24"/>
          <w:szCs w:val="24"/>
        </w:rPr>
        <w:t>Spiritual, Moral, Social, and Cultural (SMSC) Development / Cultural Capital and Character</w:t>
      </w:r>
    </w:p>
    <w:p w14:paraId="790A4537" w14:textId="4D062742"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Learning about and reflecting on diverse religious and spiritual beliefs</w:t>
      </w:r>
    </w:p>
    <w:p w14:paraId="08B39FCA" w14:textId="02DDFB13"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Understanding right from wrong and developing a moral compass</w:t>
      </w:r>
    </w:p>
    <w:p w14:paraId="4464619C" w14:textId="618EFE48"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Developing empathy, respect, and tolerance for others</w:t>
      </w:r>
    </w:p>
    <w:p w14:paraId="27F0EB2E" w14:textId="6794DFCC"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Participating in team activities, peer projects, and community events</w:t>
      </w:r>
    </w:p>
    <w:p w14:paraId="33D89D12" w14:textId="41E7AE9F"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Exploring a wide range of cultural experiences (e.g., visits, arts, food, festivals)</w:t>
      </w:r>
    </w:p>
    <w:p w14:paraId="3F2A68A2" w14:textId="36287440"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Building character through activities that promote perseverance, kindness, and honesty</w:t>
      </w:r>
    </w:p>
    <w:p w14:paraId="0251C900" w14:textId="5BA0649A" w:rsidR="0047252F" w:rsidRDefault="74639B5A" w:rsidP="0D5662E2">
      <w:pPr>
        <w:pStyle w:val="ListParagraph"/>
        <w:numPr>
          <w:ilvl w:val="0"/>
          <w:numId w:val="4"/>
        </w:numPr>
        <w:spacing w:before="240" w:after="240"/>
        <w:rPr>
          <w:rFonts w:ascii="Calibri" w:eastAsia="Calibri" w:hAnsi="Calibri" w:cs="Calibri"/>
          <w:sz w:val="24"/>
          <w:szCs w:val="24"/>
        </w:rPr>
      </w:pPr>
      <w:r w:rsidRPr="5750BC4C">
        <w:rPr>
          <w:rFonts w:ascii="Calibri" w:eastAsia="Calibri" w:hAnsi="Calibri" w:cs="Calibri"/>
          <w:sz w:val="24"/>
          <w:szCs w:val="24"/>
        </w:rPr>
        <w:t>Encouraging participation in enrichment, volunteering, and community engagement</w:t>
      </w:r>
    </w:p>
    <w:p w14:paraId="72BD5D03" w14:textId="5C0CCF7A" w:rsidR="0047252F" w:rsidRDefault="74639B5A" w:rsidP="0D5662E2">
      <w:pPr>
        <w:spacing w:before="240" w:after="240"/>
        <w:rPr>
          <w:rFonts w:ascii="Calibri" w:eastAsia="Calibri" w:hAnsi="Calibri" w:cs="Calibri"/>
          <w:b/>
        </w:rPr>
      </w:pPr>
      <w:r w:rsidRPr="5750BC4C">
        <w:rPr>
          <w:rFonts w:ascii="Calibri" w:eastAsia="Calibri" w:hAnsi="Calibri" w:cs="Calibri"/>
          <w:b/>
          <w:sz w:val="24"/>
          <w:szCs w:val="24"/>
        </w:rPr>
        <w:t>Preparation for the Next Stage of Life</w:t>
      </w:r>
    </w:p>
    <w:p w14:paraId="226C2CCD" w14:textId="3DB0F1EB"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Developing life skills, including cooking, shopping, budgeting, and travel training</w:t>
      </w:r>
    </w:p>
    <w:p w14:paraId="0D8E7808" w14:textId="30ABBB55"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Building workplace and employability skills through enterprise projects and work experience</w:t>
      </w:r>
    </w:p>
    <w:p w14:paraId="0942E9EF" w14:textId="08CA0829"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Understanding post-16 or post-19 education, employment, and training options</w:t>
      </w:r>
    </w:p>
    <w:p w14:paraId="3A34EF2F" w14:textId="187721C5"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Writing CVs, practising interview skills, and using career action plans</w:t>
      </w:r>
    </w:p>
    <w:p w14:paraId="4F79BC8A" w14:textId="4E2B0AB2"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Engaging with careers guidance and progression planning</w:t>
      </w:r>
    </w:p>
    <w:p w14:paraId="18CB72FF" w14:textId="11CCC204"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Exploring supported internships, apprenticeships, and further education pathways</w:t>
      </w:r>
    </w:p>
    <w:p w14:paraId="0262C80E" w14:textId="4A0A7EFB" w:rsidR="0047252F" w:rsidRDefault="74639B5A" w:rsidP="0D5662E2">
      <w:pPr>
        <w:pStyle w:val="ListParagraph"/>
        <w:numPr>
          <w:ilvl w:val="0"/>
          <w:numId w:val="3"/>
        </w:numPr>
        <w:spacing w:before="240" w:after="240"/>
        <w:rPr>
          <w:rFonts w:ascii="Calibri" w:eastAsia="Calibri" w:hAnsi="Calibri" w:cs="Calibri"/>
          <w:sz w:val="24"/>
          <w:szCs w:val="24"/>
        </w:rPr>
      </w:pPr>
      <w:r w:rsidRPr="5750BC4C">
        <w:rPr>
          <w:rFonts w:ascii="Calibri" w:eastAsia="Calibri" w:hAnsi="Calibri" w:cs="Calibri"/>
          <w:sz w:val="24"/>
          <w:szCs w:val="24"/>
        </w:rPr>
        <w:t>Developing skills for independent or supported living, including time management and self-advocacy</w:t>
      </w:r>
    </w:p>
    <w:p w14:paraId="3F25E2E1" w14:textId="10B90DE8" w:rsidR="0047252F" w:rsidRDefault="74639B5A" w:rsidP="0D5662E2">
      <w:pPr>
        <w:spacing w:before="240" w:after="240"/>
        <w:rPr>
          <w:rFonts w:ascii="Calibri" w:eastAsia="Calibri" w:hAnsi="Calibri" w:cs="Calibri"/>
          <w:b/>
        </w:rPr>
      </w:pPr>
      <w:r w:rsidRPr="5750BC4C">
        <w:rPr>
          <w:rFonts w:ascii="Calibri" w:eastAsia="Calibri" w:hAnsi="Calibri" w:cs="Calibri"/>
          <w:b/>
          <w:sz w:val="24"/>
          <w:szCs w:val="24"/>
        </w:rPr>
        <w:t>Fundamental British Values and Citizenship</w:t>
      </w:r>
    </w:p>
    <w:p w14:paraId="7C09330A" w14:textId="6D2F4FB7"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t>Promoting democracy through school councils and Votes for Schools debates</w:t>
      </w:r>
    </w:p>
    <w:p w14:paraId="3FD1ED9C" w14:textId="73136FE4"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t>Exploring the rule of law and understanding why rules matter in society</w:t>
      </w:r>
    </w:p>
    <w:p w14:paraId="39EFC7AE" w14:textId="4F386A45"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t>Understanding individual liberty and making informed choices</w:t>
      </w:r>
    </w:p>
    <w:p w14:paraId="221C5E1A" w14:textId="2B640BAA"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lastRenderedPageBreak/>
        <w:t>Encouraging mutual respect and tolerance for people of different faiths and beliefs</w:t>
      </w:r>
    </w:p>
    <w:p w14:paraId="698A8809" w14:textId="05DA7BA4"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t>Learning about rights and responsibilities as UK citizens</w:t>
      </w:r>
    </w:p>
    <w:p w14:paraId="4863C7FA" w14:textId="481903A0" w:rsidR="0047252F" w:rsidRDefault="74639B5A" w:rsidP="0D5662E2">
      <w:pPr>
        <w:pStyle w:val="ListParagraph"/>
        <w:numPr>
          <w:ilvl w:val="0"/>
          <w:numId w:val="2"/>
        </w:numPr>
        <w:spacing w:before="240" w:after="240"/>
        <w:rPr>
          <w:rFonts w:ascii="Calibri" w:eastAsia="Calibri" w:hAnsi="Calibri" w:cs="Calibri"/>
          <w:sz w:val="24"/>
          <w:szCs w:val="24"/>
        </w:rPr>
      </w:pPr>
      <w:r w:rsidRPr="5750BC4C">
        <w:rPr>
          <w:rFonts w:ascii="Calibri" w:eastAsia="Calibri" w:hAnsi="Calibri" w:cs="Calibri"/>
          <w:sz w:val="24"/>
          <w:szCs w:val="24"/>
        </w:rPr>
        <w:t>Participating in local, national, and global citizenship projects</w:t>
      </w:r>
    </w:p>
    <w:p w14:paraId="7239D05A" w14:textId="6FAECD64" w:rsidR="0047252F" w:rsidRDefault="74639B5A" w:rsidP="0D5662E2">
      <w:pPr>
        <w:spacing w:before="240" w:after="240"/>
        <w:rPr>
          <w:rFonts w:ascii="Calibri" w:eastAsia="Calibri" w:hAnsi="Calibri" w:cs="Calibri"/>
          <w:b/>
        </w:rPr>
      </w:pPr>
      <w:r w:rsidRPr="5750BC4C">
        <w:rPr>
          <w:rFonts w:ascii="Calibri" w:eastAsia="Calibri" w:hAnsi="Calibri" w:cs="Calibri"/>
          <w:b/>
          <w:sz w:val="24"/>
          <w:szCs w:val="24"/>
        </w:rPr>
        <w:t>Equality and Diversity</w:t>
      </w:r>
    </w:p>
    <w:p w14:paraId="5A093ABC" w14:textId="37B9A82B"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Promoting inclusion and celebrating differences across race, gender, religion, disability, and sexuality</w:t>
      </w:r>
    </w:p>
    <w:p w14:paraId="1D258020" w14:textId="7BDCD62B"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Understanding the impact of discrimination and prejudice</w:t>
      </w:r>
    </w:p>
    <w:p w14:paraId="419EDB35" w14:textId="784CB52D"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Learning about the Equality Act 2010 and protected characteristics</w:t>
      </w:r>
    </w:p>
    <w:p w14:paraId="5F08F63E" w14:textId="4837C12B"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Creating a safe and respectful school culture where all identities are valued</w:t>
      </w:r>
    </w:p>
    <w:p w14:paraId="76AC38C7" w14:textId="1AE83155"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Encouraging students to challenge stereotypes and advocate for fairness</w:t>
      </w:r>
    </w:p>
    <w:p w14:paraId="780C93AB" w14:textId="3316CBB3" w:rsidR="0047252F" w:rsidRDefault="74639B5A" w:rsidP="0D5662E2">
      <w:pPr>
        <w:pStyle w:val="ListParagraph"/>
        <w:numPr>
          <w:ilvl w:val="0"/>
          <w:numId w:val="1"/>
        </w:numPr>
        <w:spacing w:before="240" w:after="240"/>
        <w:rPr>
          <w:rFonts w:ascii="Calibri" w:eastAsia="Calibri" w:hAnsi="Calibri" w:cs="Calibri"/>
          <w:sz w:val="24"/>
          <w:szCs w:val="24"/>
        </w:rPr>
      </w:pPr>
      <w:r w:rsidRPr="5750BC4C">
        <w:rPr>
          <w:rFonts w:ascii="Calibri" w:eastAsia="Calibri" w:hAnsi="Calibri" w:cs="Calibri"/>
          <w:sz w:val="24"/>
          <w:szCs w:val="24"/>
        </w:rPr>
        <w:t>Exploring role models from diverse backgrounds</w:t>
      </w:r>
    </w:p>
    <w:p w14:paraId="4AFD154D" w14:textId="193199DA" w:rsidR="0047252F" w:rsidRDefault="0047252F" w:rsidP="00771047">
      <w:pPr>
        <w:rPr>
          <w:b/>
          <w:bCs/>
          <w:sz w:val="28"/>
          <w:szCs w:val="28"/>
          <w:u w:val="single"/>
        </w:rPr>
      </w:pPr>
    </w:p>
    <w:p w14:paraId="6C674C85" w14:textId="1B5BFFB0" w:rsidR="0047252F" w:rsidRDefault="0047252F" w:rsidP="00467021">
      <w:pPr>
        <w:rPr>
          <w:b/>
          <w:bCs/>
          <w:sz w:val="28"/>
          <w:szCs w:val="28"/>
          <w:u w:val="single"/>
        </w:rPr>
      </w:pPr>
    </w:p>
    <w:sectPr w:rsidR="0047252F" w:rsidSect="006E265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944B" w14:textId="77777777" w:rsidR="00F34638" w:rsidRDefault="00F34638" w:rsidP="0064197D">
      <w:pPr>
        <w:spacing w:after="0" w:line="240" w:lineRule="auto"/>
      </w:pPr>
      <w:r>
        <w:separator/>
      </w:r>
    </w:p>
  </w:endnote>
  <w:endnote w:type="continuationSeparator" w:id="0">
    <w:p w14:paraId="5DB6AAA6" w14:textId="77777777" w:rsidR="00F34638" w:rsidRDefault="00F34638" w:rsidP="0064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5124" w14:textId="77777777" w:rsidR="00F34638" w:rsidRDefault="00F34638" w:rsidP="0064197D">
      <w:pPr>
        <w:spacing w:after="0" w:line="240" w:lineRule="auto"/>
      </w:pPr>
      <w:r>
        <w:separator/>
      </w:r>
    </w:p>
  </w:footnote>
  <w:footnote w:type="continuationSeparator" w:id="0">
    <w:p w14:paraId="17E120A2" w14:textId="77777777" w:rsidR="00F34638" w:rsidRDefault="00F34638" w:rsidP="00641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7AFE"/>
    <w:multiLevelType w:val="hybridMultilevel"/>
    <w:tmpl w:val="345AEA12"/>
    <w:lvl w:ilvl="0" w:tplc="54384CC2">
      <w:start w:val="1"/>
      <w:numFmt w:val="bullet"/>
      <w:lvlText w:val=""/>
      <w:lvlJc w:val="left"/>
      <w:pPr>
        <w:ind w:left="720" w:hanging="360"/>
      </w:pPr>
      <w:rPr>
        <w:rFonts w:ascii="Symbol" w:hAnsi="Symbol" w:hint="default"/>
      </w:rPr>
    </w:lvl>
    <w:lvl w:ilvl="1" w:tplc="256C1F84">
      <w:start w:val="1"/>
      <w:numFmt w:val="bullet"/>
      <w:lvlText w:val="o"/>
      <w:lvlJc w:val="left"/>
      <w:pPr>
        <w:ind w:left="1440" w:hanging="360"/>
      </w:pPr>
      <w:rPr>
        <w:rFonts w:ascii="Courier New" w:hAnsi="Courier New" w:hint="default"/>
      </w:rPr>
    </w:lvl>
    <w:lvl w:ilvl="2" w:tplc="5A68C27E">
      <w:start w:val="1"/>
      <w:numFmt w:val="bullet"/>
      <w:lvlText w:val=""/>
      <w:lvlJc w:val="left"/>
      <w:pPr>
        <w:ind w:left="2160" w:hanging="360"/>
      </w:pPr>
      <w:rPr>
        <w:rFonts w:ascii="Wingdings" w:hAnsi="Wingdings" w:hint="default"/>
      </w:rPr>
    </w:lvl>
    <w:lvl w:ilvl="3" w:tplc="E57665E0">
      <w:start w:val="1"/>
      <w:numFmt w:val="bullet"/>
      <w:lvlText w:val=""/>
      <w:lvlJc w:val="left"/>
      <w:pPr>
        <w:ind w:left="2880" w:hanging="360"/>
      </w:pPr>
      <w:rPr>
        <w:rFonts w:ascii="Symbol" w:hAnsi="Symbol" w:hint="default"/>
      </w:rPr>
    </w:lvl>
    <w:lvl w:ilvl="4" w:tplc="C6729020">
      <w:start w:val="1"/>
      <w:numFmt w:val="bullet"/>
      <w:lvlText w:val="o"/>
      <w:lvlJc w:val="left"/>
      <w:pPr>
        <w:ind w:left="3600" w:hanging="360"/>
      </w:pPr>
      <w:rPr>
        <w:rFonts w:ascii="Courier New" w:hAnsi="Courier New" w:hint="default"/>
      </w:rPr>
    </w:lvl>
    <w:lvl w:ilvl="5" w:tplc="C35A0088">
      <w:start w:val="1"/>
      <w:numFmt w:val="bullet"/>
      <w:lvlText w:val=""/>
      <w:lvlJc w:val="left"/>
      <w:pPr>
        <w:ind w:left="4320" w:hanging="360"/>
      </w:pPr>
      <w:rPr>
        <w:rFonts w:ascii="Wingdings" w:hAnsi="Wingdings" w:hint="default"/>
      </w:rPr>
    </w:lvl>
    <w:lvl w:ilvl="6" w:tplc="9C90E570">
      <w:start w:val="1"/>
      <w:numFmt w:val="bullet"/>
      <w:lvlText w:val=""/>
      <w:lvlJc w:val="left"/>
      <w:pPr>
        <w:ind w:left="5040" w:hanging="360"/>
      </w:pPr>
      <w:rPr>
        <w:rFonts w:ascii="Symbol" w:hAnsi="Symbol" w:hint="default"/>
      </w:rPr>
    </w:lvl>
    <w:lvl w:ilvl="7" w:tplc="87BA6946">
      <w:start w:val="1"/>
      <w:numFmt w:val="bullet"/>
      <w:lvlText w:val="o"/>
      <w:lvlJc w:val="left"/>
      <w:pPr>
        <w:ind w:left="5760" w:hanging="360"/>
      </w:pPr>
      <w:rPr>
        <w:rFonts w:ascii="Courier New" w:hAnsi="Courier New" w:hint="default"/>
      </w:rPr>
    </w:lvl>
    <w:lvl w:ilvl="8" w:tplc="0C7095E8">
      <w:start w:val="1"/>
      <w:numFmt w:val="bullet"/>
      <w:lvlText w:val=""/>
      <w:lvlJc w:val="left"/>
      <w:pPr>
        <w:ind w:left="6480" w:hanging="360"/>
      </w:pPr>
      <w:rPr>
        <w:rFonts w:ascii="Wingdings" w:hAnsi="Wingdings" w:hint="default"/>
      </w:rPr>
    </w:lvl>
  </w:abstractNum>
  <w:abstractNum w:abstractNumId="1" w15:restartNumberingAfterBreak="0">
    <w:nsid w:val="20B5D9D9"/>
    <w:multiLevelType w:val="hybridMultilevel"/>
    <w:tmpl w:val="99E4255C"/>
    <w:lvl w:ilvl="0" w:tplc="987C721A">
      <w:start w:val="1"/>
      <w:numFmt w:val="bullet"/>
      <w:lvlText w:val=""/>
      <w:lvlJc w:val="left"/>
      <w:pPr>
        <w:ind w:left="720" w:hanging="360"/>
      </w:pPr>
      <w:rPr>
        <w:rFonts w:ascii="Symbol" w:hAnsi="Symbol" w:hint="default"/>
      </w:rPr>
    </w:lvl>
    <w:lvl w:ilvl="1" w:tplc="ADE2431E">
      <w:start w:val="1"/>
      <w:numFmt w:val="bullet"/>
      <w:lvlText w:val="o"/>
      <w:lvlJc w:val="left"/>
      <w:pPr>
        <w:ind w:left="1440" w:hanging="360"/>
      </w:pPr>
      <w:rPr>
        <w:rFonts w:ascii="Courier New" w:hAnsi="Courier New" w:hint="default"/>
      </w:rPr>
    </w:lvl>
    <w:lvl w:ilvl="2" w:tplc="580C3E18">
      <w:start w:val="1"/>
      <w:numFmt w:val="bullet"/>
      <w:lvlText w:val=""/>
      <w:lvlJc w:val="left"/>
      <w:pPr>
        <w:ind w:left="2160" w:hanging="360"/>
      </w:pPr>
      <w:rPr>
        <w:rFonts w:ascii="Wingdings" w:hAnsi="Wingdings" w:hint="default"/>
      </w:rPr>
    </w:lvl>
    <w:lvl w:ilvl="3" w:tplc="84FE8DD0">
      <w:start w:val="1"/>
      <w:numFmt w:val="bullet"/>
      <w:lvlText w:val=""/>
      <w:lvlJc w:val="left"/>
      <w:pPr>
        <w:ind w:left="2880" w:hanging="360"/>
      </w:pPr>
      <w:rPr>
        <w:rFonts w:ascii="Symbol" w:hAnsi="Symbol" w:hint="default"/>
      </w:rPr>
    </w:lvl>
    <w:lvl w:ilvl="4" w:tplc="040CB89A">
      <w:start w:val="1"/>
      <w:numFmt w:val="bullet"/>
      <w:lvlText w:val="o"/>
      <w:lvlJc w:val="left"/>
      <w:pPr>
        <w:ind w:left="3600" w:hanging="360"/>
      </w:pPr>
      <w:rPr>
        <w:rFonts w:ascii="Courier New" w:hAnsi="Courier New" w:hint="default"/>
      </w:rPr>
    </w:lvl>
    <w:lvl w:ilvl="5" w:tplc="728829DC">
      <w:start w:val="1"/>
      <w:numFmt w:val="bullet"/>
      <w:lvlText w:val=""/>
      <w:lvlJc w:val="left"/>
      <w:pPr>
        <w:ind w:left="4320" w:hanging="360"/>
      </w:pPr>
      <w:rPr>
        <w:rFonts w:ascii="Wingdings" w:hAnsi="Wingdings" w:hint="default"/>
      </w:rPr>
    </w:lvl>
    <w:lvl w:ilvl="6" w:tplc="239C8EE4">
      <w:start w:val="1"/>
      <w:numFmt w:val="bullet"/>
      <w:lvlText w:val=""/>
      <w:lvlJc w:val="left"/>
      <w:pPr>
        <w:ind w:left="5040" w:hanging="360"/>
      </w:pPr>
      <w:rPr>
        <w:rFonts w:ascii="Symbol" w:hAnsi="Symbol" w:hint="default"/>
      </w:rPr>
    </w:lvl>
    <w:lvl w:ilvl="7" w:tplc="5F40ADF2">
      <w:start w:val="1"/>
      <w:numFmt w:val="bullet"/>
      <w:lvlText w:val="o"/>
      <w:lvlJc w:val="left"/>
      <w:pPr>
        <w:ind w:left="5760" w:hanging="360"/>
      </w:pPr>
      <w:rPr>
        <w:rFonts w:ascii="Courier New" w:hAnsi="Courier New" w:hint="default"/>
      </w:rPr>
    </w:lvl>
    <w:lvl w:ilvl="8" w:tplc="C94C0A5A">
      <w:start w:val="1"/>
      <w:numFmt w:val="bullet"/>
      <w:lvlText w:val=""/>
      <w:lvlJc w:val="left"/>
      <w:pPr>
        <w:ind w:left="6480" w:hanging="360"/>
      </w:pPr>
      <w:rPr>
        <w:rFonts w:ascii="Wingdings" w:hAnsi="Wingdings" w:hint="default"/>
      </w:rPr>
    </w:lvl>
  </w:abstractNum>
  <w:abstractNum w:abstractNumId="2" w15:restartNumberingAfterBreak="0">
    <w:nsid w:val="2553CFF4"/>
    <w:multiLevelType w:val="hybridMultilevel"/>
    <w:tmpl w:val="68B6861A"/>
    <w:lvl w:ilvl="0" w:tplc="0FD4B804">
      <w:start w:val="1"/>
      <w:numFmt w:val="bullet"/>
      <w:lvlText w:val=""/>
      <w:lvlJc w:val="left"/>
      <w:pPr>
        <w:ind w:left="720" w:hanging="360"/>
      </w:pPr>
      <w:rPr>
        <w:rFonts w:ascii="Symbol" w:hAnsi="Symbol" w:hint="default"/>
      </w:rPr>
    </w:lvl>
    <w:lvl w:ilvl="1" w:tplc="E2BE1CE0">
      <w:start w:val="1"/>
      <w:numFmt w:val="bullet"/>
      <w:lvlText w:val="o"/>
      <w:lvlJc w:val="left"/>
      <w:pPr>
        <w:ind w:left="1440" w:hanging="360"/>
      </w:pPr>
      <w:rPr>
        <w:rFonts w:ascii="Courier New" w:hAnsi="Courier New" w:hint="default"/>
      </w:rPr>
    </w:lvl>
    <w:lvl w:ilvl="2" w:tplc="03D8C482">
      <w:start w:val="1"/>
      <w:numFmt w:val="bullet"/>
      <w:lvlText w:val=""/>
      <w:lvlJc w:val="left"/>
      <w:pPr>
        <w:ind w:left="2160" w:hanging="360"/>
      </w:pPr>
      <w:rPr>
        <w:rFonts w:ascii="Wingdings" w:hAnsi="Wingdings" w:hint="default"/>
      </w:rPr>
    </w:lvl>
    <w:lvl w:ilvl="3" w:tplc="4C40A660">
      <w:start w:val="1"/>
      <w:numFmt w:val="bullet"/>
      <w:lvlText w:val=""/>
      <w:lvlJc w:val="left"/>
      <w:pPr>
        <w:ind w:left="2880" w:hanging="360"/>
      </w:pPr>
      <w:rPr>
        <w:rFonts w:ascii="Symbol" w:hAnsi="Symbol" w:hint="default"/>
      </w:rPr>
    </w:lvl>
    <w:lvl w:ilvl="4" w:tplc="38E280FC">
      <w:start w:val="1"/>
      <w:numFmt w:val="bullet"/>
      <w:lvlText w:val="o"/>
      <w:lvlJc w:val="left"/>
      <w:pPr>
        <w:ind w:left="3600" w:hanging="360"/>
      </w:pPr>
      <w:rPr>
        <w:rFonts w:ascii="Courier New" w:hAnsi="Courier New" w:hint="default"/>
      </w:rPr>
    </w:lvl>
    <w:lvl w:ilvl="5" w:tplc="AE3A7F8E">
      <w:start w:val="1"/>
      <w:numFmt w:val="bullet"/>
      <w:lvlText w:val=""/>
      <w:lvlJc w:val="left"/>
      <w:pPr>
        <w:ind w:left="4320" w:hanging="360"/>
      </w:pPr>
      <w:rPr>
        <w:rFonts w:ascii="Wingdings" w:hAnsi="Wingdings" w:hint="default"/>
      </w:rPr>
    </w:lvl>
    <w:lvl w:ilvl="6" w:tplc="F33E17EC">
      <w:start w:val="1"/>
      <w:numFmt w:val="bullet"/>
      <w:lvlText w:val=""/>
      <w:lvlJc w:val="left"/>
      <w:pPr>
        <w:ind w:left="5040" w:hanging="360"/>
      </w:pPr>
      <w:rPr>
        <w:rFonts w:ascii="Symbol" w:hAnsi="Symbol" w:hint="default"/>
      </w:rPr>
    </w:lvl>
    <w:lvl w:ilvl="7" w:tplc="1C066094">
      <w:start w:val="1"/>
      <w:numFmt w:val="bullet"/>
      <w:lvlText w:val="o"/>
      <w:lvlJc w:val="left"/>
      <w:pPr>
        <w:ind w:left="5760" w:hanging="360"/>
      </w:pPr>
      <w:rPr>
        <w:rFonts w:ascii="Courier New" w:hAnsi="Courier New" w:hint="default"/>
      </w:rPr>
    </w:lvl>
    <w:lvl w:ilvl="8" w:tplc="89A03460">
      <w:start w:val="1"/>
      <w:numFmt w:val="bullet"/>
      <w:lvlText w:val=""/>
      <w:lvlJc w:val="left"/>
      <w:pPr>
        <w:ind w:left="6480" w:hanging="360"/>
      </w:pPr>
      <w:rPr>
        <w:rFonts w:ascii="Wingdings" w:hAnsi="Wingdings" w:hint="default"/>
      </w:rPr>
    </w:lvl>
  </w:abstractNum>
  <w:abstractNum w:abstractNumId="3" w15:restartNumberingAfterBreak="0">
    <w:nsid w:val="33D44435"/>
    <w:multiLevelType w:val="hybridMultilevel"/>
    <w:tmpl w:val="8BD84326"/>
    <w:lvl w:ilvl="0" w:tplc="541C3EB2">
      <w:start w:val="1"/>
      <w:numFmt w:val="bullet"/>
      <w:lvlText w:val=""/>
      <w:lvlJc w:val="left"/>
      <w:pPr>
        <w:ind w:left="720" w:hanging="360"/>
      </w:pPr>
      <w:rPr>
        <w:rFonts w:ascii="Symbol" w:hAnsi="Symbol" w:hint="default"/>
      </w:rPr>
    </w:lvl>
    <w:lvl w:ilvl="1" w:tplc="7E6EBB2C">
      <w:start w:val="1"/>
      <w:numFmt w:val="bullet"/>
      <w:lvlText w:val="o"/>
      <w:lvlJc w:val="left"/>
      <w:pPr>
        <w:ind w:left="1440" w:hanging="360"/>
      </w:pPr>
      <w:rPr>
        <w:rFonts w:ascii="Courier New" w:hAnsi="Courier New" w:hint="default"/>
      </w:rPr>
    </w:lvl>
    <w:lvl w:ilvl="2" w:tplc="3378D760">
      <w:start w:val="1"/>
      <w:numFmt w:val="bullet"/>
      <w:lvlText w:val=""/>
      <w:lvlJc w:val="left"/>
      <w:pPr>
        <w:ind w:left="2160" w:hanging="360"/>
      </w:pPr>
      <w:rPr>
        <w:rFonts w:ascii="Wingdings" w:hAnsi="Wingdings" w:hint="default"/>
      </w:rPr>
    </w:lvl>
    <w:lvl w:ilvl="3" w:tplc="16FC3CD8">
      <w:start w:val="1"/>
      <w:numFmt w:val="bullet"/>
      <w:lvlText w:val=""/>
      <w:lvlJc w:val="left"/>
      <w:pPr>
        <w:ind w:left="2880" w:hanging="360"/>
      </w:pPr>
      <w:rPr>
        <w:rFonts w:ascii="Symbol" w:hAnsi="Symbol" w:hint="default"/>
      </w:rPr>
    </w:lvl>
    <w:lvl w:ilvl="4" w:tplc="91E80FE8">
      <w:start w:val="1"/>
      <w:numFmt w:val="bullet"/>
      <w:lvlText w:val="o"/>
      <w:lvlJc w:val="left"/>
      <w:pPr>
        <w:ind w:left="3600" w:hanging="360"/>
      </w:pPr>
      <w:rPr>
        <w:rFonts w:ascii="Courier New" w:hAnsi="Courier New" w:hint="default"/>
      </w:rPr>
    </w:lvl>
    <w:lvl w:ilvl="5" w:tplc="7EBA1F48">
      <w:start w:val="1"/>
      <w:numFmt w:val="bullet"/>
      <w:lvlText w:val=""/>
      <w:lvlJc w:val="left"/>
      <w:pPr>
        <w:ind w:left="4320" w:hanging="360"/>
      </w:pPr>
      <w:rPr>
        <w:rFonts w:ascii="Wingdings" w:hAnsi="Wingdings" w:hint="default"/>
      </w:rPr>
    </w:lvl>
    <w:lvl w:ilvl="6" w:tplc="7D5A6BC6">
      <w:start w:val="1"/>
      <w:numFmt w:val="bullet"/>
      <w:lvlText w:val=""/>
      <w:lvlJc w:val="left"/>
      <w:pPr>
        <w:ind w:left="5040" w:hanging="360"/>
      </w:pPr>
      <w:rPr>
        <w:rFonts w:ascii="Symbol" w:hAnsi="Symbol" w:hint="default"/>
      </w:rPr>
    </w:lvl>
    <w:lvl w:ilvl="7" w:tplc="E2986B3A">
      <w:start w:val="1"/>
      <w:numFmt w:val="bullet"/>
      <w:lvlText w:val="o"/>
      <w:lvlJc w:val="left"/>
      <w:pPr>
        <w:ind w:left="5760" w:hanging="360"/>
      </w:pPr>
      <w:rPr>
        <w:rFonts w:ascii="Courier New" w:hAnsi="Courier New" w:hint="default"/>
      </w:rPr>
    </w:lvl>
    <w:lvl w:ilvl="8" w:tplc="FDBEF222">
      <w:start w:val="1"/>
      <w:numFmt w:val="bullet"/>
      <w:lvlText w:val=""/>
      <w:lvlJc w:val="left"/>
      <w:pPr>
        <w:ind w:left="6480" w:hanging="360"/>
      </w:pPr>
      <w:rPr>
        <w:rFonts w:ascii="Wingdings" w:hAnsi="Wingdings" w:hint="default"/>
      </w:rPr>
    </w:lvl>
  </w:abstractNum>
  <w:abstractNum w:abstractNumId="4" w15:restartNumberingAfterBreak="0">
    <w:nsid w:val="7A69788E"/>
    <w:multiLevelType w:val="hybridMultilevel"/>
    <w:tmpl w:val="2D84B156"/>
    <w:lvl w:ilvl="0" w:tplc="A2E80624">
      <w:start w:val="1"/>
      <w:numFmt w:val="bullet"/>
      <w:lvlText w:val=""/>
      <w:lvlJc w:val="left"/>
      <w:pPr>
        <w:ind w:left="720" w:hanging="360"/>
      </w:pPr>
      <w:rPr>
        <w:rFonts w:ascii="Symbol" w:hAnsi="Symbol" w:hint="default"/>
      </w:rPr>
    </w:lvl>
    <w:lvl w:ilvl="1" w:tplc="D8BC3286">
      <w:start w:val="1"/>
      <w:numFmt w:val="bullet"/>
      <w:lvlText w:val="o"/>
      <w:lvlJc w:val="left"/>
      <w:pPr>
        <w:ind w:left="1440" w:hanging="360"/>
      </w:pPr>
      <w:rPr>
        <w:rFonts w:ascii="Courier New" w:hAnsi="Courier New" w:hint="default"/>
      </w:rPr>
    </w:lvl>
    <w:lvl w:ilvl="2" w:tplc="9EE07C62">
      <w:start w:val="1"/>
      <w:numFmt w:val="bullet"/>
      <w:lvlText w:val=""/>
      <w:lvlJc w:val="left"/>
      <w:pPr>
        <w:ind w:left="2160" w:hanging="360"/>
      </w:pPr>
      <w:rPr>
        <w:rFonts w:ascii="Wingdings" w:hAnsi="Wingdings" w:hint="default"/>
      </w:rPr>
    </w:lvl>
    <w:lvl w:ilvl="3" w:tplc="38AA4836">
      <w:start w:val="1"/>
      <w:numFmt w:val="bullet"/>
      <w:lvlText w:val=""/>
      <w:lvlJc w:val="left"/>
      <w:pPr>
        <w:ind w:left="2880" w:hanging="360"/>
      </w:pPr>
      <w:rPr>
        <w:rFonts w:ascii="Symbol" w:hAnsi="Symbol" w:hint="default"/>
      </w:rPr>
    </w:lvl>
    <w:lvl w:ilvl="4" w:tplc="98381A6E">
      <w:start w:val="1"/>
      <w:numFmt w:val="bullet"/>
      <w:lvlText w:val="o"/>
      <w:lvlJc w:val="left"/>
      <w:pPr>
        <w:ind w:left="3600" w:hanging="360"/>
      </w:pPr>
      <w:rPr>
        <w:rFonts w:ascii="Courier New" w:hAnsi="Courier New" w:hint="default"/>
      </w:rPr>
    </w:lvl>
    <w:lvl w:ilvl="5" w:tplc="371A4F36">
      <w:start w:val="1"/>
      <w:numFmt w:val="bullet"/>
      <w:lvlText w:val=""/>
      <w:lvlJc w:val="left"/>
      <w:pPr>
        <w:ind w:left="4320" w:hanging="360"/>
      </w:pPr>
      <w:rPr>
        <w:rFonts w:ascii="Wingdings" w:hAnsi="Wingdings" w:hint="default"/>
      </w:rPr>
    </w:lvl>
    <w:lvl w:ilvl="6" w:tplc="5426A2E8">
      <w:start w:val="1"/>
      <w:numFmt w:val="bullet"/>
      <w:lvlText w:val=""/>
      <w:lvlJc w:val="left"/>
      <w:pPr>
        <w:ind w:left="5040" w:hanging="360"/>
      </w:pPr>
      <w:rPr>
        <w:rFonts w:ascii="Symbol" w:hAnsi="Symbol" w:hint="default"/>
      </w:rPr>
    </w:lvl>
    <w:lvl w:ilvl="7" w:tplc="32183BC6">
      <w:start w:val="1"/>
      <w:numFmt w:val="bullet"/>
      <w:lvlText w:val="o"/>
      <w:lvlJc w:val="left"/>
      <w:pPr>
        <w:ind w:left="5760" w:hanging="360"/>
      </w:pPr>
      <w:rPr>
        <w:rFonts w:ascii="Courier New" w:hAnsi="Courier New" w:hint="default"/>
      </w:rPr>
    </w:lvl>
    <w:lvl w:ilvl="8" w:tplc="6780F250">
      <w:start w:val="1"/>
      <w:numFmt w:val="bullet"/>
      <w:lvlText w:val=""/>
      <w:lvlJc w:val="left"/>
      <w:pPr>
        <w:ind w:left="6480" w:hanging="360"/>
      </w:pPr>
      <w:rPr>
        <w:rFonts w:ascii="Wingdings" w:hAnsi="Wingdings" w:hint="default"/>
      </w:rPr>
    </w:lvl>
  </w:abstractNum>
  <w:num w:numId="1" w16cid:durableId="2110273094">
    <w:abstractNumId w:val="2"/>
  </w:num>
  <w:num w:numId="2" w16cid:durableId="909537321">
    <w:abstractNumId w:val="0"/>
  </w:num>
  <w:num w:numId="3" w16cid:durableId="1167478551">
    <w:abstractNumId w:val="3"/>
  </w:num>
  <w:num w:numId="4" w16cid:durableId="836192850">
    <w:abstractNumId w:val="1"/>
  </w:num>
  <w:num w:numId="5" w16cid:durableId="6322507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61"/>
    <w:rsid w:val="00000E88"/>
    <w:rsid w:val="00001DFB"/>
    <w:rsid w:val="00002B6F"/>
    <w:rsid w:val="000054E0"/>
    <w:rsid w:val="00005C3A"/>
    <w:rsid w:val="000118E1"/>
    <w:rsid w:val="00012AC5"/>
    <w:rsid w:val="0001476A"/>
    <w:rsid w:val="00023FC0"/>
    <w:rsid w:val="000279F0"/>
    <w:rsid w:val="00031BFE"/>
    <w:rsid w:val="00042921"/>
    <w:rsid w:val="00044759"/>
    <w:rsid w:val="000478FD"/>
    <w:rsid w:val="00047A53"/>
    <w:rsid w:val="00047CD2"/>
    <w:rsid w:val="0006124E"/>
    <w:rsid w:val="00062F9C"/>
    <w:rsid w:val="000654AF"/>
    <w:rsid w:val="0007386F"/>
    <w:rsid w:val="00074B7F"/>
    <w:rsid w:val="000753A0"/>
    <w:rsid w:val="00083460"/>
    <w:rsid w:val="00086678"/>
    <w:rsid w:val="00092123"/>
    <w:rsid w:val="000A07AB"/>
    <w:rsid w:val="000A311E"/>
    <w:rsid w:val="000B0395"/>
    <w:rsid w:val="000B2AD4"/>
    <w:rsid w:val="000B61BC"/>
    <w:rsid w:val="000B6302"/>
    <w:rsid w:val="000C63EF"/>
    <w:rsid w:val="000E146A"/>
    <w:rsid w:val="000E3A1E"/>
    <w:rsid w:val="000E6716"/>
    <w:rsid w:val="000F0B4D"/>
    <w:rsid w:val="000F2787"/>
    <w:rsid w:val="000F5F61"/>
    <w:rsid w:val="00101F6E"/>
    <w:rsid w:val="00104A3A"/>
    <w:rsid w:val="001101F3"/>
    <w:rsid w:val="00111135"/>
    <w:rsid w:val="00121741"/>
    <w:rsid w:val="00124DC5"/>
    <w:rsid w:val="001308DD"/>
    <w:rsid w:val="00134B4C"/>
    <w:rsid w:val="001353CE"/>
    <w:rsid w:val="00137BE1"/>
    <w:rsid w:val="00147593"/>
    <w:rsid w:val="00151D6F"/>
    <w:rsid w:val="00155511"/>
    <w:rsid w:val="001564CA"/>
    <w:rsid w:val="00180BCE"/>
    <w:rsid w:val="0018266D"/>
    <w:rsid w:val="00183BA3"/>
    <w:rsid w:val="001840B3"/>
    <w:rsid w:val="001A6A34"/>
    <w:rsid w:val="001A7FF4"/>
    <w:rsid w:val="001B1F9A"/>
    <w:rsid w:val="001B6FCC"/>
    <w:rsid w:val="001C36FA"/>
    <w:rsid w:val="001C4B71"/>
    <w:rsid w:val="001C72C9"/>
    <w:rsid w:val="001C78B8"/>
    <w:rsid w:val="001D2492"/>
    <w:rsid w:val="001E461F"/>
    <w:rsid w:val="001E7926"/>
    <w:rsid w:val="001F375F"/>
    <w:rsid w:val="001F4B75"/>
    <w:rsid w:val="001F50B6"/>
    <w:rsid w:val="001F77E0"/>
    <w:rsid w:val="002060AE"/>
    <w:rsid w:val="002128F7"/>
    <w:rsid w:val="00222016"/>
    <w:rsid w:val="0023121A"/>
    <w:rsid w:val="00231373"/>
    <w:rsid w:val="002313A3"/>
    <w:rsid w:val="002332C9"/>
    <w:rsid w:val="002403DC"/>
    <w:rsid w:val="00241A8D"/>
    <w:rsid w:val="00241E05"/>
    <w:rsid w:val="00242193"/>
    <w:rsid w:val="00244B79"/>
    <w:rsid w:val="00246689"/>
    <w:rsid w:val="00250BFA"/>
    <w:rsid w:val="002645A0"/>
    <w:rsid w:val="0027033C"/>
    <w:rsid w:val="00273285"/>
    <w:rsid w:val="00274B6E"/>
    <w:rsid w:val="0028113D"/>
    <w:rsid w:val="00281362"/>
    <w:rsid w:val="00282D29"/>
    <w:rsid w:val="0029343B"/>
    <w:rsid w:val="0029672F"/>
    <w:rsid w:val="002A057F"/>
    <w:rsid w:val="002A0FF2"/>
    <w:rsid w:val="002A1A99"/>
    <w:rsid w:val="002A4082"/>
    <w:rsid w:val="002B1518"/>
    <w:rsid w:val="002B3CF3"/>
    <w:rsid w:val="002B6B4E"/>
    <w:rsid w:val="002C0D0C"/>
    <w:rsid w:val="002C5D69"/>
    <w:rsid w:val="002C7B22"/>
    <w:rsid w:val="002D03A0"/>
    <w:rsid w:val="002D3932"/>
    <w:rsid w:val="002D65EA"/>
    <w:rsid w:val="002D6A92"/>
    <w:rsid w:val="002E13CD"/>
    <w:rsid w:val="002E17F9"/>
    <w:rsid w:val="002F318F"/>
    <w:rsid w:val="002F7AC4"/>
    <w:rsid w:val="0031266F"/>
    <w:rsid w:val="00312A0F"/>
    <w:rsid w:val="00312CC3"/>
    <w:rsid w:val="00317982"/>
    <w:rsid w:val="00325A1C"/>
    <w:rsid w:val="003260F7"/>
    <w:rsid w:val="00331C75"/>
    <w:rsid w:val="00333219"/>
    <w:rsid w:val="00334892"/>
    <w:rsid w:val="003348FA"/>
    <w:rsid w:val="00343587"/>
    <w:rsid w:val="00344BBE"/>
    <w:rsid w:val="003467CA"/>
    <w:rsid w:val="00347A12"/>
    <w:rsid w:val="003508A0"/>
    <w:rsid w:val="003527C5"/>
    <w:rsid w:val="00356CB6"/>
    <w:rsid w:val="00360C31"/>
    <w:rsid w:val="00361F0C"/>
    <w:rsid w:val="00362878"/>
    <w:rsid w:val="00364125"/>
    <w:rsid w:val="00373645"/>
    <w:rsid w:val="0037442B"/>
    <w:rsid w:val="003752E3"/>
    <w:rsid w:val="003756FA"/>
    <w:rsid w:val="00375CB3"/>
    <w:rsid w:val="003808D8"/>
    <w:rsid w:val="00383EA5"/>
    <w:rsid w:val="00391255"/>
    <w:rsid w:val="0039441E"/>
    <w:rsid w:val="00394FC8"/>
    <w:rsid w:val="003A6E14"/>
    <w:rsid w:val="003A7BD6"/>
    <w:rsid w:val="003D4027"/>
    <w:rsid w:val="003D754E"/>
    <w:rsid w:val="003F0161"/>
    <w:rsid w:val="003F25BE"/>
    <w:rsid w:val="003F2F41"/>
    <w:rsid w:val="003F6841"/>
    <w:rsid w:val="004021CA"/>
    <w:rsid w:val="00403AD9"/>
    <w:rsid w:val="00405B12"/>
    <w:rsid w:val="00424672"/>
    <w:rsid w:val="00430F48"/>
    <w:rsid w:val="004313EA"/>
    <w:rsid w:val="00441873"/>
    <w:rsid w:val="00443C3C"/>
    <w:rsid w:val="00451FE6"/>
    <w:rsid w:val="00455476"/>
    <w:rsid w:val="004577C0"/>
    <w:rsid w:val="0046320A"/>
    <w:rsid w:val="0046482E"/>
    <w:rsid w:val="00467021"/>
    <w:rsid w:val="0047252F"/>
    <w:rsid w:val="00473A54"/>
    <w:rsid w:val="00482C8D"/>
    <w:rsid w:val="00492EAA"/>
    <w:rsid w:val="004A0ECB"/>
    <w:rsid w:val="004A22AC"/>
    <w:rsid w:val="004A28FC"/>
    <w:rsid w:val="004B2F1C"/>
    <w:rsid w:val="004B7013"/>
    <w:rsid w:val="004C03C2"/>
    <w:rsid w:val="004C04EF"/>
    <w:rsid w:val="004D3845"/>
    <w:rsid w:val="004E1515"/>
    <w:rsid w:val="004E2AF4"/>
    <w:rsid w:val="004E44AD"/>
    <w:rsid w:val="004E73AC"/>
    <w:rsid w:val="004F4057"/>
    <w:rsid w:val="005015ED"/>
    <w:rsid w:val="00501648"/>
    <w:rsid w:val="005061D7"/>
    <w:rsid w:val="005072FF"/>
    <w:rsid w:val="00507495"/>
    <w:rsid w:val="00510E85"/>
    <w:rsid w:val="0051423A"/>
    <w:rsid w:val="00517BDA"/>
    <w:rsid w:val="00522E71"/>
    <w:rsid w:val="00527914"/>
    <w:rsid w:val="00531B18"/>
    <w:rsid w:val="00534B5E"/>
    <w:rsid w:val="005402BE"/>
    <w:rsid w:val="00540477"/>
    <w:rsid w:val="00542966"/>
    <w:rsid w:val="00547F22"/>
    <w:rsid w:val="00554DBE"/>
    <w:rsid w:val="005567AE"/>
    <w:rsid w:val="0056400E"/>
    <w:rsid w:val="005640B6"/>
    <w:rsid w:val="00564893"/>
    <w:rsid w:val="0056654F"/>
    <w:rsid w:val="00573CC4"/>
    <w:rsid w:val="00586C07"/>
    <w:rsid w:val="00593EC7"/>
    <w:rsid w:val="00594002"/>
    <w:rsid w:val="005A7135"/>
    <w:rsid w:val="005A7405"/>
    <w:rsid w:val="005B566C"/>
    <w:rsid w:val="005C19EE"/>
    <w:rsid w:val="005C337E"/>
    <w:rsid w:val="005D7C73"/>
    <w:rsid w:val="005D7FD1"/>
    <w:rsid w:val="005E1936"/>
    <w:rsid w:val="005E22F9"/>
    <w:rsid w:val="005E40B6"/>
    <w:rsid w:val="005E7370"/>
    <w:rsid w:val="005F2D8F"/>
    <w:rsid w:val="005F4C60"/>
    <w:rsid w:val="00601085"/>
    <w:rsid w:val="00602170"/>
    <w:rsid w:val="00606FC3"/>
    <w:rsid w:val="0061086F"/>
    <w:rsid w:val="006117CF"/>
    <w:rsid w:val="00616BD9"/>
    <w:rsid w:val="0062246D"/>
    <w:rsid w:val="0062340D"/>
    <w:rsid w:val="0062663F"/>
    <w:rsid w:val="0063694F"/>
    <w:rsid w:val="006369B2"/>
    <w:rsid w:val="0064197D"/>
    <w:rsid w:val="006432D2"/>
    <w:rsid w:val="0064480E"/>
    <w:rsid w:val="00654D49"/>
    <w:rsid w:val="0065509A"/>
    <w:rsid w:val="006606BF"/>
    <w:rsid w:val="006622DB"/>
    <w:rsid w:val="00670693"/>
    <w:rsid w:val="00672785"/>
    <w:rsid w:val="00674CF9"/>
    <w:rsid w:val="006754BA"/>
    <w:rsid w:val="00677FF7"/>
    <w:rsid w:val="00682780"/>
    <w:rsid w:val="0068696C"/>
    <w:rsid w:val="00686FAE"/>
    <w:rsid w:val="00687DA2"/>
    <w:rsid w:val="00694250"/>
    <w:rsid w:val="006A137B"/>
    <w:rsid w:val="006A3AE3"/>
    <w:rsid w:val="006A3BB8"/>
    <w:rsid w:val="006A3D9A"/>
    <w:rsid w:val="006A5BF6"/>
    <w:rsid w:val="006A67BA"/>
    <w:rsid w:val="006B3709"/>
    <w:rsid w:val="006B7C36"/>
    <w:rsid w:val="006C2F09"/>
    <w:rsid w:val="006C6F9C"/>
    <w:rsid w:val="006D0DA8"/>
    <w:rsid w:val="006D1BA8"/>
    <w:rsid w:val="006E1076"/>
    <w:rsid w:val="006E1437"/>
    <w:rsid w:val="006E2658"/>
    <w:rsid w:val="006E52EC"/>
    <w:rsid w:val="006E64EB"/>
    <w:rsid w:val="00703C46"/>
    <w:rsid w:val="00704582"/>
    <w:rsid w:val="00710DE0"/>
    <w:rsid w:val="00711F43"/>
    <w:rsid w:val="00715A3C"/>
    <w:rsid w:val="00732374"/>
    <w:rsid w:val="00734CCA"/>
    <w:rsid w:val="00744FB5"/>
    <w:rsid w:val="0075171D"/>
    <w:rsid w:val="00752D50"/>
    <w:rsid w:val="00761D62"/>
    <w:rsid w:val="00770D32"/>
    <w:rsid w:val="00771047"/>
    <w:rsid w:val="0077179C"/>
    <w:rsid w:val="00773535"/>
    <w:rsid w:val="00775D10"/>
    <w:rsid w:val="00776564"/>
    <w:rsid w:val="00783F48"/>
    <w:rsid w:val="00791694"/>
    <w:rsid w:val="00794AB9"/>
    <w:rsid w:val="007970C0"/>
    <w:rsid w:val="007A20A0"/>
    <w:rsid w:val="007A4D19"/>
    <w:rsid w:val="007A6DD3"/>
    <w:rsid w:val="007A7F0F"/>
    <w:rsid w:val="007B0A43"/>
    <w:rsid w:val="007C635B"/>
    <w:rsid w:val="007C647A"/>
    <w:rsid w:val="007C784F"/>
    <w:rsid w:val="007D2C50"/>
    <w:rsid w:val="007D3823"/>
    <w:rsid w:val="007D3AE7"/>
    <w:rsid w:val="007D3B53"/>
    <w:rsid w:val="007D5BDB"/>
    <w:rsid w:val="007F2CAA"/>
    <w:rsid w:val="007F3C1D"/>
    <w:rsid w:val="007F62FE"/>
    <w:rsid w:val="0080050C"/>
    <w:rsid w:val="00802311"/>
    <w:rsid w:val="00805058"/>
    <w:rsid w:val="0081427A"/>
    <w:rsid w:val="00814FD5"/>
    <w:rsid w:val="00816A68"/>
    <w:rsid w:val="00817BB8"/>
    <w:rsid w:val="008258F8"/>
    <w:rsid w:val="008306E5"/>
    <w:rsid w:val="008331D5"/>
    <w:rsid w:val="00833A94"/>
    <w:rsid w:val="00834220"/>
    <w:rsid w:val="008352B6"/>
    <w:rsid w:val="00836DDB"/>
    <w:rsid w:val="00860F04"/>
    <w:rsid w:val="00864163"/>
    <w:rsid w:val="008643A4"/>
    <w:rsid w:val="0087252D"/>
    <w:rsid w:val="008748D2"/>
    <w:rsid w:val="00874BF4"/>
    <w:rsid w:val="00874DDF"/>
    <w:rsid w:val="00882C2B"/>
    <w:rsid w:val="0088425B"/>
    <w:rsid w:val="0088732A"/>
    <w:rsid w:val="00893247"/>
    <w:rsid w:val="0089561E"/>
    <w:rsid w:val="00896092"/>
    <w:rsid w:val="00896639"/>
    <w:rsid w:val="008A21B6"/>
    <w:rsid w:val="008A2B9B"/>
    <w:rsid w:val="008A5775"/>
    <w:rsid w:val="008A6903"/>
    <w:rsid w:val="008B1BB3"/>
    <w:rsid w:val="008B288E"/>
    <w:rsid w:val="008B54C3"/>
    <w:rsid w:val="008C020D"/>
    <w:rsid w:val="008C1367"/>
    <w:rsid w:val="008C1799"/>
    <w:rsid w:val="008C5E49"/>
    <w:rsid w:val="008D4967"/>
    <w:rsid w:val="008D7E68"/>
    <w:rsid w:val="008E399F"/>
    <w:rsid w:val="008E52B6"/>
    <w:rsid w:val="008F1589"/>
    <w:rsid w:val="008F7083"/>
    <w:rsid w:val="00914188"/>
    <w:rsid w:val="0091738B"/>
    <w:rsid w:val="0091AA16"/>
    <w:rsid w:val="00932A67"/>
    <w:rsid w:val="0094556B"/>
    <w:rsid w:val="00947047"/>
    <w:rsid w:val="00947E45"/>
    <w:rsid w:val="00957924"/>
    <w:rsid w:val="00962B0A"/>
    <w:rsid w:val="0097285D"/>
    <w:rsid w:val="009742ED"/>
    <w:rsid w:val="00984168"/>
    <w:rsid w:val="00984452"/>
    <w:rsid w:val="00987EB2"/>
    <w:rsid w:val="00990254"/>
    <w:rsid w:val="009907C3"/>
    <w:rsid w:val="009917CB"/>
    <w:rsid w:val="009A1670"/>
    <w:rsid w:val="009A3991"/>
    <w:rsid w:val="009A6615"/>
    <w:rsid w:val="009A730A"/>
    <w:rsid w:val="009B306B"/>
    <w:rsid w:val="009B5344"/>
    <w:rsid w:val="009C1719"/>
    <w:rsid w:val="009C2FBA"/>
    <w:rsid w:val="009C58FF"/>
    <w:rsid w:val="009C7E21"/>
    <w:rsid w:val="009D0382"/>
    <w:rsid w:val="009E6205"/>
    <w:rsid w:val="009F01E1"/>
    <w:rsid w:val="00A0231F"/>
    <w:rsid w:val="00A070CD"/>
    <w:rsid w:val="00A11F68"/>
    <w:rsid w:val="00A151C4"/>
    <w:rsid w:val="00A15623"/>
    <w:rsid w:val="00A24215"/>
    <w:rsid w:val="00A257D7"/>
    <w:rsid w:val="00A2701C"/>
    <w:rsid w:val="00A321C9"/>
    <w:rsid w:val="00A33649"/>
    <w:rsid w:val="00A3719A"/>
    <w:rsid w:val="00A46BD7"/>
    <w:rsid w:val="00A46E07"/>
    <w:rsid w:val="00A50073"/>
    <w:rsid w:val="00A55163"/>
    <w:rsid w:val="00A60008"/>
    <w:rsid w:val="00A61823"/>
    <w:rsid w:val="00A61BFA"/>
    <w:rsid w:val="00A67ACE"/>
    <w:rsid w:val="00A86372"/>
    <w:rsid w:val="00A87A4C"/>
    <w:rsid w:val="00A91722"/>
    <w:rsid w:val="00A93A56"/>
    <w:rsid w:val="00AA27F9"/>
    <w:rsid w:val="00AB284A"/>
    <w:rsid w:val="00AB45B3"/>
    <w:rsid w:val="00AB4809"/>
    <w:rsid w:val="00AB6322"/>
    <w:rsid w:val="00AC55C0"/>
    <w:rsid w:val="00AD3263"/>
    <w:rsid w:val="00AE16B1"/>
    <w:rsid w:val="00AF375A"/>
    <w:rsid w:val="00AF3BC6"/>
    <w:rsid w:val="00B017C5"/>
    <w:rsid w:val="00B02C18"/>
    <w:rsid w:val="00B0682E"/>
    <w:rsid w:val="00B15726"/>
    <w:rsid w:val="00B25CBE"/>
    <w:rsid w:val="00B27C44"/>
    <w:rsid w:val="00B36063"/>
    <w:rsid w:val="00B418DF"/>
    <w:rsid w:val="00B53CB0"/>
    <w:rsid w:val="00B62860"/>
    <w:rsid w:val="00B632A9"/>
    <w:rsid w:val="00B7435C"/>
    <w:rsid w:val="00B76DF0"/>
    <w:rsid w:val="00B818A7"/>
    <w:rsid w:val="00B945AB"/>
    <w:rsid w:val="00BA181F"/>
    <w:rsid w:val="00BA4E68"/>
    <w:rsid w:val="00BB373B"/>
    <w:rsid w:val="00BB7911"/>
    <w:rsid w:val="00BC07BF"/>
    <w:rsid w:val="00BC0FD3"/>
    <w:rsid w:val="00BD09B2"/>
    <w:rsid w:val="00BD2DED"/>
    <w:rsid w:val="00BD41BF"/>
    <w:rsid w:val="00BD5B04"/>
    <w:rsid w:val="00BE0B4F"/>
    <w:rsid w:val="00BE1B3A"/>
    <w:rsid w:val="00BE2F89"/>
    <w:rsid w:val="00BE5948"/>
    <w:rsid w:val="00C00B01"/>
    <w:rsid w:val="00C016E0"/>
    <w:rsid w:val="00C05231"/>
    <w:rsid w:val="00C178B1"/>
    <w:rsid w:val="00C204D8"/>
    <w:rsid w:val="00C225D3"/>
    <w:rsid w:val="00C23E9E"/>
    <w:rsid w:val="00C24724"/>
    <w:rsid w:val="00C2512F"/>
    <w:rsid w:val="00C44D6F"/>
    <w:rsid w:val="00C50396"/>
    <w:rsid w:val="00C5067E"/>
    <w:rsid w:val="00C50EFF"/>
    <w:rsid w:val="00C518BC"/>
    <w:rsid w:val="00C52AB0"/>
    <w:rsid w:val="00C619E1"/>
    <w:rsid w:val="00C6315B"/>
    <w:rsid w:val="00C709B1"/>
    <w:rsid w:val="00C71C28"/>
    <w:rsid w:val="00C71FB2"/>
    <w:rsid w:val="00C7250F"/>
    <w:rsid w:val="00C735AB"/>
    <w:rsid w:val="00C84A52"/>
    <w:rsid w:val="00C858E0"/>
    <w:rsid w:val="00C90FA3"/>
    <w:rsid w:val="00C9307B"/>
    <w:rsid w:val="00C93DD3"/>
    <w:rsid w:val="00C94162"/>
    <w:rsid w:val="00CA3BCA"/>
    <w:rsid w:val="00CA3ECF"/>
    <w:rsid w:val="00CA56F9"/>
    <w:rsid w:val="00CA66CE"/>
    <w:rsid w:val="00CB0868"/>
    <w:rsid w:val="00CC7505"/>
    <w:rsid w:val="00CD48F2"/>
    <w:rsid w:val="00CD70DB"/>
    <w:rsid w:val="00CE272A"/>
    <w:rsid w:val="00CE4DA9"/>
    <w:rsid w:val="00CF1C3E"/>
    <w:rsid w:val="00CF5B3B"/>
    <w:rsid w:val="00CF5B3D"/>
    <w:rsid w:val="00D06261"/>
    <w:rsid w:val="00D130AF"/>
    <w:rsid w:val="00D1363F"/>
    <w:rsid w:val="00D14F86"/>
    <w:rsid w:val="00D156A9"/>
    <w:rsid w:val="00D16F5F"/>
    <w:rsid w:val="00D1732A"/>
    <w:rsid w:val="00D21255"/>
    <w:rsid w:val="00D22AEE"/>
    <w:rsid w:val="00D2737A"/>
    <w:rsid w:val="00D30C9F"/>
    <w:rsid w:val="00D3114E"/>
    <w:rsid w:val="00D36F10"/>
    <w:rsid w:val="00D37077"/>
    <w:rsid w:val="00D436BB"/>
    <w:rsid w:val="00D44BA9"/>
    <w:rsid w:val="00D45878"/>
    <w:rsid w:val="00D51EA9"/>
    <w:rsid w:val="00D52323"/>
    <w:rsid w:val="00D5324B"/>
    <w:rsid w:val="00D56AEB"/>
    <w:rsid w:val="00D65840"/>
    <w:rsid w:val="00D6645C"/>
    <w:rsid w:val="00D76AC0"/>
    <w:rsid w:val="00D80CB8"/>
    <w:rsid w:val="00D9016B"/>
    <w:rsid w:val="00D93512"/>
    <w:rsid w:val="00D94768"/>
    <w:rsid w:val="00DA24BD"/>
    <w:rsid w:val="00DA2C32"/>
    <w:rsid w:val="00DA6C46"/>
    <w:rsid w:val="00DB4289"/>
    <w:rsid w:val="00DB7BD8"/>
    <w:rsid w:val="00DC5D25"/>
    <w:rsid w:val="00DE15E9"/>
    <w:rsid w:val="00DE47C5"/>
    <w:rsid w:val="00DF0293"/>
    <w:rsid w:val="00DF1C10"/>
    <w:rsid w:val="00DF46DF"/>
    <w:rsid w:val="00DF564D"/>
    <w:rsid w:val="00E01D33"/>
    <w:rsid w:val="00E0269B"/>
    <w:rsid w:val="00E03F1E"/>
    <w:rsid w:val="00E046CF"/>
    <w:rsid w:val="00E05C1A"/>
    <w:rsid w:val="00E074B2"/>
    <w:rsid w:val="00E220C7"/>
    <w:rsid w:val="00E22D62"/>
    <w:rsid w:val="00E24DBE"/>
    <w:rsid w:val="00E34204"/>
    <w:rsid w:val="00E37989"/>
    <w:rsid w:val="00E407F3"/>
    <w:rsid w:val="00E40E7B"/>
    <w:rsid w:val="00E47388"/>
    <w:rsid w:val="00E47541"/>
    <w:rsid w:val="00E52280"/>
    <w:rsid w:val="00E56B92"/>
    <w:rsid w:val="00E56F9C"/>
    <w:rsid w:val="00E614A6"/>
    <w:rsid w:val="00E61EDA"/>
    <w:rsid w:val="00E64035"/>
    <w:rsid w:val="00E72329"/>
    <w:rsid w:val="00E75B80"/>
    <w:rsid w:val="00E82985"/>
    <w:rsid w:val="00E858A7"/>
    <w:rsid w:val="00E86060"/>
    <w:rsid w:val="00E86C95"/>
    <w:rsid w:val="00E90410"/>
    <w:rsid w:val="00E913C5"/>
    <w:rsid w:val="00E9382D"/>
    <w:rsid w:val="00E939B0"/>
    <w:rsid w:val="00E93F36"/>
    <w:rsid w:val="00E951E7"/>
    <w:rsid w:val="00EB0C3B"/>
    <w:rsid w:val="00EB1171"/>
    <w:rsid w:val="00EB1BE6"/>
    <w:rsid w:val="00EB352E"/>
    <w:rsid w:val="00EC6EC8"/>
    <w:rsid w:val="00ED0DF3"/>
    <w:rsid w:val="00ED408E"/>
    <w:rsid w:val="00EE5AC2"/>
    <w:rsid w:val="00EE5D81"/>
    <w:rsid w:val="00EF1305"/>
    <w:rsid w:val="00EF31E4"/>
    <w:rsid w:val="00F00004"/>
    <w:rsid w:val="00F0685C"/>
    <w:rsid w:val="00F10B3A"/>
    <w:rsid w:val="00F14043"/>
    <w:rsid w:val="00F1568A"/>
    <w:rsid w:val="00F31B89"/>
    <w:rsid w:val="00F33779"/>
    <w:rsid w:val="00F34638"/>
    <w:rsid w:val="00F35251"/>
    <w:rsid w:val="00F36F03"/>
    <w:rsid w:val="00F370E2"/>
    <w:rsid w:val="00F375A3"/>
    <w:rsid w:val="00F37CE3"/>
    <w:rsid w:val="00F40503"/>
    <w:rsid w:val="00F438B1"/>
    <w:rsid w:val="00F43FFC"/>
    <w:rsid w:val="00F51083"/>
    <w:rsid w:val="00F629BF"/>
    <w:rsid w:val="00F62C90"/>
    <w:rsid w:val="00F743B1"/>
    <w:rsid w:val="00F74B46"/>
    <w:rsid w:val="00F81A6E"/>
    <w:rsid w:val="00F81CDF"/>
    <w:rsid w:val="00F82878"/>
    <w:rsid w:val="00F90F34"/>
    <w:rsid w:val="00F923AD"/>
    <w:rsid w:val="00F93211"/>
    <w:rsid w:val="00F972B3"/>
    <w:rsid w:val="00FA2C01"/>
    <w:rsid w:val="00FA2D42"/>
    <w:rsid w:val="00FA4D7D"/>
    <w:rsid w:val="00FA6AEC"/>
    <w:rsid w:val="00FB26D9"/>
    <w:rsid w:val="00FB359E"/>
    <w:rsid w:val="00FB6CE0"/>
    <w:rsid w:val="00FC3771"/>
    <w:rsid w:val="00FC6218"/>
    <w:rsid w:val="00FD024C"/>
    <w:rsid w:val="00FD68C2"/>
    <w:rsid w:val="00FE6D06"/>
    <w:rsid w:val="00FF4595"/>
    <w:rsid w:val="013F5628"/>
    <w:rsid w:val="019A3514"/>
    <w:rsid w:val="01A606B8"/>
    <w:rsid w:val="01C428BA"/>
    <w:rsid w:val="020F6A59"/>
    <w:rsid w:val="0240780B"/>
    <w:rsid w:val="02802E1F"/>
    <w:rsid w:val="02C16C92"/>
    <w:rsid w:val="032F1242"/>
    <w:rsid w:val="03768A23"/>
    <w:rsid w:val="059D7A7E"/>
    <w:rsid w:val="05DEA5DD"/>
    <w:rsid w:val="0683450E"/>
    <w:rsid w:val="06935935"/>
    <w:rsid w:val="08406A40"/>
    <w:rsid w:val="09499867"/>
    <w:rsid w:val="09998350"/>
    <w:rsid w:val="0B719788"/>
    <w:rsid w:val="0BEC290D"/>
    <w:rsid w:val="0BECDC67"/>
    <w:rsid w:val="0C7B096B"/>
    <w:rsid w:val="0C83EDA9"/>
    <w:rsid w:val="0CCAC77C"/>
    <w:rsid w:val="0D1397BD"/>
    <w:rsid w:val="0D5662E2"/>
    <w:rsid w:val="0D59FA2C"/>
    <w:rsid w:val="0D832D90"/>
    <w:rsid w:val="0E593D06"/>
    <w:rsid w:val="0FA7F587"/>
    <w:rsid w:val="0FFE83FF"/>
    <w:rsid w:val="1040CFE8"/>
    <w:rsid w:val="104D8927"/>
    <w:rsid w:val="10B7D7BA"/>
    <w:rsid w:val="11AB1533"/>
    <w:rsid w:val="11DB9F99"/>
    <w:rsid w:val="148D3A04"/>
    <w:rsid w:val="14C027CF"/>
    <w:rsid w:val="152BA27F"/>
    <w:rsid w:val="1580E821"/>
    <w:rsid w:val="17229E28"/>
    <w:rsid w:val="175825D2"/>
    <w:rsid w:val="175E1A39"/>
    <w:rsid w:val="178AD92E"/>
    <w:rsid w:val="185C102B"/>
    <w:rsid w:val="198DC705"/>
    <w:rsid w:val="1BDD1B46"/>
    <w:rsid w:val="1BEA123D"/>
    <w:rsid w:val="1BF6E663"/>
    <w:rsid w:val="1C05A127"/>
    <w:rsid w:val="1DE2F89F"/>
    <w:rsid w:val="20A978EE"/>
    <w:rsid w:val="20D4D2FA"/>
    <w:rsid w:val="21033E06"/>
    <w:rsid w:val="221123AA"/>
    <w:rsid w:val="22A058A0"/>
    <w:rsid w:val="22EA05CA"/>
    <w:rsid w:val="23122070"/>
    <w:rsid w:val="249CB314"/>
    <w:rsid w:val="24BC92FA"/>
    <w:rsid w:val="2525F640"/>
    <w:rsid w:val="256F17BB"/>
    <w:rsid w:val="25A265D6"/>
    <w:rsid w:val="25AB16DF"/>
    <w:rsid w:val="2611A114"/>
    <w:rsid w:val="266E1C82"/>
    <w:rsid w:val="2699F62E"/>
    <w:rsid w:val="26A992EB"/>
    <w:rsid w:val="27200359"/>
    <w:rsid w:val="27E9DE8F"/>
    <w:rsid w:val="27FC12EB"/>
    <w:rsid w:val="2966D906"/>
    <w:rsid w:val="298A21A4"/>
    <w:rsid w:val="2A7EEF8E"/>
    <w:rsid w:val="2B342548"/>
    <w:rsid w:val="2B94B516"/>
    <w:rsid w:val="2BD02BDE"/>
    <w:rsid w:val="2C3423BD"/>
    <w:rsid w:val="2C800ED0"/>
    <w:rsid w:val="2C8D220E"/>
    <w:rsid w:val="2C92B7CA"/>
    <w:rsid w:val="2CDE5B4C"/>
    <w:rsid w:val="2F346BEC"/>
    <w:rsid w:val="2F76E4C3"/>
    <w:rsid w:val="303DF2D7"/>
    <w:rsid w:val="31B71ED4"/>
    <w:rsid w:val="33205F4C"/>
    <w:rsid w:val="34BD0CD6"/>
    <w:rsid w:val="351757CB"/>
    <w:rsid w:val="365AF995"/>
    <w:rsid w:val="36865F70"/>
    <w:rsid w:val="369CCCA3"/>
    <w:rsid w:val="37485F59"/>
    <w:rsid w:val="37803EFC"/>
    <w:rsid w:val="3823E7FB"/>
    <w:rsid w:val="39515E0C"/>
    <w:rsid w:val="396B36D7"/>
    <w:rsid w:val="3A5988E7"/>
    <w:rsid w:val="3C09AF78"/>
    <w:rsid w:val="3C15F66E"/>
    <w:rsid w:val="3C423240"/>
    <w:rsid w:val="3C57F054"/>
    <w:rsid w:val="3CA17720"/>
    <w:rsid w:val="3CAF5F7F"/>
    <w:rsid w:val="3CD3D94C"/>
    <w:rsid w:val="3CDF506A"/>
    <w:rsid w:val="3CE9A5F8"/>
    <w:rsid w:val="3CF05CAE"/>
    <w:rsid w:val="3E650076"/>
    <w:rsid w:val="3E7E3C65"/>
    <w:rsid w:val="3F855AA2"/>
    <w:rsid w:val="3FDED0D0"/>
    <w:rsid w:val="40070D13"/>
    <w:rsid w:val="402A2091"/>
    <w:rsid w:val="40514612"/>
    <w:rsid w:val="408C17EA"/>
    <w:rsid w:val="4096D164"/>
    <w:rsid w:val="40D5A55A"/>
    <w:rsid w:val="41F6D478"/>
    <w:rsid w:val="41FF667C"/>
    <w:rsid w:val="4372D4C9"/>
    <w:rsid w:val="46CE046B"/>
    <w:rsid w:val="476F6033"/>
    <w:rsid w:val="48402044"/>
    <w:rsid w:val="49A54BF6"/>
    <w:rsid w:val="4A524F5A"/>
    <w:rsid w:val="4A5DA353"/>
    <w:rsid w:val="4AF2F7BB"/>
    <w:rsid w:val="4BD1844A"/>
    <w:rsid w:val="4C48D5A7"/>
    <w:rsid w:val="4C6AF963"/>
    <w:rsid w:val="4C6FF113"/>
    <w:rsid w:val="4CC0098D"/>
    <w:rsid w:val="4CF86E00"/>
    <w:rsid w:val="4D51E1F3"/>
    <w:rsid w:val="4E34FD7C"/>
    <w:rsid w:val="4EA9AE7A"/>
    <w:rsid w:val="4FD10BC8"/>
    <w:rsid w:val="5075A5F9"/>
    <w:rsid w:val="508B7C81"/>
    <w:rsid w:val="509B3FAB"/>
    <w:rsid w:val="50C0EFEF"/>
    <w:rsid w:val="50F063B2"/>
    <w:rsid w:val="5118B926"/>
    <w:rsid w:val="51924EA9"/>
    <w:rsid w:val="52EBC55C"/>
    <w:rsid w:val="53111DA2"/>
    <w:rsid w:val="549248AB"/>
    <w:rsid w:val="54E8EF4D"/>
    <w:rsid w:val="5538E5FB"/>
    <w:rsid w:val="5578BC9A"/>
    <w:rsid w:val="55B4975F"/>
    <w:rsid w:val="55CADB97"/>
    <w:rsid w:val="57484F76"/>
    <w:rsid w:val="5750BC4C"/>
    <w:rsid w:val="57872EC6"/>
    <w:rsid w:val="5890B5F5"/>
    <w:rsid w:val="58911AE9"/>
    <w:rsid w:val="5A012D4C"/>
    <w:rsid w:val="5AF36578"/>
    <w:rsid w:val="5C338F1F"/>
    <w:rsid w:val="5CBE3DE5"/>
    <w:rsid w:val="5CCDEC6F"/>
    <w:rsid w:val="5D1B41A6"/>
    <w:rsid w:val="5DB7F595"/>
    <w:rsid w:val="5EB9DDC1"/>
    <w:rsid w:val="5EC0FE13"/>
    <w:rsid w:val="5FD2B18B"/>
    <w:rsid w:val="5FF61711"/>
    <w:rsid w:val="61577B6F"/>
    <w:rsid w:val="615940EF"/>
    <w:rsid w:val="61B26BC5"/>
    <w:rsid w:val="62313B58"/>
    <w:rsid w:val="62D3DD66"/>
    <w:rsid w:val="6342B6F8"/>
    <w:rsid w:val="63D4AFC5"/>
    <w:rsid w:val="6444FC2F"/>
    <w:rsid w:val="64C96AFE"/>
    <w:rsid w:val="6643F976"/>
    <w:rsid w:val="66979A73"/>
    <w:rsid w:val="66AC5B70"/>
    <w:rsid w:val="66CB7311"/>
    <w:rsid w:val="6733D22A"/>
    <w:rsid w:val="67532C34"/>
    <w:rsid w:val="677632EF"/>
    <w:rsid w:val="67B94443"/>
    <w:rsid w:val="67F45659"/>
    <w:rsid w:val="68351D47"/>
    <w:rsid w:val="686A3A39"/>
    <w:rsid w:val="691D832A"/>
    <w:rsid w:val="69FA5814"/>
    <w:rsid w:val="69FF5F80"/>
    <w:rsid w:val="6B54FC4E"/>
    <w:rsid w:val="6BE77811"/>
    <w:rsid w:val="6BF2A0B5"/>
    <w:rsid w:val="6C2D4D4C"/>
    <w:rsid w:val="6CC73554"/>
    <w:rsid w:val="6CCF8738"/>
    <w:rsid w:val="6CF9C502"/>
    <w:rsid w:val="6DF63357"/>
    <w:rsid w:val="6F39F11F"/>
    <w:rsid w:val="6FB231B6"/>
    <w:rsid w:val="706130C0"/>
    <w:rsid w:val="7080BA2C"/>
    <w:rsid w:val="71C9F237"/>
    <w:rsid w:val="720AF514"/>
    <w:rsid w:val="725EDF1A"/>
    <w:rsid w:val="72C2AB74"/>
    <w:rsid w:val="73E3BDD0"/>
    <w:rsid w:val="74639B5A"/>
    <w:rsid w:val="7539390E"/>
    <w:rsid w:val="7646BE12"/>
    <w:rsid w:val="769763FA"/>
    <w:rsid w:val="76E9C99E"/>
    <w:rsid w:val="773DC73F"/>
    <w:rsid w:val="774EFCE9"/>
    <w:rsid w:val="782714A9"/>
    <w:rsid w:val="792A8D25"/>
    <w:rsid w:val="793BE0D1"/>
    <w:rsid w:val="799B9F8B"/>
    <w:rsid w:val="79AAE1F5"/>
    <w:rsid w:val="7A61130F"/>
    <w:rsid w:val="7AA3FE4F"/>
    <w:rsid w:val="7ABEBEBB"/>
    <w:rsid w:val="7AD09A17"/>
    <w:rsid w:val="7AE89F15"/>
    <w:rsid w:val="7B58C85A"/>
    <w:rsid w:val="7BA1A2CC"/>
    <w:rsid w:val="7C0A6218"/>
    <w:rsid w:val="7C307233"/>
    <w:rsid w:val="7CD3D0AE"/>
    <w:rsid w:val="7D33E784"/>
    <w:rsid w:val="7E80C630"/>
    <w:rsid w:val="7EDE5F9D"/>
    <w:rsid w:val="7F4FC82B"/>
    <w:rsid w:val="7F5BEB08"/>
    <w:rsid w:val="7F6A4689"/>
    <w:rsid w:val="7FB565E1"/>
    <w:rsid w:val="7FBDFB9A"/>
    <w:rsid w:val="7FDFE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5AF0"/>
  <w15:docId w15:val="{2FC977FC-4F24-45D2-987A-FA44C3D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6D"/>
  </w:style>
  <w:style w:type="paragraph" w:styleId="Heading1">
    <w:name w:val="heading 1"/>
    <w:basedOn w:val="Normal"/>
    <w:next w:val="Normal"/>
    <w:link w:val="Heading1Char"/>
    <w:uiPriority w:val="9"/>
    <w:qFormat/>
    <w:rsid w:val="000921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934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921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uiPriority w:val="9"/>
    <w:unhideWhenUsed/>
    <w:qFormat/>
    <w:rsid w:val="0D5662E2"/>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61"/>
    <w:rPr>
      <w:rFonts w:ascii="Tahoma" w:hAnsi="Tahoma" w:cs="Tahoma"/>
      <w:sz w:val="16"/>
      <w:szCs w:val="16"/>
    </w:rPr>
  </w:style>
  <w:style w:type="table" w:styleId="TableGrid">
    <w:name w:val="Table Grid"/>
    <w:basedOn w:val="TableNormal"/>
    <w:uiPriority w:val="59"/>
    <w:rsid w:val="00A2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343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2934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1BFA"/>
    <w:pPr>
      <w:ind w:left="720"/>
      <w:contextualSpacing/>
    </w:pPr>
  </w:style>
  <w:style w:type="character" w:styleId="Hyperlink">
    <w:name w:val="Hyperlink"/>
    <w:basedOn w:val="DefaultParagraphFont"/>
    <w:uiPriority w:val="99"/>
    <w:semiHidden/>
    <w:unhideWhenUsed/>
    <w:rsid w:val="0064480E"/>
    <w:rPr>
      <w:color w:val="0000FF"/>
      <w:u w:val="single"/>
    </w:rPr>
  </w:style>
  <w:style w:type="paragraph" w:customStyle="1" w:styleId="metadata">
    <w:name w:val="metadata"/>
    <w:basedOn w:val="Normal"/>
    <w:rsid w:val="00644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64480E"/>
  </w:style>
  <w:style w:type="character" w:customStyle="1" w:styleId="file-size">
    <w:name w:val="file-size"/>
    <w:basedOn w:val="DefaultParagraphFont"/>
    <w:rsid w:val="0064480E"/>
  </w:style>
  <w:style w:type="character" w:customStyle="1" w:styleId="page-length">
    <w:name w:val="page-length"/>
    <w:basedOn w:val="DefaultParagraphFont"/>
    <w:rsid w:val="0064480E"/>
  </w:style>
  <w:style w:type="character" w:customStyle="1" w:styleId="Heading3Char">
    <w:name w:val="Heading 3 Char"/>
    <w:basedOn w:val="DefaultParagraphFont"/>
    <w:link w:val="Heading3"/>
    <w:uiPriority w:val="9"/>
    <w:semiHidden/>
    <w:rsid w:val="0009212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09212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41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7D"/>
  </w:style>
  <w:style w:type="paragraph" w:styleId="Footer">
    <w:name w:val="footer"/>
    <w:basedOn w:val="Normal"/>
    <w:link w:val="FooterChar"/>
    <w:uiPriority w:val="99"/>
    <w:unhideWhenUsed/>
    <w:rsid w:val="00641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7D"/>
  </w:style>
  <w:style w:type="character" w:customStyle="1" w:styleId="wacimagecontainer">
    <w:name w:val="wacimagecontainer"/>
    <w:basedOn w:val="DefaultParagraphFont"/>
    <w:rsid w:val="00031BFE"/>
  </w:style>
  <w:style w:type="character" w:styleId="Strong">
    <w:name w:val="Strong"/>
    <w:basedOn w:val="DefaultParagraphFont"/>
    <w:uiPriority w:val="22"/>
    <w:qFormat/>
    <w:rsid w:val="00814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08">
      <w:bodyDiv w:val="1"/>
      <w:marLeft w:val="0"/>
      <w:marRight w:val="0"/>
      <w:marTop w:val="0"/>
      <w:marBottom w:val="0"/>
      <w:divBdr>
        <w:top w:val="none" w:sz="0" w:space="0" w:color="auto"/>
        <w:left w:val="none" w:sz="0" w:space="0" w:color="auto"/>
        <w:bottom w:val="none" w:sz="0" w:space="0" w:color="auto"/>
        <w:right w:val="none" w:sz="0" w:space="0" w:color="auto"/>
      </w:divBdr>
      <w:divsChild>
        <w:div w:id="915480672">
          <w:marLeft w:val="0"/>
          <w:marRight w:val="0"/>
          <w:marTop w:val="0"/>
          <w:marBottom w:val="0"/>
          <w:divBdr>
            <w:top w:val="none" w:sz="0" w:space="0" w:color="auto"/>
            <w:left w:val="none" w:sz="0" w:space="0" w:color="auto"/>
            <w:bottom w:val="none" w:sz="0" w:space="0" w:color="auto"/>
            <w:right w:val="none" w:sz="0" w:space="0" w:color="auto"/>
          </w:divBdr>
        </w:div>
        <w:div w:id="643658984">
          <w:marLeft w:val="0"/>
          <w:marRight w:val="0"/>
          <w:marTop w:val="0"/>
          <w:marBottom w:val="0"/>
          <w:divBdr>
            <w:top w:val="none" w:sz="0" w:space="0" w:color="auto"/>
            <w:left w:val="none" w:sz="0" w:space="0" w:color="auto"/>
            <w:bottom w:val="none" w:sz="0" w:space="0" w:color="auto"/>
            <w:right w:val="none" w:sz="0" w:space="0" w:color="auto"/>
          </w:divBdr>
        </w:div>
      </w:divsChild>
    </w:div>
    <w:div w:id="824931955">
      <w:bodyDiv w:val="1"/>
      <w:marLeft w:val="0"/>
      <w:marRight w:val="0"/>
      <w:marTop w:val="0"/>
      <w:marBottom w:val="0"/>
      <w:divBdr>
        <w:top w:val="none" w:sz="0" w:space="0" w:color="auto"/>
        <w:left w:val="none" w:sz="0" w:space="0" w:color="auto"/>
        <w:bottom w:val="none" w:sz="0" w:space="0" w:color="auto"/>
        <w:right w:val="none" w:sz="0" w:space="0" w:color="auto"/>
      </w:divBdr>
    </w:div>
    <w:div w:id="857161256">
      <w:bodyDiv w:val="1"/>
      <w:marLeft w:val="0"/>
      <w:marRight w:val="0"/>
      <w:marTop w:val="0"/>
      <w:marBottom w:val="0"/>
      <w:divBdr>
        <w:top w:val="none" w:sz="0" w:space="0" w:color="auto"/>
        <w:left w:val="none" w:sz="0" w:space="0" w:color="auto"/>
        <w:bottom w:val="none" w:sz="0" w:space="0" w:color="auto"/>
        <w:right w:val="none" w:sz="0" w:space="0" w:color="auto"/>
      </w:divBdr>
      <w:divsChild>
        <w:div w:id="910852034">
          <w:marLeft w:val="0"/>
          <w:marRight w:val="0"/>
          <w:marTop w:val="0"/>
          <w:marBottom w:val="0"/>
          <w:divBdr>
            <w:top w:val="none" w:sz="0" w:space="0" w:color="auto"/>
            <w:left w:val="none" w:sz="0" w:space="0" w:color="auto"/>
            <w:bottom w:val="none" w:sz="0" w:space="0" w:color="auto"/>
            <w:right w:val="none" w:sz="0" w:space="0" w:color="auto"/>
          </w:divBdr>
        </w:div>
        <w:div w:id="1559626698">
          <w:marLeft w:val="0"/>
          <w:marRight w:val="0"/>
          <w:marTop w:val="0"/>
          <w:marBottom w:val="0"/>
          <w:divBdr>
            <w:top w:val="none" w:sz="0" w:space="0" w:color="auto"/>
            <w:left w:val="none" w:sz="0" w:space="0" w:color="auto"/>
            <w:bottom w:val="none" w:sz="0" w:space="0" w:color="auto"/>
            <w:right w:val="none" w:sz="0" w:space="0" w:color="auto"/>
          </w:divBdr>
        </w:div>
        <w:div w:id="1751853093">
          <w:marLeft w:val="0"/>
          <w:marRight w:val="0"/>
          <w:marTop w:val="0"/>
          <w:marBottom w:val="0"/>
          <w:divBdr>
            <w:top w:val="none" w:sz="0" w:space="0" w:color="auto"/>
            <w:left w:val="none" w:sz="0" w:space="0" w:color="auto"/>
            <w:bottom w:val="none" w:sz="0" w:space="0" w:color="auto"/>
            <w:right w:val="none" w:sz="0" w:space="0" w:color="auto"/>
          </w:divBdr>
        </w:div>
        <w:div w:id="782841127">
          <w:marLeft w:val="0"/>
          <w:marRight w:val="0"/>
          <w:marTop w:val="0"/>
          <w:marBottom w:val="0"/>
          <w:divBdr>
            <w:top w:val="none" w:sz="0" w:space="0" w:color="auto"/>
            <w:left w:val="none" w:sz="0" w:space="0" w:color="auto"/>
            <w:bottom w:val="none" w:sz="0" w:space="0" w:color="auto"/>
            <w:right w:val="none" w:sz="0" w:space="0" w:color="auto"/>
          </w:divBdr>
        </w:div>
        <w:div w:id="727000120">
          <w:marLeft w:val="0"/>
          <w:marRight w:val="0"/>
          <w:marTop w:val="0"/>
          <w:marBottom w:val="0"/>
          <w:divBdr>
            <w:top w:val="none" w:sz="0" w:space="0" w:color="auto"/>
            <w:left w:val="none" w:sz="0" w:space="0" w:color="auto"/>
            <w:bottom w:val="none" w:sz="0" w:space="0" w:color="auto"/>
            <w:right w:val="none" w:sz="0" w:space="0" w:color="auto"/>
          </w:divBdr>
        </w:div>
        <w:div w:id="383061691">
          <w:marLeft w:val="0"/>
          <w:marRight w:val="0"/>
          <w:marTop w:val="0"/>
          <w:marBottom w:val="0"/>
          <w:divBdr>
            <w:top w:val="none" w:sz="0" w:space="0" w:color="auto"/>
            <w:left w:val="none" w:sz="0" w:space="0" w:color="auto"/>
            <w:bottom w:val="none" w:sz="0" w:space="0" w:color="auto"/>
            <w:right w:val="none" w:sz="0" w:space="0" w:color="auto"/>
          </w:divBdr>
        </w:div>
      </w:divsChild>
    </w:div>
    <w:div w:id="964431683">
      <w:bodyDiv w:val="1"/>
      <w:marLeft w:val="0"/>
      <w:marRight w:val="0"/>
      <w:marTop w:val="0"/>
      <w:marBottom w:val="0"/>
      <w:divBdr>
        <w:top w:val="none" w:sz="0" w:space="0" w:color="auto"/>
        <w:left w:val="none" w:sz="0" w:space="0" w:color="auto"/>
        <w:bottom w:val="none" w:sz="0" w:space="0" w:color="auto"/>
        <w:right w:val="none" w:sz="0" w:space="0" w:color="auto"/>
      </w:divBdr>
    </w:div>
    <w:div w:id="1143504212">
      <w:bodyDiv w:val="1"/>
      <w:marLeft w:val="0"/>
      <w:marRight w:val="0"/>
      <w:marTop w:val="0"/>
      <w:marBottom w:val="0"/>
      <w:divBdr>
        <w:top w:val="none" w:sz="0" w:space="0" w:color="auto"/>
        <w:left w:val="none" w:sz="0" w:space="0" w:color="auto"/>
        <w:bottom w:val="none" w:sz="0" w:space="0" w:color="auto"/>
        <w:right w:val="none" w:sz="0" w:space="0" w:color="auto"/>
      </w:divBdr>
    </w:div>
    <w:div w:id="1214081273">
      <w:bodyDiv w:val="1"/>
      <w:marLeft w:val="0"/>
      <w:marRight w:val="0"/>
      <w:marTop w:val="0"/>
      <w:marBottom w:val="0"/>
      <w:divBdr>
        <w:top w:val="none" w:sz="0" w:space="0" w:color="auto"/>
        <w:left w:val="none" w:sz="0" w:space="0" w:color="auto"/>
        <w:bottom w:val="none" w:sz="0" w:space="0" w:color="auto"/>
        <w:right w:val="none" w:sz="0" w:space="0" w:color="auto"/>
      </w:divBdr>
    </w:div>
    <w:div w:id="1248267744">
      <w:bodyDiv w:val="1"/>
      <w:marLeft w:val="0"/>
      <w:marRight w:val="0"/>
      <w:marTop w:val="0"/>
      <w:marBottom w:val="0"/>
      <w:divBdr>
        <w:top w:val="none" w:sz="0" w:space="0" w:color="auto"/>
        <w:left w:val="none" w:sz="0" w:space="0" w:color="auto"/>
        <w:bottom w:val="none" w:sz="0" w:space="0" w:color="auto"/>
        <w:right w:val="none" w:sz="0" w:space="0" w:color="auto"/>
      </w:divBdr>
    </w:div>
    <w:div w:id="1363898062">
      <w:bodyDiv w:val="1"/>
      <w:marLeft w:val="0"/>
      <w:marRight w:val="0"/>
      <w:marTop w:val="0"/>
      <w:marBottom w:val="0"/>
      <w:divBdr>
        <w:top w:val="none" w:sz="0" w:space="0" w:color="auto"/>
        <w:left w:val="none" w:sz="0" w:space="0" w:color="auto"/>
        <w:bottom w:val="none" w:sz="0" w:space="0" w:color="auto"/>
        <w:right w:val="none" w:sz="0" w:space="0" w:color="auto"/>
      </w:divBdr>
    </w:div>
    <w:div w:id="1520270074">
      <w:bodyDiv w:val="1"/>
      <w:marLeft w:val="0"/>
      <w:marRight w:val="0"/>
      <w:marTop w:val="0"/>
      <w:marBottom w:val="0"/>
      <w:divBdr>
        <w:top w:val="none" w:sz="0" w:space="0" w:color="auto"/>
        <w:left w:val="none" w:sz="0" w:space="0" w:color="auto"/>
        <w:bottom w:val="none" w:sz="0" w:space="0" w:color="auto"/>
        <w:right w:val="none" w:sz="0" w:space="0" w:color="auto"/>
      </w:divBdr>
    </w:div>
    <w:div w:id="1522860546">
      <w:bodyDiv w:val="1"/>
      <w:marLeft w:val="0"/>
      <w:marRight w:val="0"/>
      <w:marTop w:val="0"/>
      <w:marBottom w:val="0"/>
      <w:divBdr>
        <w:top w:val="none" w:sz="0" w:space="0" w:color="auto"/>
        <w:left w:val="none" w:sz="0" w:space="0" w:color="auto"/>
        <w:bottom w:val="none" w:sz="0" w:space="0" w:color="auto"/>
        <w:right w:val="none" w:sz="0" w:space="0" w:color="auto"/>
      </w:divBdr>
      <w:divsChild>
        <w:div w:id="322052918">
          <w:marLeft w:val="0"/>
          <w:marRight w:val="0"/>
          <w:marTop w:val="0"/>
          <w:marBottom w:val="0"/>
          <w:divBdr>
            <w:top w:val="none" w:sz="0" w:space="0" w:color="auto"/>
            <w:left w:val="none" w:sz="0" w:space="0" w:color="auto"/>
            <w:bottom w:val="none" w:sz="0" w:space="0" w:color="auto"/>
            <w:right w:val="none" w:sz="0" w:space="0" w:color="auto"/>
          </w:divBdr>
        </w:div>
        <w:div w:id="1363628774">
          <w:marLeft w:val="0"/>
          <w:marRight w:val="0"/>
          <w:marTop w:val="0"/>
          <w:marBottom w:val="0"/>
          <w:divBdr>
            <w:top w:val="none" w:sz="0" w:space="0" w:color="auto"/>
            <w:left w:val="none" w:sz="0" w:space="0" w:color="auto"/>
            <w:bottom w:val="none" w:sz="0" w:space="0" w:color="auto"/>
            <w:right w:val="none" w:sz="0" w:space="0" w:color="auto"/>
          </w:divBdr>
        </w:div>
        <w:div w:id="1615092139">
          <w:marLeft w:val="0"/>
          <w:marRight w:val="0"/>
          <w:marTop w:val="0"/>
          <w:marBottom w:val="0"/>
          <w:divBdr>
            <w:top w:val="none" w:sz="0" w:space="0" w:color="auto"/>
            <w:left w:val="none" w:sz="0" w:space="0" w:color="auto"/>
            <w:bottom w:val="none" w:sz="0" w:space="0" w:color="auto"/>
            <w:right w:val="none" w:sz="0" w:space="0" w:color="auto"/>
          </w:divBdr>
        </w:div>
        <w:div w:id="377171284">
          <w:marLeft w:val="0"/>
          <w:marRight w:val="0"/>
          <w:marTop w:val="0"/>
          <w:marBottom w:val="0"/>
          <w:divBdr>
            <w:top w:val="none" w:sz="0" w:space="0" w:color="auto"/>
            <w:left w:val="none" w:sz="0" w:space="0" w:color="auto"/>
            <w:bottom w:val="none" w:sz="0" w:space="0" w:color="auto"/>
            <w:right w:val="none" w:sz="0" w:space="0" w:color="auto"/>
          </w:divBdr>
        </w:div>
        <w:div w:id="218514616">
          <w:marLeft w:val="0"/>
          <w:marRight w:val="0"/>
          <w:marTop w:val="0"/>
          <w:marBottom w:val="0"/>
          <w:divBdr>
            <w:top w:val="none" w:sz="0" w:space="0" w:color="auto"/>
            <w:left w:val="none" w:sz="0" w:space="0" w:color="auto"/>
            <w:bottom w:val="none" w:sz="0" w:space="0" w:color="auto"/>
            <w:right w:val="none" w:sz="0" w:space="0" w:color="auto"/>
          </w:divBdr>
        </w:div>
        <w:div w:id="1555461476">
          <w:marLeft w:val="0"/>
          <w:marRight w:val="0"/>
          <w:marTop w:val="0"/>
          <w:marBottom w:val="0"/>
          <w:divBdr>
            <w:top w:val="none" w:sz="0" w:space="0" w:color="auto"/>
            <w:left w:val="none" w:sz="0" w:space="0" w:color="auto"/>
            <w:bottom w:val="none" w:sz="0" w:space="0" w:color="auto"/>
            <w:right w:val="none" w:sz="0" w:space="0" w:color="auto"/>
          </w:divBdr>
        </w:div>
        <w:div w:id="617490916">
          <w:marLeft w:val="0"/>
          <w:marRight w:val="0"/>
          <w:marTop w:val="0"/>
          <w:marBottom w:val="0"/>
          <w:divBdr>
            <w:top w:val="none" w:sz="0" w:space="0" w:color="auto"/>
            <w:left w:val="none" w:sz="0" w:space="0" w:color="auto"/>
            <w:bottom w:val="none" w:sz="0" w:space="0" w:color="auto"/>
            <w:right w:val="none" w:sz="0" w:space="0" w:color="auto"/>
          </w:divBdr>
        </w:div>
        <w:div w:id="614337482">
          <w:marLeft w:val="0"/>
          <w:marRight w:val="0"/>
          <w:marTop w:val="0"/>
          <w:marBottom w:val="0"/>
          <w:divBdr>
            <w:top w:val="none" w:sz="0" w:space="0" w:color="auto"/>
            <w:left w:val="none" w:sz="0" w:space="0" w:color="auto"/>
            <w:bottom w:val="none" w:sz="0" w:space="0" w:color="auto"/>
            <w:right w:val="none" w:sz="0" w:space="0" w:color="auto"/>
          </w:divBdr>
        </w:div>
      </w:divsChild>
    </w:div>
    <w:div w:id="19258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373E7E-03DC-42B8-804A-AFA4917B1B94}" type="doc">
      <dgm:prSet loTypeId="urn:microsoft.com/office/officeart/2005/8/layout/hierarchy4" loCatId="list" qsTypeId="urn:microsoft.com/office/officeart/2005/8/quickstyle/simple2" qsCatId="simple" csTypeId="urn:microsoft.com/office/officeart/2005/8/colors/accent3_3" csCatId="accent3" phldr="1"/>
      <dgm:spPr/>
      <dgm:t>
        <a:bodyPr/>
        <a:lstStyle/>
        <a:p>
          <a:endParaRPr lang="en-GB"/>
        </a:p>
      </dgm:t>
    </dgm:pt>
    <dgm:pt modelId="{2F48CCF6-BD28-4B67-A818-AA072BDF2478}">
      <dgm:prSet phldrT="[Text]" custT="1"/>
      <dgm:spPr/>
      <dgm:t>
        <a:bodyPr/>
        <a:lstStyle/>
        <a:p>
          <a:r>
            <a:rPr lang="en-GB" sz="3600"/>
            <a:t>Preparation For Adulthood</a:t>
          </a:r>
        </a:p>
      </dgm:t>
    </dgm:pt>
    <dgm:pt modelId="{DFCA7E45-E947-431F-A2D2-46AF656AA65E}" type="parTrans" cxnId="{330B69A8-07BC-42B0-8D98-73DA5B0A4FAA}">
      <dgm:prSet/>
      <dgm:spPr/>
      <dgm:t>
        <a:bodyPr/>
        <a:lstStyle/>
        <a:p>
          <a:endParaRPr lang="en-GB"/>
        </a:p>
      </dgm:t>
    </dgm:pt>
    <dgm:pt modelId="{C1A8842C-7CDB-45E0-8E98-44C9034AB6AC}" type="sibTrans" cxnId="{330B69A8-07BC-42B0-8D98-73DA5B0A4FAA}">
      <dgm:prSet/>
      <dgm:spPr/>
      <dgm:t>
        <a:bodyPr/>
        <a:lstStyle/>
        <a:p>
          <a:endParaRPr lang="en-GB"/>
        </a:p>
      </dgm:t>
    </dgm:pt>
    <dgm:pt modelId="{6511DD17-9921-4035-AFAF-2EC761CBF058}">
      <dgm:prSet phldrT="[Text]" custT="1"/>
      <dgm:spPr>
        <a:solidFill>
          <a:schemeClr val="tx2">
            <a:lumMod val="60000"/>
            <a:lumOff val="40000"/>
          </a:schemeClr>
        </a:solidFill>
      </dgm:spPr>
      <dgm:t>
        <a:bodyPr/>
        <a:lstStyle/>
        <a:p>
          <a:r>
            <a:rPr lang="en-GB" sz="1600"/>
            <a:t>PSHE</a:t>
          </a:r>
        </a:p>
      </dgm:t>
    </dgm:pt>
    <dgm:pt modelId="{D97CD62C-FB3B-4BB7-BE55-F2FEEF560676}" type="parTrans" cxnId="{7ADB21B9-2116-420E-AE78-82EBC2766CE1}">
      <dgm:prSet/>
      <dgm:spPr/>
      <dgm:t>
        <a:bodyPr/>
        <a:lstStyle/>
        <a:p>
          <a:endParaRPr lang="en-GB"/>
        </a:p>
      </dgm:t>
    </dgm:pt>
    <dgm:pt modelId="{15E7EDA2-B39B-43A2-ADAB-FE5DE4853459}" type="sibTrans" cxnId="{7ADB21B9-2116-420E-AE78-82EBC2766CE1}">
      <dgm:prSet/>
      <dgm:spPr/>
      <dgm:t>
        <a:bodyPr/>
        <a:lstStyle/>
        <a:p>
          <a:endParaRPr lang="en-GB"/>
        </a:p>
      </dgm:t>
    </dgm:pt>
    <dgm:pt modelId="{D8FDA34C-98B6-4397-AB35-CA3A4847236C}">
      <dgm:prSet custT="1"/>
      <dgm:spPr>
        <a:solidFill>
          <a:srgbClr val="C05AB9"/>
        </a:solidFill>
      </dgm:spPr>
      <dgm:t>
        <a:bodyPr/>
        <a:lstStyle/>
        <a:p>
          <a:r>
            <a:rPr lang="en-GB" sz="1600"/>
            <a:t>Independence</a:t>
          </a:r>
        </a:p>
      </dgm:t>
    </dgm:pt>
    <dgm:pt modelId="{FFE32743-9930-42C7-BD8C-9B189D9E3386}" type="parTrans" cxnId="{3F3D5E86-98E0-4231-A547-9114FBDD8572}">
      <dgm:prSet/>
      <dgm:spPr/>
      <dgm:t>
        <a:bodyPr/>
        <a:lstStyle/>
        <a:p>
          <a:endParaRPr lang="en-GB"/>
        </a:p>
      </dgm:t>
    </dgm:pt>
    <dgm:pt modelId="{821BDA09-2338-4FA7-BEEC-CF6EACEFD4FD}" type="sibTrans" cxnId="{3F3D5E86-98E0-4231-A547-9114FBDD8572}">
      <dgm:prSet/>
      <dgm:spPr/>
      <dgm:t>
        <a:bodyPr/>
        <a:lstStyle/>
        <a:p>
          <a:endParaRPr lang="en-GB"/>
        </a:p>
      </dgm:t>
    </dgm:pt>
    <dgm:pt modelId="{41C7E54E-6634-4A87-B13E-2CB5D5D095B0}">
      <dgm:prSet custT="1"/>
      <dgm:spPr/>
      <dgm:t>
        <a:bodyPr/>
        <a:lstStyle/>
        <a:p>
          <a:r>
            <a:rPr lang="en-GB" sz="1600" b="0"/>
            <a:t>Careers</a:t>
          </a:r>
        </a:p>
      </dgm:t>
    </dgm:pt>
    <dgm:pt modelId="{EDDD7FEB-6A42-45F4-9FBB-2E14AC4C97B7}" type="parTrans" cxnId="{AA60F962-5F5A-4E51-83EA-B9A1BF53199A}">
      <dgm:prSet/>
      <dgm:spPr/>
      <dgm:t>
        <a:bodyPr/>
        <a:lstStyle/>
        <a:p>
          <a:endParaRPr lang="en-GB"/>
        </a:p>
      </dgm:t>
    </dgm:pt>
    <dgm:pt modelId="{9418BB1C-BFA2-435A-8ED6-4E30E84777CD}" type="sibTrans" cxnId="{AA60F962-5F5A-4E51-83EA-B9A1BF53199A}">
      <dgm:prSet/>
      <dgm:spPr/>
      <dgm:t>
        <a:bodyPr/>
        <a:lstStyle/>
        <a:p>
          <a:endParaRPr lang="en-GB"/>
        </a:p>
      </dgm:t>
    </dgm:pt>
    <dgm:pt modelId="{41AB953A-EE73-43EF-B545-8F2C7F57E351}" type="pres">
      <dgm:prSet presAssocID="{89373E7E-03DC-42B8-804A-AFA4917B1B94}" presName="Name0" presStyleCnt="0">
        <dgm:presLayoutVars>
          <dgm:chPref val="1"/>
          <dgm:dir/>
          <dgm:animOne val="branch"/>
          <dgm:animLvl val="lvl"/>
          <dgm:resizeHandles/>
        </dgm:presLayoutVars>
      </dgm:prSet>
      <dgm:spPr/>
    </dgm:pt>
    <dgm:pt modelId="{BF7748B2-BBBE-4446-8B35-D66FAE13A135}" type="pres">
      <dgm:prSet presAssocID="{2F48CCF6-BD28-4B67-A818-AA072BDF2478}" presName="vertOne" presStyleCnt="0"/>
      <dgm:spPr/>
    </dgm:pt>
    <dgm:pt modelId="{D1170D31-F342-424A-9F50-9AD9563556D1}" type="pres">
      <dgm:prSet presAssocID="{2F48CCF6-BD28-4B67-A818-AA072BDF2478}" presName="txOne" presStyleLbl="node0" presStyleIdx="0" presStyleCnt="1" custLinFactNeighborX="-783" custLinFactNeighborY="23244">
        <dgm:presLayoutVars>
          <dgm:chPref val="3"/>
        </dgm:presLayoutVars>
      </dgm:prSet>
      <dgm:spPr/>
    </dgm:pt>
    <dgm:pt modelId="{CA625B26-D479-4EB7-A979-670987660D44}" type="pres">
      <dgm:prSet presAssocID="{2F48CCF6-BD28-4B67-A818-AA072BDF2478}" presName="parTransOne" presStyleCnt="0"/>
      <dgm:spPr/>
    </dgm:pt>
    <dgm:pt modelId="{C8E3D9ED-F1A2-4FEB-9A27-50461CB04CF5}" type="pres">
      <dgm:prSet presAssocID="{2F48CCF6-BD28-4B67-A818-AA072BDF2478}" presName="horzOne" presStyleCnt="0"/>
      <dgm:spPr/>
    </dgm:pt>
    <dgm:pt modelId="{632F3FA6-B42C-46B0-861A-014E1B0CEB9E}" type="pres">
      <dgm:prSet presAssocID="{6511DD17-9921-4035-AFAF-2EC761CBF058}" presName="vertTwo" presStyleCnt="0"/>
      <dgm:spPr/>
    </dgm:pt>
    <dgm:pt modelId="{A34811D9-17E4-4DD2-ABB1-6B7B7117116C}" type="pres">
      <dgm:prSet presAssocID="{6511DD17-9921-4035-AFAF-2EC761CBF058}" presName="txTwo" presStyleLbl="node2" presStyleIdx="0" presStyleCnt="3" custScaleX="117379" custLinFactNeighborX="1583" custLinFactNeighborY="57">
        <dgm:presLayoutVars>
          <dgm:chPref val="3"/>
        </dgm:presLayoutVars>
      </dgm:prSet>
      <dgm:spPr/>
    </dgm:pt>
    <dgm:pt modelId="{15F71846-1B5D-4FB4-B808-6F7FEB0D0C8D}" type="pres">
      <dgm:prSet presAssocID="{6511DD17-9921-4035-AFAF-2EC761CBF058}" presName="horzTwo" presStyleCnt="0"/>
      <dgm:spPr/>
    </dgm:pt>
    <dgm:pt modelId="{0F50E8F3-E107-48C6-89CB-4C13D9A958CB}" type="pres">
      <dgm:prSet presAssocID="{15E7EDA2-B39B-43A2-ADAB-FE5DE4853459}" presName="sibSpaceTwo" presStyleCnt="0"/>
      <dgm:spPr/>
    </dgm:pt>
    <dgm:pt modelId="{7C144A53-FCF2-4EEC-8D73-1EFB13194CF5}" type="pres">
      <dgm:prSet presAssocID="{D8FDA34C-98B6-4397-AB35-CA3A4847236C}" presName="vertTwo" presStyleCnt="0"/>
      <dgm:spPr/>
    </dgm:pt>
    <dgm:pt modelId="{E9347E2E-6BDE-4E24-9416-33B016E70E3E}" type="pres">
      <dgm:prSet presAssocID="{D8FDA34C-98B6-4397-AB35-CA3A4847236C}" presName="txTwo" presStyleLbl="node2" presStyleIdx="1" presStyleCnt="3">
        <dgm:presLayoutVars>
          <dgm:chPref val="3"/>
        </dgm:presLayoutVars>
      </dgm:prSet>
      <dgm:spPr/>
    </dgm:pt>
    <dgm:pt modelId="{6B21B4DB-C9EA-4632-A4B4-EC913A3B13F1}" type="pres">
      <dgm:prSet presAssocID="{D8FDA34C-98B6-4397-AB35-CA3A4847236C}" presName="horzTwo" presStyleCnt="0"/>
      <dgm:spPr/>
    </dgm:pt>
    <dgm:pt modelId="{58C06EBE-11FD-4B32-988C-CBE05ED0031E}" type="pres">
      <dgm:prSet presAssocID="{821BDA09-2338-4FA7-BEEC-CF6EACEFD4FD}" presName="sibSpaceTwo" presStyleCnt="0"/>
      <dgm:spPr/>
    </dgm:pt>
    <dgm:pt modelId="{BF4C6D9D-4BF0-4167-A855-748A7A46D09C}" type="pres">
      <dgm:prSet presAssocID="{41C7E54E-6634-4A87-B13E-2CB5D5D095B0}" presName="vertTwo" presStyleCnt="0"/>
      <dgm:spPr/>
    </dgm:pt>
    <dgm:pt modelId="{1E47969C-97F4-415D-A370-CA2B1E51C011}" type="pres">
      <dgm:prSet presAssocID="{41C7E54E-6634-4A87-B13E-2CB5D5D095B0}" presName="txTwo" presStyleLbl="node2" presStyleIdx="2" presStyleCnt="3" custScaleX="128023" custLinFactNeighborX="82701" custLinFactNeighborY="62678">
        <dgm:presLayoutVars>
          <dgm:chPref val="3"/>
        </dgm:presLayoutVars>
      </dgm:prSet>
      <dgm:spPr/>
    </dgm:pt>
    <dgm:pt modelId="{A2C8872A-5DE6-48C2-8F4D-A28FB004A8DC}" type="pres">
      <dgm:prSet presAssocID="{41C7E54E-6634-4A87-B13E-2CB5D5D095B0}" presName="horzTwo" presStyleCnt="0"/>
      <dgm:spPr/>
    </dgm:pt>
  </dgm:ptLst>
  <dgm:cxnLst>
    <dgm:cxn modelId="{75F14F27-014A-4083-834B-6D13DA04ED73}" type="presOf" srcId="{6511DD17-9921-4035-AFAF-2EC761CBF058}" destId="{A34811D9-17E4-4DD2-ABB1-6B7B7117116C}" srcOrd="0" destOrd="0" presId="urn:microsoft.com/office/officeart/2005/8/layout/hierarchy4"/>
    <dgm:cxn modelId="{69FCF031-1814-4EBB-B654-0F0D3CE5C453}" type="presOf" srcId="{2F48CCF6-BD28-4B67-A818-AA072BDF2478}" destId="{D1170D31-F342-424A-9F50-9AD9563556D1}" srcOrd="0" destOrd="0" presId="urn:microsoft.com/office/officeart/2005/8/layout/hierarchy4"/>
    <dgm:cxn modelId="{AA60F962-5F5A-4E51-83EA-B9A1BF53199A}" srcId="{2F48CCF6-BD28-4B67-A818-AA072BDF2478}" destId="{41C7E54E-6634-4A87-B13E-2CB5D5D095B0}" srcOrd="2" destOrd="0" parTransId="{EDDD7FEB-6A42-45F4-9FBB-2E14AC4C97B7}" sibTransId="{9418BB1C-BFA2-435A-8ED6-4E30E84777CD}"/>
    <dgm:cxn modelId="{62F90C47-3FAC-48EB-AA8A-5BE454DA4112}" type="presOf" srcId="{89373E7E-03DC-42B8-804A-AFA4917B1B94}" destId="{41AB953A-EE73-43EF-B545-8F2C7F57E351}" srcOrd="0" destOrd="0" presId="urn:microsoft.com/office/officeart/2005/8/layout/hierarchy4"/>
    <dgm:cxn modelId="{3F3D5E86-98E0-4231-A547-9114FBDD8572}" srcId="{2F48CCF6-BD28-4B67-A818-AA072BDF2478}" destId="{D8FDA34C-98B6-4397-AB35-CA3A4847236C}" srcOrd="1" destOrd="0" parTransId="{FFE32743-9930-42C7-BD8C-9B189D9E3386}" sibTransId="{821BDA09-2338-4FA7-BEEC-CF6EACEFD4FD}"/>
    <dgm:cxn modelId="{330B69A8-07BC-42B0-8D98-73DA5B0A4FAA}" srcId="{89373E7E-03DC-42B8-804A-AFA4917B1B94}" destId="{2F48CCF6-BD28-4B67-A818-AA072BDF2478}" srcOrd="0" destOrd="0" parTransId="{DFCA7E45-E947-431F-A2D2-46AF656AA65E}" sibTransId="{C1A8842C-7CDB-45E0-8E98-44C9034AB6AC}"/>
    <dgm:cxn modelId="{7ADB21B9-2116-420E-AE78-82EBC2766CE1}" srcId="{2F48CCF6-BD28-4B67-A818-AA072BDF2478}" destId="{6511DD17-9921-4035-AFAF-2EC761CBF058}" srcOrd="0" destOrd="0" parTransId="{D97CD62C-FB3B-4BB7-BE55-F2FEEF560676}" sibTransId="{15E7EDA2-B39B-43A2-ADAB-FE5DE4853459}"/>
    <dgm:cxn modelId="{A1346ED6-B3BC-4E5F-8BC0-376690A97861}" type="presOf" srcId="{41C7E54E-6634-4A87-B13E-2CB5D5D095B0}" destId="{1E47969C-97F4-415D-A370-CA2B1E51C011}" srcOrd="0" destOrd="0" presId="urn:microsoft.com/office/officeart/2005/8/layout/hierarchy4"/>
    <dgm:cxn modelId="{4C57C2D8-2BA6-427C-A52A-DCC37459B23F}" type="presOf" srcId="{D8FDA34C-98B6-4397-AB35-CA3A4847236C}" destId="{E9347E2E-6BDE-4E24-9416-33B016E70E3E}" srcOrd="0" destOrd="0" presId="urn:microsoft.com/office/officeart/2005/8/layout/hierarchy4"/>
    <dgm:cxn modelId="{48D2C3FE-B959-4B9B-A61F-05C194D61520}" type="presParOf" srcId="{41AB953A-EE73-43EF-B545-8F2C7F57E351}" destId="{BF7748B2-BBBE-4446-8B35-D66FAE13A135}" srcOrd="0" destOrd="0" presId="urn:microsoft.com/office/officeart/2005/8/layout/hierarchy4"/>
    <dgm:cxn modelId="{75E7A54A-1321-46CA-9E16-7EFD03A8BCD9}" type="presParOf" srcId="{BF7748B2-BBBE-4446-8B35-D66FAE13A135}" destId="{D1170D31-F342-424A-9F50-9AD9563556D1}" srcOrd="0" destOrd="0" presId="urn:microsoft.com/office/officeart/2005/8/layout/hierarchy4"/>
    <dgm:cxn modelId="{09344D6B-77B1-4D5F-B557-BDBE41FB81C2}" type="presParOf" srcId="{BF7748B2-BBBE-4446-8B35-D66FAE13A135}" destId="{CA625B26-D479-4EB7-A979-670987660D44}" srcOrd="1" destOrd="0" presId="urn:microsoft.com/office/officeart/2005/8/layout/hierarchy4"/>
    <dgm:cxn modelId="{7045C415-868E-49A3-A939-6BBF48F0FBFC}" type="presParOf" srcId="{BF7748B2-BBBE-4446-8B35-D66FAE13A135}" destId="{C8E3D9ED-F1A2-4FEB-9A27-50461CB04CF5}" srcOrd="2" destOrd="0" presId="urn:microsoft.com/office/officeart/2005/8/layout/hierarchy4"/>
    <dgm:cxn modelId="{03259A3E-7F52-4501-B496-77E5FDA0BA6E}" type="presParOf" srcId="{C8E3D9ED-F1A2-4FEB-9A27-50461CB04CF5}" destId="{632F3FA6-B42C-46B0-861A-014E1B0CEB9E}" srcOrd="0" destOrd="0" presId="urn:microsoft.com/office/officeart/2005/8/layout/hierarchy4"/>
    <dgm:cxn modelId="{39D7E660-4112-4361-B5A5-54B7B4E92808}" type="presParOf" srcId="{632F3FA6-B42C-46B0-861A-014E1B0CEB9E}" destId="{A34811D9-17E4-4DD2-ABB1-6B7B7117116C}" srcOrd="0" destOrd="0" presId="urn:microsoft.com/office/officeart/2005/8/layout/hierarchy4"/>
    <dgm:cxn modelId="{C238EFC9-CEFF-4980-9F2F-F4137973563B}" type="presParOf" srcId="{632F3FA6-B42C-46B0-861A-014E1B0CEB9E}" destId="{15F71846-1B5D-4FB4-B808-6F7FEB0D0C8D}" srcOrd="1" destOrd="0" presId="urn:microsoft.com/office/officeart/2005/8/layout/hierarchy4"/>
    <dgm:cxn modelId="{708732A8-4BFD-4B92-AF0A-F14285B6AB2C}" type="presParOf" srcId="{C8E3D9ED-F1A2-4FEB-9A27-50461CB04CF5}" destId="{0F50E8F3-E107-48C6-89CB-4C13D9A958CB}" srcOrd="1" destOrd="0" presId="urn:microsoft.com/office/officeart/2005/8/layout/hierarchy4"/>
    <dgm:cxn modelId="{B5EA44AB-B0E5-4EC5-B417-25C06A5FA99A}" type="presParOf" srcId="{C8E3D9ED-F1A2-4FEB-9A27-50461CB04CF5}" destId="{7C144A53-FCF2-4EEC-8D73-1EFB13194CF5}" srcOrd="2" destOrd="0" presId="urn:microsoft.com/office/officeart/2005/8/layout/hierarchy4"/>
    <dgm:cxn modelId="{F8ABF8AB-7F5B-4D4E-A2A9-B60248BFF3FC}" type="presParOf" srcId="{7C144A53-FCF2-4EEC-8D73-1EFB13194CF5}" destId="{E9347E2E-6BDE-4E24-9416-33B016E70E3E}" srcOrd="0" destOrd="0" presId="urn:microsoft.com/office/officeart/2005/8/layout/hierarchy4"/>
    <dgm:cxn modelId="{1CD7DD60-2945-4634-B365-17C65368C4EC}" type="presParOf" srcId="{7C144A53-FCF2-4EEC-8D73-1EFB13194CF5}" destId="{6B21B4DB-C9EA-4632-A4B4-EC913A3B13F1}" srcOrd="1" destOrd="0" presId="urn:microsoft.com/office/officeart/2005/8/layout/hierarchy4"/>
    <dgm:cxn modelId="{DC8219A7-1120-491C-80E7-EC347E76DFBB}" type="presParOf" srcId="{C8E3D9ED-F1A2-4FEB-9A27-50461CB04CF5}" destId="{58C06EBE-11FD-4B32-988C-CBE05ED0031E}" srcOrd="3" destOrd="0" presId="urn:microsoft.com/office/officeart/2005/8/layout/hierarchy4"/>
    <dgm:cxn modelId="{F5B7CFB9-4164-4129-AB57-68C47A0B1380}" type="presParOf" srcId="{C8E3D9ED-F1A2-4FEB-9A27-50461CB04CF5}" destId="{BF4C6D9D-4BF0-4167-A855-748A7A46D09C}" srcOrd="4" destOrd="0" presId="urn:microsoft.com/office/officeart/2005/8/layout/hierarchy4"/>
    <dgm:cxn modelId="{17A8FC1E-727D-44FC-9846-674741185F55}" type="presParOf" srcId="{BF4C6D9D-4BF0-4167-A855-748A7A46D09C}" destId="{1E47969C-97F4-415D-A370-CA2B1E51C011}" srcOrd="0" destOrd="0" presId="urn:microsoft.com/office/officeart/2005/8/layout/hierarchy4"/>
    <dgm:cxn modelId="{235D2354-8A23-4B7D-B19D-ED2098381E4C}" type="presParOf" srcId="{BF4C6D9D-4BF0-4167-A855-748A7A46D09C}" destId="{A2C8872A-5DE6-48C2-8F4D-A28FB004A8DC}" srcOrd="1" destOrd="0" presId="urn:microsoft.com/office/officeart/2005/8/layout/hierarchy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70D31-F342-424A-9F50-9AD9563556D1}">
      <dsp:nvSpPr>
        <dsp:cNvPr id="0" name=""/>
        <dsp:cNvSpPr/>
      </dsp:nvSpPr>
      <dsp:spPr>
        <a:xfrm>
          <a:off x="0" y="35309"/>
          <a:ext cx="5644026" cy="1087152"/>
        </a:xfrm>
        <a:prstGeom prst="roundRect">
          <a:avLst>
            <a:gd name="adj" fmla="val 10000"/>
          </a:avLst>
        </a:prstGeom>
        <a:solidFill>
          <a:schemeClr val="accent3">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7160" tIns="137160" rIns="137160" bIns="137160" numCol="1" spcCol="1270" anchor="ctr" anchorCtr="0">
          <a:noAutofit/>
        </a:bodyPr>
        <a:lstStyle/>
        <a:p>
          <a:pPr marL="0" lvl="0" indent="0" algn="ctr" defTabSz="1600200">
            <a:lnSpc>
              <a:spcPct val="90000"/>
            </a:lnSpc>
            <a:spcBef>
              <a:spcPct val="0"/>
            </a:spcBef>
            <a:spcAft>
              <a:spcPct val="35000"/>
            </a:spcAft>
            <a:buNone/>
          </a:pPr>
          <a:r>
            <a:rPr lang="en-GB" sz="3600" kern="1200"/>
            <a:t>Preparation For Adulthood</a:t>
          </a:r>
        </a:p>
      </dsp:txBody>
      <dsp:txXfrm>
        <a:off x="31842" y="67151"/>
        <a:ext cx="5580342" cy="1023468"/>
      </dsp:txXfrm>
    </dsp:sp>
    <dsp:sp modelId="{A34811D9-17E4-4DD2-ABB1-6B7B7117116C}">
      <dsp:nvSpPr>
        <dsp:cNvPr id="0" name=""/>
        <dsp:cNvSpPr/>
      </dsp:nvSpPr>
      <dsp:spPr>
        <a:xfrm>
          <a:off x="26816" y="1236649"/>
          <a:ext cx="1829062" cy="1087152"/>
        </a:xfrm>
        <a:prstGeom prst="roundRect">
          <a:avLst>
            <a:gd name="adj" fmla="val 10000"/>
          </a:avLst>
        </a:prstGeom>
        <a:solidFill>
          <a:schemeClr val="tx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PSHE</a:t>
          </a:r>
        </a:p>
      </dsp:txBody>
      <dsp:txXfrm>
        <a:off x="58658" y="1268491"/>
        <a:ext cx="1765378" cy="1023468"/>
      </dsp:txXfrm>
    </dsp:sp>
    <dsp:sp modelId="{E9347E2E-6BDE-4E24-9416-33B016E70E3E}">
      <dsp:nvSpPr>
        <dsp:cNvPr id="0" name=""/>
        <dsp:cNvSpPr/>
      </dsp:nvSpPr>
      <dsp:spPr>
        <a:xfrm>
          <a:off x="1962105" y="1236029"/>
          <a:ext cx="1558253" cy="1087152"/>
        </a:xfrm>
        <a:prstGeom prst="roundRect">
          <a:avLst>
            <a:gd name="adj" fmla="val 10000"/>
          </a:avLst>
        </a:prstGeom>
        <a:solidFill>
          <a:srgbClr val="C05AB9"/>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Independence</a:t>
          </a:r>
        </a:p>
      </dsp:txBody>
      <dsp:txXfrm>
        <a:off x="1993947" y="1267871"/>
        <a:ext cx="1494569" cy="1023468"/>
      </dsp:txXfrm>
    </dsp:sp>
    <dsp:sp modelId="{1E47969C-97F4-415D-A370-CA2B1E51C011}">
      <dsp:nvSpPr>
        <dsp:cNvPr id="0" name=""/>
        <dsp:cNvSpPr/>
      </dsp:nvSpPr>
      <dsp:spPr>
        <a:xfrm>
          <a:off x="3653401" y="1236947"/>
          <a:ext cx="1994923" cy="1087152"/>
        </a:xfrm>
        <a:prstGeom prst="roundRect">
          <a:avLst>
            <a:gd name="adj" fmla="val 10000"/>
          </a:avLst>
        </a:prstGeom>
        <a:solidFill>
          <a:schemeClr val="accent3">
            <a:tint val="99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0" kern="1200"/>
            <a:t>Careers</a:t>
          </a:r>
        </a:p>
      </dsp:txBody>
      <dsp:txXfrm>
        <a:off x="3685243" y="1268789"/>
        <a:ext cx="1931239" cy="10234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7F292343B5341A4CE0D779C27A496" ma:contentTypeVersion="19" ma:contentTypeDescription="Create a new document." ma:contentTypeScope="" ma:versionID="3ff73fe45df02d8e49565560964e3058">
  <xsd:schema xmlns:xsd="http://www.w3.org/2001/XMLSchema" xmlns:xs="http://www.w3.org/2001/XMLSchema" xmlns:p="http://schemas.microsoft.com/office/2006/metadata/properties" xmlns:ns2="3c4c44c8-9b71-4039-a5ce-653c59529660" xmlns:ns3="6261e3ca-9dda-49ec-b402-c0c71d6e2d06" targetNamespace="http://schemas.microsoft.com/office/2006/metadata/properties" ma:root="true" ma:fieldsID="3f68821cbfb3be0a41d6fbd9995c2113" ns2:_="" ns3:_="">
    <xsd:import namespace="3c4c44c8-9b71-4039-a5ce-653c59529660"/>
    <xsd:import namespace="6261e3ca-9dda-49ec-b402-c0c71d6e2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c44c8-9b71-4039-a5ce-653c5952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1e3ca-9dda-49ec-b402-c0c71d6e2d0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72c171-5d24-4c37-aeeb-572e9804ceac}" ma:internalName="TaxCatchAll" ma:showField="CatchAllData" ma:web="6261e3ca-9dda-49ec-b402-c0c71d6e2d0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261e3ca-9dda-49ec-b402-c0c71d6e2d06" xsi:nil="true"/>
    <lcf76f155ced4ddcb4097134ff3c332f xmlns="3c4c44c8-9b71-4039-a5ce-653c59529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C4256-68A6-4407-814E-2970A08CD042}">
  <ds:schemaRefs>
    <ds:schemaRef ds:uri="http://schemas.microsoft.com/sharepoint/v3/contenttype/forms"/>
  </ds:schemaRefs>
</ds:datastoreItem>
</file>

<file path=customXml/itemProps2.xml><?xml version="1.0" encoding="utf-8"?>
<ds:datastoreItem xmlns:ds="http://schemas.openxmlformats.org/officeDocument/2006/customXml" ds:itemID="{F472D029-56AB-4EC2-AFA4-4458C849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c44c8-9b71-4039-a5ce-653c59529660"/>
    <ds:schemaRef ds:uri="6261e3ca-9dda-49ec-b402-c0c71d6e2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02605-2368-42B5-AC34-A3B69AC5B4C1}">
  <ds:schemaRefs>
    <ds:schemaRef ds:uri="http://schemas.openxmlformats.org/officeDocument/2006/bibliography"/>
  </ds:schemaRefs>
</ds:datastoreItem>
</file>

<file path=customXml/itemProps4.xml><?xml version="1.0" encoding="utf-8"?>
<ds:datastoreItem xmlns:ds="http://schemas.openxmlformats.org/officeDocument/2006/customXml" ds:itemID="{24B0C46B-6C02-4D27-B06C-F23140A7B605}">
  <ds:schemaRefs>
    <ds:schemaRef ds:uri="http://schemas.microsoft.com/office/2006/metadata/properties"/>
    <ds:schemaRef ds:uri="http://schemas.microsoft.com/office/infopath/2007/PartnerControls"/>
    <ds:schemaRef ds:uri="6261e3ca-9dda-49ec-b402-c0c71d6e2d06"/>
    <ds:schemaRef ds:uri="3c4c44c8-9b71-4039-a5ce-653c595296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3146</Words>
  <Characters>21868</Characters>
  <Application>Microsoft Office Word</Application>
  <DocSecurity>0</DocSecurity>
  <Lines>607</Lines>
  <Paragraphs>183</Paragraphs>
  <ScaleCrop>false</ScaleCrop>
  <Company>Microsoft</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Blackear</dc:creator>
  <cp:lastModifiedBy>Julie Wood (WaltonHall Staff)</cp:lastModifiedBy>
  <cp:revision>2</cp:revision>
  <cp:lastPrinted>2024-12-11T11:19:00Z</cp:lastPrinted>
  <dcterms:created xsi:type="dcterms:W3CDTF">2025-11-09T19:08:00Z</dcterms:created>
  <dcterms:modified xsi:type="dcterms:W3CDTF">2025-11-09T19:08:00Z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0x0101000107F292343B5341A4CE0D779C27A496</vt:lpwstr>
  </property>
  <property fmtid="{D5CDD505-2E9C-101B-9397-08002B2CF9AE}" pid="3" name="MediaServiceImageTags">
    <vt:lpwstr/>
  </property>
</Properties>
</file>