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580D4B" w:rsidRDefault="00E11E54">
      <w:pPr>
        <w:rPr>
          <w:rFonts w:ascii="Lucida Console" w:hAnsi="Lucida Console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580D4B" w:rsidTr="00E11E54">
        <w:tc>
          <w:tcPr>
            <w:tcW w:w="1696" w:type="dxa"/>
          </w:tcPr>
          <w:p w:rsidR="00E11E54" w:rsidRPr="00580D4B" w:rsidRDefault="00E11E54">
            <w:pPr>
              <w:rPr>
                <w:rFonts w:ascii="OpenDyslexic" w:hAnsi="OpenDyslexic"/>
                <w:b/>
                <w:sz w:val="24"/>
                <w:szCs w:val="24"/>
              </w:rPr>
            </w:pPr>
            <w:r w:rsidRPr="00580D4B">
              <w:rPr>
                <w:rFonts w:ascii="OpenDyslexic" w:hAnsi="OpenDyslexic"/>
                <w:b/>
                <w:sz w:val="24"/>
                <w:szCs w:val="24"/>
              </w:rPr>
              <w:t>2021</w:t>
            </w:r>
          </w:p>
        </w:tc>
        <w:tc>
          <w:tcPr>
            <w:tcW w:w="7320" w:type="dxa"/>
          </w:tcPr>
          <w:p w:rsidR="00E11E54" w:rsidRPr="00580D4B" w:rsidRDefault="00580D4B" w:rsidP="00E11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580D4B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>History GCSE</w:t>
            </w:r>
            <w:r w:rsidR="00E11E54" w:rsidRPr="00580D4B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 xml:space="preserve"> Assessment Plan</w:t>
            </w:r>
          </w:p>
        </w:tc>
      </w:tr>
    </w:tbl>
    <w:p w:rsidR="00E11E54" w:rsidRPr="00580D4B" w:rsidRDefault="00E11E54">
      <w:pPr>
        <w:rPr>
          <w:rFonts w:ascii="OpenDyslexic" w:hAnsi="OpenDyslexic"/>
          <w:sz w:val="24"/>
          <w:szCs w:val="24"/>
        </w:rPr>
      </w:pPr>
    </w:p>
    <w:p w:rsidR="00E11E54" w:rsidRPr="00E9056F" w:rsidRDefault="00E11E54">
      <w:pPr>
        <w:rPr>
          <w:rFonts w:ascii="OpenDyslexic" w:hAnsi="OpenDyslexic"/>
          <w:b/>
          <w:sz w:val="20"/>
          <w:szCs w:val="20"/>
        </w:rPr>
      </w:pPr>
      <w:r w:rsidRPr="00E9056F">
        <w:rPr>
          <w:rFonts w:ascii="OpenDyslexic" w:hAnsi="OpenDyslexic"/>
          <w:b/>
          <w:sz w:val="20"/>
          <w:szCs w:val="20"/>
        </w:rPr>
        <w:t xml:space="preserve">How are you going to </w:t>
      </w:r>
      <w:proofErr w:type="gramStart"/>
      <w:r w:rsidRPr="00E9056F">
        <w:rPr>
          <w:rFonts w:ascii="OpenDyslexic" w:hAnsi="OpenDyslexic"/>
          <w:b/>
          <w:sz w:val="20"/>
          <w:szCs w:val="20"/>
        </w:rPr>
        <w:t>be assessed</w:t>
      </w:r>
      <w:proofErr w:type="gramEnd"/>
      <w:r w:rsidRPr="00E9056F">
        <w:rPr>
          <w:rFonts w:ascii="OpenDyslexic" w:hAnsi="OpenDyslexic"/>
          <w:b/>
          <w:sz w:val="20"/>
          <w:szCs w:val="20"/>
        </w:rPr>
        <w:t>?</w:t>
      </w:r>
    </w:p>
    <w:p w:rsidR="00294875" w:rsidRPr="00E9056F" w:rsidRDefault="00E11E54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br/>
      </w:r>
      <w:r w:rsidR="00294875" w:rsidRPr="00E9056F">
        <w:rPr>
          <w:rFonts w:ascii="OpenDyslexic" w:hAnsi="OpenDyslexic"/>
          <w:sz w:val="20"/>
          <w:szCs w:val="20"/>
        </w:rPr>
        <w:t xml:space="preserve">How are you going to </w:t>
      </w:r>
      <w:proofErr w:type="gramStart"/>
      <w:r w:rsidR="00294875" w:rsidRPr="00E9056F">
        <w:rPr>
          <w:rFonts w:ascii="OpenDyslexic" w:hAnsi="OpenDyslexic"/>
          <w:sz w:val="20"/>
          <w:szCs w:val="20"/>
        </w:rPr>
        <w:t>be assessed</w:t>
      </w:r>
      <w:proofErr w:type="gramEnd"/>
      <w:r w:rsidR="00294875" w:rsidRPr="00E9056F">
        <w:rPr>
          <w:rFonts w:ascii="OpenDyslexic" w:hAnsi="OpenDyslexic"/>
          <w:sz w:val="20"/>
          <w:szCs w:val="20"/>
        </w:rPr>
        <w:t>?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>In order to give you the fairest possible assessment you will complete the assessments outlined with dates below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These assessments </w:t>
      </w:r>
      <w:proofErr w:type="gramStart"/>
      <w:r w:rsidRPr="00E9056F">
        <w:rPr>
          <w:rFonts w:ascii="OpenDyslexic" w:hAnsi="OpenDyslexic"/>
          <w:sz w:val="20"/>
          <w:szCs w:val="20"/>
        </w:rPr>
        <w:t>will be completed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during your normal lessons and a schedule has been outlined below. Each assessment will be under exam conditions. Those students who are entitled to extra time </w:t>
      </w:r>
      <w:proofErr w:type="gramStart"/>
      <w:r w:rsidRPr="00E9056F">
        <w:rPr>
          <w:rFonts w:ascii="OpenDyslexic" w:hAnsi="OpenDyslexic"/>
          <w:sz w:val="20"/>
          <w:szCs w:val="20"/>
        </w:rPr>
        <w:t>will be given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this</w:t>
      </w:r>
      <w:r w:rsidR="00E9056F">
        <w:rPr>
          <w:rFonts w:ascii="OpenDyslexic" w:hAnsi="OpenDyslexic"/>
          <w:sz w:val="20"/>
          <w:szCs w:val="20"/>
        </w:rPr>
        <w:t xml:space="preserve"> and exam concessions will be sorted as necessary</w:t>
      </w:r>
      <w:r w:rsidRPr="00E9056F">
        <w:rPr>
          <w:rFonts w:ascii="OpenDyslexic" w:hAnsi="OpenDyslexic"/>
          <w:sz w:val="20"/>
          <w:szCs w:val="20"/>
        </w:rPr>
        <w:t>.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Your performance in these assessments </w:t>
      </w:r>
      <w:proofErr w:type="gramStart"/>
      <w:r w:rsidRPr="00E9056F">
        <w:rPr>
          <w:rFonts w:ascii="OpenDyslexic" w:hAnsi="OpenDyslexic"/>
          <w:sz w:val="20"/>
          <w:szCs w:val="20"/>
        </w:rPr>
        <w:t>will be judged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against the AQA Geography assessment guidance for awarding of levels 1-9 and cover the Assessment Objectives specified by the AQA </w:t>
      </w:r>
      <w:proofErr w:type="spellStart"/>
      <w:r w:rsidRPr="00E9056F">
        <w:rPr>
          <w:rFonts w:ascii="OpenDyslexic" w:hAnsi="OpenDyslexic"/>
          <w:sz w:val="20"/>
          <w:szCs w:val="20"/>
        </w:rPr>
        <w:t>examboard</w:t>
      </w:r>
      <w:proofErr w:type="spellEnd"/>
      <w:r w:rsidRPr="00E9056F">
        <w:rPr>
          <w:rFonts w:ascii="OpenDyslexic" w:hAnsi="OpenDyslexic"/>
          <w:sz w:val="20"/>
          <w:szCs w:val="20"/>
        </w:rPr>
        <w:t>.</w:t>
      </w:r>
    </w:p>
    <w:p w:rsidR="000D5C40" w:rsidRPr="00E9056F" w:rsidRDefault="000D5C40" w:rsidP="00294875">
      <w:pPr>
        <w:rPr>
          <w:rFonts w:ascii="OpenDyslexic" w:hAnsi="OpenDyslexic"/>
          <w:sz w:val="20"/>
          <w:szCs w:val="20"/>
        </w:rPr>
      </w:pPr>
    </w:p>
    <w:p w:rsidR="000D5C40" w:rsidRPr="00E9056F" w:rsidRDefault="000D5C40">
      <w:pPr>
        <w:rPr>
          <w:rFonts w:ascii="OpenDyslexic" w:hAnsi="OpenDyslexic"/>
          <w:b/>
          <w:sz w:val="20"/>
          <w:szCs w:val="20"/>
        </w:rPr>
      </w:pPr>
      <w:r w:rsidRPr="00E9056F">
        <w:rPr>
          <w:rFonts w:ascii="OpenDyslexic" w:hAnsi="OpenDyslexic"/>
          <w:b/>
          <w:sz w:val="20"/>
          <w:szCs w:val="20"/>
        </w:rPr>
        <w:t>Assessment Schedule</w:t>
      </w:r>
      <w:r w:rsidR="00C135C0" w:rsidRPr="00E9056F">
        <w:rPr>
          <w:rFonts w:ascii="OpenDyslexic" w:hAnsi="OpenDyslexic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080"/>
        <w:gridCol w:w="4219"/>
        <w:gridCol w:w="3373"/>
      </w:tblGrid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Date of Assessment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Subject content assessed</w:t>
            </w:r>
          </w:p>
        </w:tc>
        <w:tc>
          <w:tcPr>
            <w:tcW w:w="3373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 xml:space="preserve">Generic content 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294875" w:rsidRPr="00E9056F" w:rsidRDefault="00294875" w:rsidP="00580D4B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12/4/21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Health and the People </w:t>
            </w:r>
          </w:p>
        </w:tc>
        <w:tc>
          <w:tcPr>
            <w:tcW w:w="3373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19/4/21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The USA, 1918-1973  </w:t>
            </w:r>
          </w:p>
        </w:tc>
        <w:tc>
          <w:tcPr>
            <w:tcW w:w="3373" w:type="dxa"/>
          </w:tcPr>
          <w:p w:rsidR="00294875" w:rsidRPr="00E9056F" w:rsidRDefault="00294875" w:rsidP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1920s</w:t>
            </w:r>
            <w:r w:rsidR="00E9056F" w:rsidRPr="00E9056F">
              <w:rPr>
                <w:rFonts w:ascii="OpenDyslexic" w:hAnsi="OpenDyslexic"/>
                <w:sz w:val="20"/>
                <w:szCs w:val="20"/>
              </w:rPr>
              <w:t xml:space="preserve"> economic and social changes</w:t>
            </w:r>
            <w:r w:rsidRPr="00E9056F">
              <w:rPr>
                <w:rFonts w:ascii="OpenDyslexic" w:hAnsi="OpenDyslexic"/>
                <w:sz w:val="20"/>
                <w:szCs w:val="20"/>
              </w:rPr>
              <w:t xml:space="preserve"> &amp; 1930s/40s New </w:t>
            </w:r>
            <w:proofErr w:type="gramStart"/>
            <w:r w:rsidRPr="00E9056F">
              <w:rPr>
                <w:rFonts w:ascii="OpenDyslexic" w:hAnsi="OpenDyslexic"/>
                <w:sz w:val="20"/>
                <w:szCs w:val="20"/>
              </w:rPr>
              <w:t>Deal .</w:t>
            </w:r>
            <w:proofErr w:type="gramEnd"/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26/4/21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The USA, 1918-1973</w:t>
            </w:r>
          </w:p>
        </w:tc>
        <w:tc>
          <w:tcPr>
            <w:tcW w:w="3373" w:type="dxa"/>
          </w:tcPr>
          <w:p w:rsidR="00294875" w:rsidRPr="00E9056F" w:rsidRDefault="00E9056F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1940s, 1950s, 1960s – experiences of African Americans and social and cultural changes. 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10/5/21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Conflict &amp; Tension </w:t>
            </w:r>
          </w:p>
        </w:tc>
        <w:tc>
          <w:tcPr>
            <w:tcW w:w="3373" w:type="dxa"/>
          </w:tcPr>
          <w:p w:rsidR="00294875" w:rsidRPr="00E9056F" w:rsidRDefault="00E9056F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The Treaty of Versailles &amp; League of Nations. 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17/5/21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Conflict &amp; Tension</w:t>
            </w:r>
          </w:p>
        </w:tc>
        <w:tc>
          <w:tcPr>
            <w:tcW w:w="3373" w:type="dxa"/>
          </w:tcPr>
          <w:p w:rsidR="00294875" w:rsidRPr="00E9056F" w:rsidRDefault="00E9056F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The causes of World War II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>w/c 24/5/21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Health and the People (factors) </w:t>
            </w:r>
          </w:p>
        </w:tc>
        <w:tc>
          <w:tcPr>
            <w:tcW w:w="3373" w:type="dxa"/>
          </w:tcPr>
          <w:p w:rsidR="00294875" w:rsidRPr="00E9056F" w:rsidRDefault="00E9056F">
            <w:pPr>
              <w:rPr>
                <w:rFonts w:ascii="OpenDyslexic" w:hAnsi="OpenDyslexic"/>
                <w:sz w:val="20"/>
                <w:szCs w:val="20"/>
              </w:rPr>
            </w:pPr>
            <w:r w:rsidRPr="00E9056F">
              <w:rPr>
                <w:rFonts w:ascii="OpenDyslexic" w:hAnsi="OpenDyslexic"/>
                <w:sz w:val="20"/>
                <w:szCs w:val="20"/>
              </w:rPr>
              <w:t xml:space="preserve">Factors - 16 mark question. </w:t>
            </w:r>
          </w:p>
        </w:tc>
      </w:tr>
    </w:tbl>
    <w:p w:rsidR="000D5C40" w:rsidRPr="00E9056F" w:rsidRDefault="000D5C40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0D5C40" w:rsidRPr="00E9056F" w:rsidRDefault="00C135C0">
      <w:pPr>
        <w:rPr>
          <w:rFonts w:ascii="OpenDyslexic" w:hAnsi="OpenDyslexic"/>
          <w:b/>
          <w:sz w:val="20"/>
          <w:szCs w:val="20"/>
        </w:rPr>
      </w:pPr>
      <w:r w:rsidRPr="00E9056F">
        <w:rPr>
          <w:rFonts w:ascii="OpenDyslexic" w:hAnsi="OpenDyslexic"/>
          <w:b/>
          <w:sz w:val="20"/>
          <w:szCs w:val="20"/>
        </w:rPr>
        <w:lastRenderedPageBreak/>
        <w:t>Assessment Preparation</w:t>
      </w:r>
    </w:p>
    <w:p w:rsidR="00C135C0" w:rsidRPr="00E9056F" w:rsidRDefault="00C135C0">
      <w:pPr>
        <w:rPr>
          <w:rFonts w:ascii="OpenDyslexic" w:hAnsi="OpenDyslexic"/>
          <w:b/>
          <w:sz w:val="20"/>
          <w:szCs w:val="20"/>
        </w:rPr>
      </w:pPr>
    </w:p>
    <w:p w:rsidR="00C135C0" w:rsidRPr="00E9056F" w:rsidRDefault="00C135C0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In order to prepare you effectively for these assessments you will recap these topics during your </w:t>
      </w:r>
      <w:r w:rsidR="00580D4B" w:rsidRPr="00E9056F">
        <w:rPr>
          <w:rFonts w:ascii="OpenDyslexic" w:hAnsi="OpenDyslexic"/>
          <w:sz w:val="20"/>
          <w:szCs w:val="20"/>
        </w:rPr>
        <w:t>History</w:t>
      </w:r>
      <w:r w:rsidRPr="00E9056F">
        <w:rPr>
          <w:rFonts w:ascii="OpenDyslexic" w:hAnsi="OpenDyslexic"/>
          <w:sz w:val="20"/>
          <w:szCs w:val="20"/>
        </w:rPr>
        <w:t xml:space="preserve"> lessons and </w:t>
      </w:r>
      <w:r w:rsidR="00306C41" w:rsidRPr="00E9056F">
        <w:rPr>
          <w:rFonts w:ascii="OpenDyslexic" w:hAnsi="OpenDyslexic"/>
          <w:sz w:val="20"/>
          <w:szCs w:val="20"/>
        </w:rPr>
        <w:t xml:space="preserve">you </w:t>
      </w:r>
      <w:proofErr w:type="gramStart"/>
      <w:r w:rsidR="00306C41" w:rsidRPr="00E9056F">
        <w:rPr>
          <w:rFonts w:ascii="OpenDyslexic" w:hAnsi="OpenDyslexic"/>
          <w:sz w:val="20"/>
          <w:szCs w:val="20"/>
        </w:rPr>
        <w:t>will</w:t>
      </w:r>
      <w:r w:rsidRPr="00E9056F">
        <w:rPr>
          <w:rFonts w:ascii="OpenDyslexic" w:hAnsi="OpenDyslexic"/>
          <w:sz w:val="20"/>
          <w:szCs w:val="20"/>
        </w:rPr>
        <w:t xml:space="preserve"> be expected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to complete independent home learning as directed by your teacher</w:t>
      </w:r>
      <w:r w:rsidR="00306C41" w:rsidRPr="00E9056F">
        <w:rPr>
          <w:rFonts w:ascii="OpenDyslexic" w:hAnsi="OpenDyslexic"/>
          <w:sz w:val="20"/>
          <w:szCs w:val="20"/>
        </w:rPr>
        <w:t xml:space="preserve"> prior to each assessment</w:t>
      </w:r>
      <w:r w:rsidRPr="00E9056F">
        <w:rPr>
          <w:rFonts w:ascii="OpenDyslexic" w:hAnsi="OpenDyslexic"/>
          <w:sz w:val="20"/>
          <w:szCs w:val="20"/>
        </w:rPr>
        <w:t>.</w:t>
      </w:r>
    </w:p>
    <w:p w:rsidR="00306C41" w:rsidRPr="00E9056F" w:rsidRDefault="00B750E3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Revision materials and practice questions for the above subject content will be available </w:t>
      </w:r>
      <w:r w:rsidR="00580D4B" w:rsidRPr="00E9056F">
        <w:rPr>
          <w:rFonts w:ascii="OpenDyslexic" w:hAnsi="OpenDyslexic"/>
          <w:sz w:val="20"/>
          <w:szCs w:val="20"/>
        </w:rPr>
        <w:t xml:space="preserve">in paper copies and </w:t>
      </w:r>
      <w:r w:rsidRPr="00E9056F">
        <w:rPr>
          <w:rFonts w:ascii="OpenDyslexic" w:hAnsi="OpenDyslexic"/>
          <w:sz w:val="20"/>
          <w:szCs w:val="20"/>
        </w:rPr>
        <w:t xml:space="preserve">in Microsoft Teams. </w:t>
      </w:r>
    </w:p>
    <w:p w:rsidR="00306C41" w:rsidRPr="00E9056F" w:rsidRDefault="00306C41">
      <w:pPr>
        <w:rPr>
          <w:rFonts w:ascii="OpenDyslexic" w:hAnsi="OpenDyslexic"/>
          <w:sz w:val="20"/>
          <w:szCs w:val="20"/>
        </w:rPr>
      </w:pPr>
    </w:p>
    <w:p w:rsidR="00306C41" w:rsidRPr="00E9056F" w:rsidRDefault="00B750E3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>If you have any questions about the assessment plan then please do not hesitate to get in touch:</w:t>
      </w:r>
    </w:p>
    <w:p w:rsidR="00B750E3" w:rsidRPr="00E9056F" w:rsidRDefault="00FB4ABD">
      <w:pPr>
        <w:rPr>
          <w:rFonts w:ascii="OpenDyslexic" w:hAnsi="OpenDyslexic"/>
          <w:sz w:val="20"/>
          <w:szCs w:val="20"/>
        </w:rPr>
      </w:pPr>
      <w:hyperlink r:id="rId4" w:history="1">
        <w:r w:rsidR="00580D4B" w:rsidRPr="00E9056F">
          <w:rPr>
            <w:rStyle w:val="Hyperlink"/>
            <w:rFonts w:ascii="OpenDyslexic" w:hAnsi="OpenDyslexic"/>
            <w:sz w:val="20"/>
            <w:szCs w:val="20"/>
          </w:rPr>
          <w:t>j.main@waltonledale.lancs.sch.uk</w:t>
        </w:r>
      </w:hyperlink>
      <w:r w:rsidR="00580D4B" w:rsidRPr="00E9056F">
        <w:rPr>
          <w:rFonts w:ascii="OpenDyslexic" w:hAnsi="OpenDyslexic"/>
          <w:sz w:val="20"/>
          <w:szCs w:val="20"/>
        </w:rPr>
        <w:t xml:space="preserve">  </w:t>
      </w:r>
    </w:p>
    <w:p w:rsidR="00B750E3" w:rsidRPr="00E9056F" w:rsidRDefault="00580D4B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>Miss J. Main</w:t>
      </w:r>
      <w:r w:rsidR="00B750E3" w:rsidRPr="00E9056F">
        <w:rPr>
          <w:rFonts w:ascii="OpenDyslexic" w:hAnsi="OpenDyslexic"/>
          <w:sz w:val="20"/>
          <w:szCs w:val="20"/>
        </w:rPr>
        <w:t xml:space="preserve"> | </w:t>
      </w:r>
      <w:r w:rsidRPr="00E9056F">
        <w:rPr>
          <w:rFonts w:ascii="OpenDyslexic" w:hAnsi="OpenDyslexic"/>
          <w:color w:val="7F7F7F" w:themeColor="text1" w:themeTint="80"/>
          <w:sz w:val="20"/>
          <w:szCs w:val="20"/>
        </w:rPr>
        <w:t xml:space="preserve">Head of Humanities </w:t>
      </w:r>
    </w:p>
    <w:sectPr w:rsidR="00B750E3" w:rsidRPr="00E9056F" w:rsidSect="0058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294875"/>
    <w:rsid w:val="00306C41"/>
    <w:rsid w:val="003D2085"/>
    <w:rsid w:val="00580D4B"/>
    <w:rsid w:val="006F5400"/>
    <w:rsid w:val="006F70D2"/>
    <w:rsid w:val="00A66B8B"/>
    <w:rsid w:val="00B750E3"/>
    <w:rsid w:val="00BB1434"/>
    <w:rsid w:val="00C135C0"/>
    <w:rsid w:val="00D858EF"/>
    <w:rsid w:val="00DB4D87"/>
    <w:rsid w:val="00DF54B0"/>
    <w:rsid w:val="00E11E54"/>
    <w:rsid w:val="00E9056F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main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J Withers</cp:lastModifiedBy>
  <cp:revision>2</cp:revision>
  <dcterms:created xsi:type="dcterms:W3CDTF">2021-04-23T15:14:00Z</dcterms:created>
  <dcterms:modified xsi:type="dcterms:W3CDTF">2021-04-23T15:14:00Z</dcterms:modified>
</cp:coreProperties>
</file>