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4BBFC261" w:rsidP="4BBFC261" w:rsidRDefault="4BBFC261" w14:paraId="669827A6" w14:textId="5CB0A254">
      <w:pPr>
        <w:rPr>
          <w:rFonts w:ascii="Tahoma" w:hAnsi="Tahoma" w:cs="Tahoma"/>
          <w:b/>
          <w:bCs/>
        </w:rPr>
      </w:pPr>
      <w:r w:rsidRPr="4BBFC261">
        <w:rPr>
          <w:rFonts w:ascii="Tahoma" w:hAnsi="Tahoma" w:cs="Tahoma"/>
          <w:b/>
          <w:bCs/>
        </w:rPr>
        <w:t xml:space="preserve">Year 11 Curriculum Map – </w:t>
      </w:r>
      <w:r w:rsidRPr="4BBFC261">
        <w:rPr>
          <w:rFonts w:ascii="Tahoma" w:hAnsi="Tahoma" w:eastAsia="Tahoma" w:cs="Tahoma"/>
          <w:b/>
          <w:bCs/>
        </w:rPr>
        <w:t>Oct to Dec half term</w:t>
      </w:r>
    </w:p>
    <w:tbl>
      <w:tblPr>
        <w:tblStyle w:val="TableGrid"/>
        <w:tblW w:w="10456" w:type="dxa"/>
        <w:tblLook w:val="04A0" w:firstRow="1" w:lastRow="0" w:firstColumn="1" w:lastColumn="0" w:noHBand="0" w:noVBand="1"/>
      </w:tblPr>
      <w:tblGrid>
        <w:gridCol w:w="1950"/>
        <w:gridCol w:w="8506"/>
      </w:tblGrid>
      <w:tr w:rsidRPr="003F0DC6" w:rsidR="00BE423F" w:rsidTr="774D9AA4" w14:paraId="4640BA28" w14:textId="77777777">
        <w:tc>
          <w:tcPr>
            <w:tcW w:w="1950" w:type="dxa"/>
            <w:tcMar/>
          </w:tcPr>
          <w:p w:rsidRPr="00BE423F" w:rsidR="00BE423F" w:rsidP="00BE423F" w:rsidRDefault="00BE423F" w14:paraId="5A9A5BC5" w14:textId="77777777">
            <w:pPr>
              <w:jc w:val="center"/>
              <w:rPr>
                <w:rFonts w:ascii="Tahoma" w:hAnsi="Tahoma" w:cs="Tahoma"/>
                <w:b/>
                <w:sz w:val="24"/>
                <w:szCs w:val="24"/>
              </w:rPr>
            </w:pPr>
            <w:r w:rsidRPr="00BE423F">
              <w:rPr>
                <w:rFonts w:ascii="Tahoma" w:hAnsi="Tahoma" w:cs="Tahoma"/>
                <w:b/>
                <w:sz w:val="24"/>
                <w:szCs w:val="24"/>
              </w:rPr>
              <w:t>Maths</w:t>
            </w:r>
          </w:p>
        </w:tc>
        <w:tc>
          <w:tcPr>
            <w:tcW w:w="8506" w:type="dxa"/>
            <w:tcMar/>
          </w:tcPr>
          <w:p w:rsidRPr="00BE423F" w:rsidR="00BE423F" w:rsidP="76F3C2E8" w:rsidRDefault="76F3C2E8" w14:paraId="672A6659" w14:textId="33BAE19C">
            <w:pPr>
              <w:rPr>
                <w:rFonts w:ascii="Tahoma" w:hAnsi="Tahoma" w:cs="Tahoma"/>
                <w:sz w:val="24"/>
                <w:szCs w:val="24"/>
              </w:rPr>
            </w:pPr>
            <w:r w:rsidRPr="76F3C2E8">
              <w:rPr>
                <w:rFonts w:ascii="Tahoma" w:hAnsi="Tahoma" w:cs="Tahoma"/>
                <w:sz w:val="24"/>
                <w:szCs w:val="24"/>
              </w:rPr>
              <w:t>By now students will have finished the scheme of work and will start a programme of revision that runs up until the summer examinations. Ahead of their mocks in December they will spend 5 weeks concentrating on revision of core topics in their exam tier of entry, with a weekly focus on Number, Algebra, Ratio &amp; Proportion, Geometry &amp; Measures and Statistics &amp; Probability. All these will be informed by question level analysis of past papers completed every fortnight throughout year 11 to identify the key areas for development.</w:t>
            </w:r>
          </w:p>
        </w:tc>
      </w:tr>
      <w:tr w:rsidRPr="003F0DC6" w:rsidR="00BE423F" w:rsidTr="774D9AA4" w14:paraId="0A6CB2C4" w14:textId="77777777">
        <w:tc>
          <w:tcPr>
            <w:tcW w:w="1950" w:type="dxa"/>
            <w:tcMar/>
          </w:tcPr>
          <w:p w:rsidRPr="00BE423F" w:rsidR="00BE423F" w:rsidP="00BE423F" w:rsidRDefault="00BE423F" w14:paraId="49A56AFD" w14:textId="77777777">
            <w:pPr>
              <w:jc w:val="center"/>
              <w:rPr>
                <w:rFonts w:ascii="Tahoma" w:hAnsi="Tahoma" w:cs="Tahoma"/>
                <w:b/>
                <w:sz w:val="24"/>
                <w:szCs w:val="24"/>
              </w:rPr>
            </w:pPr>
            <w:r w:rsidRPr="00BE423F">
              <w:rPr>
                <w:rFonts w:ascii="Tahoma" w:hAnsi="Tahoma" w:cs="Tahoma"/>
                <w:b/>
                <w:sz w:val="24"/>
                <w:szCs w:val="24"/>
              </w:rPr>
              <w:t>English</w:t>
            </w:r>
          </w:p>
        </w:tc>
        <w:tc>
          <w:tcPr>
            <w:tcW w:w="8506" w:type="dxa"/>
            <w:tcMar/>
          </w:tcPr>
          <w:p w:rsidRPr="00BE423F" w:rsidR="00BE423F" w:rsidP="003F0DC6" w:rsidRDefault="00AF357D" w14:paraId="0A37501D" w14:textId="701F3B32">
            <w:pPr>
              <w:rPr>
                <w:rFonts w:ascii="Tahoma" w:hAnsi="Tahoma" w:cs="Tahoma"/>
                <w:sz w:val="24"/>
                <w:szCs w:val="24"/>
              </w:rPr>
            </w:pPr>
            <w:r>
              <w:rPr>
                <w:rFonts w:ascii="Tahoma" w:hAnsi="Tahoma" w:cs="Tahoma"/>
                <w:sz w:val="24"/>
                <w:szCs w:val="24"/>
              </w:rPr>
              <w:t xml:space="preserve">Students will continue to revise crime and punishment in ‘Great Expectations’ and work towards completing an extended piece of work on how Dickens presents attitudes to criminals and the law.  Students will revise their approach to English Language Paper 2 and prepare for internal examinations.  </w:t>
            </w:r>
          </w:p>
        </w:tc>
      </w:tr>
      <w:tr w:rsidRPr="003F0DC6" w:rsidR="00BE423F" w:rsidTr="774D9AA4" w14:paraId="3E63FE78" w14:textId="77777777">
        <w:tc>
          <w:tcPr>
            <w:tcW w:w="1950" w:type="dxa"/>
            <w:tcMar/>
          </w:tcPr>
          <w:p w:rsidRPr="00BE423F" w:rsidR="00BE423F" w:rsidP="00BE423F" w:rsidRDefault="00BE423F" w14:paraId="3D4CE94A" w14:textId="77777777">
            <w:pPr>
              <w:jc w:val="center"/>
              <w:rPr>
                <w:rFonts w:ascii="Tahoma" w:hAnsi="Tahoma" w:cs="Tahoma"/>
                <w:b/>
                <w:sz w:val="24"/>
                <w:szCs w:val="24"/>
              </w:rPr>
            </w:pPr>
            <w:r w:rsidRPr="00BE423F">
              <w:rPr>
                <w:rFonts w:ascii="Tahoma" w:hAnsi="Tahoma" w:cs="Tahoma"/>
                <w:b/>
                <w:sz w:val="24"/>
                <w:szCs w:val="24"/>
              </w:rPr>
              <w:t>Science</w:t>
            </w:r>
          </w:p>
        </w:tc>
        <w:tc>
          <w:tcPr>
            <w:tcW w:w="8506" w:type="dxa"/>
            <w:tcMar/>
          </w:tcPr>
          <w:p w:rsidRPr="00BE423F" w:rsidR="00BE423F" w:rsidP="774D9AA4" w:rsidRDefault="00BE423F" w14:paraId="5DAB6C7B" w14:textId="612F18E9">
            <w:pPr>
              <w:rPr>
                <w:rFonts w:ascii="Tahoma" w:hAnsi="Tahoma" w:cs="Tahoma"/>
                <w:sz w:val="24"/>
                <w:szCs w:val="24"/>
              </w:rPr>
            </w:pPr>
            <w:r w:rsidRPr="774D9AA4" w:rsidR="774D9AA4">
              <w:rPr>
                <w:rFonts w:ascii="Tahoma" w:hAnsi="Tahoma" w:cs="Tahoma"/>
                <w:sz w:val="24"/>
                <w:szCs w:val="24"/>
              </w:rPr>
              <w:t xml:space="preserve">Set 1 Separate Sciences Physics will be continuing with Topic 6 Waves and progressing on to Topic 7 Magnetism. In Chemistry they will be completing Topic 8 – Chemical analysis and Topic 9 – Chemistry of the atmosphere. In Biology they are completing Topic 5 Homeostasis and response then onto Topic 6 – Variation and inheritance.  Set 1 also have a "Mastery” lesson once a week to enhance the highest grades.  In the Combined Science Course Biology classes are covering Topic 5 – Homeostasis and response and Topic 6 – Variation and Inheritance.  For </w:t>
            </w:r>
            <w:proofErr w:type="spellStart"/>
            <w:r w:rsidRPr="774D9AA4" w:rsidR="774D9AA4">
              <w:rPr>
                <w:rFonts w:ascii="Tahoma" w:hAnsi="Tahoma" w:cs="Tahoma"/>
                <w:sz w:val="24"/>
                <w:szCs w:val="24"/>
              </w:rPr>
              <w:t>Physcis</w:t>
            </w:r>
            <w:proofErr w:type="spellEnd"/>
            <w:r w:rsidRPr="774D9AA4" w:rsidR="774D9AA4">
              <w:rPr>
                <w:rFonts w:ascii="Tahoma" w:hAnsi="Tahoma" w:cs="Tahoma"/>
                <w:sz w:val="24"/>
                <w:szCs w:val="24"/>
              </w:rPr>
              <w:t xml:space="preserve"> they are covering Topic 6 – Waves followed on by Topic 7 – Magnetism.  In Chemistry they are covering Topic 8 – Chemical analysis and Topic 9 – Chemistry of the atmosphere.  Preparation for the mock examinations is ongoing and a focus for homework.</w:t>
            </w:r>
          </w:p>
        </w:tc>
      </w:tr>
      <w:tr w:rsidRPr="003F0DC6" w:rsidR="00BE423F" w:rsidTr="774D9AA4" w14:paraId="023CE41E" w14:textId="77777777">
        <w:tc>
          <w:tcPr>
            <w:tcW w:w="1950" w:type="dxa"/>
            <w:tcMar/>
          </w:tcPr>
          <w:p w:rsidRPr="00BE423F" w:rsidR="00BE423F" w:rsidP="00BE423F" w:rsidRDefault="00BE423F" w14:paraId="0044D0CA" w14:textId="77777777">
            <w:pPr>
              <w:jc w:val="center"/>
              <w:rPr>
                <w:rFonts w:ascii="Tahoma" w:hAnsi="Tahoma" w:cs="Tahoma"/>
                <w:b/>
                <w:sz w:val="24"/>
                <w:szCs w:val="24"/>
              </w:rPr>
            </w:pPr>
            <w:r w:rsidRPr="00BE423F">
              <w:rPr>
                <w:rFonts w:ascii="Tahoma" w:hAnsi="Tahoma" w:cs="Tahoma"/>
                <w:b/>
                <w:sz w:val="24"/>
                <w:szCs w:val="24"/>
              </w:rPr>
              <w:t>Geog</w:t>
            </w:r>
          </w:p>
        </w:tc>
        <w:tc>
          <w:tcPr>
            <w:tcW w:w="8506" w:type="dxa"/>
            <w:tcMar/>
          </w:tcPr>
          <w:p w:rsidRPr="00BE423F" w:rsidR="00BE423F" w:rsidP="065ABB8D" w:rsidRDefault="065ABB8D" w14:paraId="77B96236" w14:textId="4A0CB5EC">
            <w:pPr>
              <w:spacing w:line="257" w:lineRule="auto"/>
            </w:pPr>
            <w:r w:rsidRPr="065ABB8D">
              <w:rPr>
                <w:rFonts w:ascii="Tahoma" w:hAnsi="Tahoma" w:eastAsia="Tahoma" w:cs="Tahoma"/>
                <w:sz w:val="24"/>
                <w:szCs w:val="24"/>
              </w:rPr>
              <w:t>Students have carried out fieldwork in Bowness, Cumbria where they will discovered:</w:t>
            </w:r>
          </w:p>
          <w:p w:rsidRPr="00BE423F" w:rsidR="00BE423F" w:rsidP="065ABB8D" w:rsidRDefault="065ABB8D" w14:paraId="7D971DD7" w14:textId="403F0DBF">
            <w:pPr>
              <w:pStyle w:val="ListParagraph"/>
              <w:numPr>
                <w:ilvl w:val="0"/>
                <w:numId w:val="1"/>
              </w:numPr>
              <w:spacing w:line="257" w:lineRule="auto"/>
              <w:rPr>
                <w:sz w:val="24"/>
                <w:szCs w:val="24"/>
              </w:rPr>
            </w:pPr>
            <w:r w:rsidRPr="065ABB8D">
              <w:rPr>
                <w:rFonts w:ascii="Tahoma" w:hAnsi="Tahoma" w:eastAsia="Tahoma" w:cs="Tahoma"/>
                <w:sz w:val="24"/>
                <w:szCs w:val="24"/>
              </w:rPr>
              <w:t xml:space="preserve">the attractions for tourists </w:t>
            </w:r>
          </w:p>
          <w:p w:rsidRPr="00BE423F" w:rsidR="00BE423F" w:rsidP="065ABB8D" w:rsidRDefault="065ABB8D" w14:paraId="22EE861B" w14:textId="0360E58A">
            <w:pPr>
              <w:pStyle w:val="ListParagraph"/>
              <w:numPr>
                <w:ilvl w:val="0"/>
                <w:numId w:val="1"/>
              </w:numPr>
              <w:spacing w:line="257" w:lineRule="auto"/>
              <w:rPr>
                <w:sz w:val="24"/>
                <w:szCs w:val="24"/>
              </w:rPr>
            </w:pPr>
            <w:r w:rsidRPr="065ABB8D">
              <w:rPr>
                <w:rFonts w:ascii="Tahoma" w:hAnsi="Tahoma" w:eastAsia="Tahoma" w:cs="Tahoma"/>
                <w:sz w:val="24"/>
                <w:szCs w:val="24"/>
              </w:rPr>
              <w:t xml:space="preserve">The social, economic and environmental impacts of tourism </w:t>
            </w:r>
          </w:p>
          <w:p w:rsidRPr="00BE423F" w:rsidR="00BE423F" w:rsidP="065ABB8D" w:rsidRDefault="065ABB8D" w14:paraId="345132B3" w14:textId="35D5FD87">
            <w:pPr>
              <w:pStyle w:val="ListParagraph"/>
              <w:numPr>
                <w:ilvl w:val="0"/>
                <w:numId w:val="1"/>
              </w:numPr>
              <w:spacing w:line="257" w:lineRule="auto"/>
              <w:rPr>
                <w:sz w:val="24"/>
                <w:szCs w:val="24"/>
              </w:rPr>
            </w:pPr>
            <w:r w:rsidRPr="065ABB8D">
              <w:rPr>
                <w:rFonts w:ascii="Tahoma" w:hAnsi="Tahoma" w:eastAsia="Tahoma" w:cs="Tahoma"/>
                <w:sz w:val="24"/>
                <w:szCs w:val="24"/>
              </w:rPr>
              <w:t>the strategies used to manage the impact of tourism.</w:t>
            </w:r>
          </w:p>
          <w:p w:rsidRPr="00BE423F" w:rsidR="00BE423F" w:rsidP="065ABB8D" w:rsidRDefault="065ABB8D" w14:paraId="02EB378F" w14:textId="6323A98C">
            <w:pPr>
              <w:spacing w:line="257" w:lineRule="auto"/>
              <w:rPr>
                <w:rFonts w:ascii="Tahoma" w:hAnsi="Tahoma" w:eastAsia="Tahoma" w:cs="Tahoma"/>
                <w:sz w:val="24"/>
                <w:szCs w:val="24"/>
              </w:rPr>
            </w:pPr>
            <w:r w:rsidRPr="065ABB8D">
              <w:rPr>
                <w:rFonts w:ascii="Tahoma" w:hAnsi="Tahoma" w:eastAsia="Tahoma" w:cs="Tahoma"/>
                <w:sz w:val="24"/>
                <w:szCs w:val="24"/>
              </w:rPr>
              <w:t>This half-term they will be analysing the data and information that they have gathered and applying it to their study of galacial landscapes. They will be embedding the skills that they need for paper 1 and paper 3.</w:t>
            </w:r>
          </w:p>
        </w:tc>
      </w:tr>
      <w:tr w:rsidRPr="003F0DC6" w:rsidR="00BE423F" w:rsidTr="774D9AA4" w14:paraId="1597E8FF" w14:textId="77777777">
        <w:tc>
          <w:tcPr>
            <w:tcW w:w="1950" w:type="dxa"/>
            <w:tcMar/>
          </w:tcPr>
          <w:p w:rsidRPr="00BE423F" w:rsidR="00BE423F" w:rsidP="00BE423F" w:rsidRDefault="00BE423F" w14:paraId="11CC0326" w14:textId="77777777">
            <w:pPr>
              <w:jc w:val="center"/>
              <w:rPr>
                <w:rFonts w:ascii="Tahoma" w:hAnsi="Tahoma" w:cs="Tahoma"/>
                <w:b/>
                <w:sz w:val="24"/>
                <w:szCs w:val="24"/>
              </w:rPr>
            </w:pPr>
            <w:r w:rsidRPr="00BE423F">
              <w:rPr>
                <w:rFonts w:ascii="Tahoma" w:hAnsi="Tahoma" w:cs="Tahoma"/>
                <w:b/>
                <w:sz w:val="24"/>
                <w:szCs w:val="24"/>
              </w:rPr>
              <w:t>Hist</w:t>
            </w:r>
          </w:p>
        </w:tc>
        <w:tc>
          <w:tcPr>
            <w:tcW w:w="8506" w:type="dxa"/>
            <w:tcMar/>
          </w:tcPr>
          <w:p w:rsidRPr="00BE423F" w:rsidR="00BE423F" w:rsidP="065ABB8D" w:rsidRDefault="065ABB8D" w14:paraId="6A05A809" w14:textId="1A40FDE7">
            <w:pPr>
              <w:rPr>
                <w:rFonts w:ascii="Tahoma" w:hAnsi="Tahoma" w:cs="Tahoma"/>
                <w:sz w:val="24"/>
                <w:szCs w:val="24"/>
              </w:rPr>
            </w:pPr>
            <w:r w:rsidRPr="065ABB8D">
              <w:rPr>
                <w:rFonts w:ascii="Tahoma" w:hAnsi="Tahoma" w:cs="Tahoma"/>
                <w:sz w:val="24"/>
                <w:szCs w:val="24"/>
              </w:rPr>
              <w:t xml:space="preserve">Students will be studying their final GCSE unit Health and the People, c.1000- the Present Day. They will be learning about medicine in the Medieval and Renaissance period and considering the amount of progress, regress and continuity. Students will aslo be developing their source skills of inference and utility.  </w:t>
            </w:r>
          </w:p>
        </w:tc>
      </w:tr>
      <w:tr w:rsidRPr="003F0DC6" w:rsidR="00BE423F" w:rsidTr="774D9AA4" w14:paraId="57E5D4C3" w14:textId="77777777">
        <w:tc>
          <w:tcPr>
            <w:tcW w:w="1950" w:type="dxa"/>
            <w:tcMar/>
          </w:tcPr>
          <w:p w:rsidRPr="00BE423F" w:rsidR="00BE423F" w:rsidP="00BE423F" w:rsidRDefault="00BE423F" w14:paraId="360FB78A" w14:textId="77777777">
            <w:pPr>
              <w:jc w:val="center"/>
              <w:rPr>
                <w:rFonts w:ascii="Tahoma" w:hAnsi="Tahoma" w:cs="Tahoma"/>
                <w:b/>
                <w:sz w:val="24"/>
                <w:szCs w:val="24"/>
              </w:rPr>
            </w:pPr>
            <w:r w:rsidRPr="00BE423F">
              <w:rPr>
                <w:rFonts w:ascii="Tahoma" w:hAnsi="Tahoma" w:cs="Tahoma"/>
                <w:b/>
                <w:sz w:val="24"/>
                <w:szCs w:val="24"/>
              </w:rPr>
              <w:t>HSC</w:t>
            </w:r>
          </w:p>
        </w:tc>
        <w:tc>
          <w:tcPr>
            <w:tcW w:w="8506" w:type="dxa"/>
            <w:tcMar/>
          </w:tcPr>
          <w:p w:rsidRPr="003559D6" w:rsidR="003559D6" w:rsidP="003F0DC6" w:rsidRDefault="003559D6" w14:paraId="47E9D274" w14:textId="1EC46609">
            <w:pPr>
              <w:rPr>
                <w:rFonts w:ascii="Tahoma" w:hAnsi="Tahoma" w:cs="Tahoma"/>
                <w:sz w:val="24"/>
                <w:szCs w:val="24"/>
              </w:rPr>
            </w:pPr>
            <w:r w:rsidRPr="003559D6">
              <w:rPr>
                <w:rFonts w:ascii="Tahoma" w:hAnsi="Tahoma" w:cs="Tahoma"/>
                <w:sz w:val="24"/>
                <w:szCs w:val="24"/>
              </w:rPr>
              <w:t>Component 3 learning Aim B – Interpreting health indicators</w:t>
            </w:r>
          </w:p>
          <w:p w:rsidR="003559D6" w:rsidP="003559D6" w:rsidRDefault="003559D6" w14:paraId="6EA112BE" w14:textId="0610790F">
            <w:pPr>
              <w:rPr>
                <w:rFonts w:ascii="Tahoma" w:hAnsi="Tahoma" w:cs="Tahoma"/>
                <w:bCs/>
                <w:sz w:val="24"/>
                <w:szCs w:val="24"/>
              </w:rPr>
            </w:pPr>
            <w:r w:rsidRPr="003559D6">
              <w:rPr>
                <w:rFonts w:ascii="Tahoma" w:hAnsi="Tahoma" w:cs="Tahoma"/>
                <w:sz w:val="24"/>
                <w:szCs w:val="24"/>
              </w:rPr>
              <w:t xml:space="preserve">Students will be learning about how health indicators including </w:t>
            </w:r>
            <w:r>
              <w:rPr>
                <w:rFonts w:ascii="Tahoma" w:hAnsi="Tahoma" w:cs="Tahoma"/>
                <w:bCs/>
                <w:sz w:val="24"/>
                <w:szCs w:val="24"/>
              </w:rPr>
              <w:t>p</w:t>
            </w:r>
            <w:r w:rsidRPr="003559D6">
              <w:rPr>
                <w:rFonts w:ascii="Tahoma" w:hAnsi="Tahoma" w:cs="Tahoma"/>
                <w:bCs/>
                <w:sz w:val="24"/>
                <w:szCs w:val="24"/>
              </w:rPr>
              <w:t>hysiological indicators and lifestyle indicators can be used when assessing a person</w:t>
            </w:r>
            <w:r>
              <w:rPr>
                <w:rFonts w:ascii="Tahoma" w:hAnsi="Tahoma" w:cs="Tahoma"/>
                <w:bCs/>
                <w:sz w:val="24"/>
                <w:szCs w:val="24"/>
              </w:rPr>
              <w:t>’</w:t>
            </w:r>
            <w:r w:rsidRPr="003559D6">
              <w:rPr>
                <w:rFonts w:ascii="Tahoma" w:hAnsi="Tahoma" w:cs="Tahoma"/>
                <w:bCs/>
                <w:sz w:val="24"/>
                <w:szCs w:val="24"/>
              </w:rPr>
              <w:t>s health and wellbeing</w:t>
            </w:r>
            <w:r>
              <w:rPr>
                <w:rFonts w:ascii="Tahoma" w:hAnsi="Tahoma" w:cs="Tahoma"/>
                <w:bCs/>
                <w:sz w:val="24"/>
                <w:szCs w:val="24"/>
              </w:rPr>
              <w:t>.</w:t>
            </w:r>
          </w:p>
          <w:p w:rsidRPr="00BE423F" w:rsidR="00BE423F" w:rsidP="003559D6" w:rsidRDefault="003559D6" w14:paraId="5A39BBE3" w14:textId="2D0CF1B2">
            <w:pPr>
              <w:rPr>
                <w:rFonts w:ascii="Tahoma" w:hAnsi="Tahoma" w:cs="Tahoma"/>
                <w:sz w:val="24"/>
                <w:szCs w:val="24"/>
              </w:rPr>
            </w:pPr>
            <w:r>
              <w:rPr>
                <w:rFonts w:ascii="Tahoma" w:hAnsi="Tahoma" w:cs="Tahoma"/>
                <w:bCs/>
                <w:sz w:val="24"/>
                <w:szCs w:val="24"/>
              </w:rPr>
              <w:t>We will consolidate knowledge and learn how to write a Health and Wellbeing Improvement Plan whilst looking at obstacle</w:t>
            </w:r>
            <w:r w:rsidR="004423F2">
              <w:rPr>
                <w:rFonts w:ascii="Tahoma" w:hAnsi="Tahoma" w:cs="Tahoma"/>
                <w:bCs/>
                <w:sz w:val="24"/>
                <w:szCs w:val="24"/>
              </w:rPr>
              <w:t>s</w:t>
            </w:r>
            <w:r>
              <w:rPr>
                <w:rFonts w:ascii="Tahoma" w:hAnsi="Tahoma" w:cs="Tahoma"/>
                <w:bCs/>
                <w:sz w:val="24"/>
                <w:szCs w:val="24"/>
              </w:rPr>
              <w:t xml:space="preserve"> that </w:t>
            </w:r>
            <w:r w:rsidR="004423F2">
              <w:rPr>
                <w:rFonts w:ascii="Tahoma" w:hAnsi="Tahoma" w:cs="Tahoma"/>
                <w:bCs/>
                <w:sz w:val="24"/>
                <w:szCs w:val="24"/>
              </w:rPr>
              <w:t>m</w:t>
            </w:r>
            <w:r>
              <w:rPr>
                <w:rFonts w:ascii="Tahoma" w:hAnsi="Tahoma" w:cs="Tahoma"/>
                <w:bCs/>
                <w:sz w:val="24"/>
                <w:szCs w:val="24"/>
              </w:rPr>
              <w:t>ay occur when implementing a plan.</w:t>
            </w:r>
          </w:p>
        </w:tc>
      </w:tr>
      <w:tr w:rsidRPr="003F0DC6" w:rsidR="00BE423F" w:rsidTr="774D9AA4" w14:paraId="112A29E6" w14:textId="77777777">
        <w:tc>
          <w:tcPr>
            <w:tcW w:w="1950" w:type="dxa"/>
            <w:tcMar/>
          </w:tcPr>
          <w:p w:rsidRPr="00BE423F" w:rsidR="00BE423F" w:rsidP="00BE423F" w:rsidRDefault="00BE423F" w14:paraId="0B7D5FF3" w14:textId="77777777">
            <w:pPr>
              <w:jc w:val="center"/>
              <w:rPr>
                <w:rFonts w:ascii="Tahoma" w:hAnsi="Tahoma" w:cs="Tahoma"/>
                <w:b/>
                <w:sz w:val="24"/>
                <w:szCs w:val="24"/>
              </w:rPr>
            </w:pPr>
            <w:r w:rsidRPr="00BE423F">
              <w:rPr>
                <w:rFonts w:ascii="Tahoma" w:hAnsi="Tahoma" w:cs="Tahoma"/>
                <w:b/>
                <w:sz w:val="24"/>
                <w:szCs w:val="24"/>
              </w:rPr>
              <w:t>RS</w:t>
            </w:r>
          </w:p>
        </w:tc>
        <w:tc>
          <w:tcPr>
            <w:tcW w:w="8506" w:type="dxa"/>
            <w:tcMar/>
          </w:tcPr>
          <w:p w:rsidRPr="00BE423F" w:rsidR="00BE423F" w:rsidP="2080DA2E" w:rsidRDefault="2080DA2E" w14:paraId="41C8F396" w14:textId="19C96B48">
            <w:pPr>
              <w:rPr>
                <w:rFonts w:ascii="Tahoma" w:hAnsi="Tahoma" w:cs="Tahoma"/>
                <w:sz w:val="24"/>
                <w:szCs w:val="24"/>
              </w:rPr>
            </w:pPr>
            <w:r w:rsidRPr="2080DA2E">
              <w:rPr>
                <w:rFonts w:ascii="Tahoma" w:hAnsi="Tahoma" w:cs="Tahoma"/>
                <w:sz w:val="24"/>
                <w:szCs w:val="24"/>
              </w:rPr>
              <w:t>Students will study Christian practices such as festivals, liturgical and non liturgical worship and pilgrimage. They will also continue to study the Crime and punishment unit from Paper 2.</w:t>
            </w:r>
          </w:p>
        </w:tc>
      </w:tr>
      <w:tr w:rsidRPr="003F0DC6" w:rsidR="00BE423F" w:rsidTr="774D9AA4" w14:paraId="0E587BED" w14:textId="77777777">
        <w:tc>
          <w:tcPr>
            <w:tcW w:w="1950" w:type="dxa"/>
            <w:tcMar/>
          </w:tcPr>
          <w:p w:rsidRPr="00BE423F" w:rsidR="00BE423F" w:rsidP="35A2CE4E" w:rsidRDefault="35A2CE4E" w14:paraId="5ECDE6EA" w14:textId="4D306E6B">
            <w:pPr>
              <w:jc w:val="center"/>
              <w:rPr>
                <w:rFonts w:ascii="Tahoma" w:hAnsi="Tahoma" w:cs="Tahoma"/>
                <w:b/>
                <w:bCs/>
                <w:sz w:val="24"/>
                <w:szCs w:val="24"/>
              </w:rPr>
            </w:pPr>
            <w:r w:rsidRPr="35A2CE4E">
              <w:rPr>
                <w:rFonts w:ascii="Tahoma" w:hAnsi="Tahoma" w:cs="Tahoma"/>
                <w:b/>
                <w:bCs/>
                <w:sz w:val="24"/>
                <w:szCs w:val="24"/>
              </w:rPr>
              <w:t>DT - Graphics</w:t>
            </w:r>
          </w:p>
        </w:tc>
        <w:tc>
          <w:tcPr>
            <w:tcW w:w="8506" w:type="dxa"/>
            <w:tcMar/>
          </w:tcPr>
          <w:p w:rsidRPr="00BE423F" w:rsidR="00BE423F" w:rsidP="1233A1B3" w:rsidRDefault="1233A1B3" w14:paraId="72A3D3EC" w14:textId="79EB9389">
            <w:pPr>
              <w:rPr>
                <w:rFonts w:ascii="Tahoma" w:hAnsi="Tahoma" w:cs="Tahoma"/>
                <w:sz w:val="24"/>
                <w:szCs w:val="24"/>
              </w:rPr>
            </w:pPr>
            <w:r w:rsidRPr="1233A1B3">
              <w:rPr>
                <w:rFonts w:ascii="Tahoma" w:hAnsi="Tahoma" w:cs="Tahoma"/>
                <w:sz w:val="24"/>
                <w:szCs w:val="24"/>
              </w:rPr>
              <w:t>Students will begin to create their graphical products according to their own specification and development. Students will combine CAM techniques such as laser engraving and cutting with more traditional printing techniques like screen printing, block printing or embossing. This process will involve research and experimentation into a range of papers and boards as well some resistant materials such as wood or acrylic depending on their chosen product.</w:t>
            </w:r>
          </w:p>
        </w:tc>
      </w:tr>
      <w:tr w:rsidRPr="003F0DC6" w:rsidR="00BE423F" w:rsidTr="774D9AA4" w14:paraId="689DA24D" w14:textId="77777777">
        <w:tc>
          <w:tcPr>
            <w:tcW w:w="1950" w:type="dxa"/>
            <w:tcMar/>
          </w:tcPr>
          <w:p w:rsidRPr="00BE423F" w:rsidR="00BE423F" w:rsidP="35A2CE4E" w:rsidRDefault="35A2CE4E" w14:paraId="34A04E11" w14:textId="01FC499F">
            <w:pPr>
              <w:jc w:val="center"/>
              <w:rPr>
                <w:rFonts w:ascii="Tahoma" w:hAnsi="Tahoma" w:cs="Tahoma"/>
                <w:b/>
                <w:bCs/>
                <w:sz w:val="24"/>
                <w:szCs w:val="24"/>
              </w:rPr>
            </w:pPr>
            <w:r w:rsidRPr="35A2CE4E">
              <w:rPr>
                <w:rFonts w:ascii="Tahoma" w:hAnsi="Tahoma" w:cs="Tahoma"/>
                <w:b/>
                <w:bCs/>
                <w:sz w:val="24"/>
                <w:szCs w:val="24"/>
              </w:rPr>
              <w:t>DT - Materials</w:t>
            </w:r>
          </w:p>
        </w:tc>
        <w:tc>
          <w:tcPr>
            <w:tcW w:w="8506" w:type="dxa"/>
            <w:tcMar/>
          </w:tcPr>
          <w:p w:rsidRPr="00BE423F" w:rsidR="00BE423F" w:rsidP="42093C5E" w:rsidRDefault="42093C5E" w14:paraId="0D0B940D" w14:textId="55DCE30D">
            <w:pPr>
              <w:rPr>
                <w:rFonts w:ascii="Tahoma" w:hAnsi="Tahoma" w:cs="Tahoma"/>
                <w:sz w:val="24"/>
                <w:szCs w:val="24"/>
              </w:rPr>
            </w:pPr>
            <w:r w:rsidRPr="42093C5E">
              <w:rPr>
                <w:rFonts w:ascii="Tahoma" w:hAnsi="Tahoma" w:cs="Tahoma"/>
                <w:sz w:val="24"/>
                <w:szCs w:val="24"/>
              </w:rPr>
              <w:t>Final development and design realisation. Leading on from their development of ideas, students need to make their chosen idea. Ideally the manufacture will make use of traditional workshop skills and modern manufacturing (CAM) techniques. Their designs should allow them to show off their skills and so it is best to include materials from the three major groups of wood, metals and polymers.</w:t>
            </w:r>
          </w:p>
        </w:tc>
      </w:tr>
      <w:tr w:rsidRPr="003F0DC6" w:rsidR="00BE423F" w:rsidTr="774D9AA4" w14:paraId="50E5AB55" w14:textId="77777777">
        <w:tc>
          <w:tcPr>
            <w:tcW w:w="1950" w:type="dxa"/>
            <w:tcMar/>
          </w:tcPr>
          <w:p w:rsidRPr="00BE423F" w:rsidR="00BE423F" w:rsidP="00BE423F" w:rsidRDefault="00BE423F" w14:paraId="7374B32E" w14:textId="77777777">
            <w:pPr>
              <w:jc w:val="center"/>
              <w:rPr>
                <w:rFonts w:ascii="Tahoma" w:hAnsi="Tahoma" w:cs="Tahoma"/>
                <w:b/>
                <w:sz w:val="24"/>
                <w:szCs w:val="24"/>
              </w:rPr>
            </w:pPr>
            <w:r w:rsidRPr="00BE423F">
              <w:rPr>
                <w:rFonts w:ascii="Tahoma" w:hAnsi="Tahoma" w:cs="Tahoma"/>
                <w:b/>
                <w:sz w:val="24"/>
                <w:szCs w:val="24"/>
              </w:rPr>
              <w:lastRenderedPageBreak/>
              <w:t>Food</w:t>
            </w:r>
          </w:p>
        </w:tc>
        <w:tc>
          <w:tcPr>
            <w:tcW w:w="8506" w:type="dxa"/>
            <w:tcMar/>
          </w:tcPr>
          <w:p w:rsidRPr="00BE423F" w:rsidR="00BE423F" w:rsidP="2A5450BF" w:rsidRDefault="2A5450BF" w14:paraId="0E27B00A" w14:textId="3519EA23">
            <w:pPr>
              <w:rPr>
                <w:rFonts w:ascii="Tahoma" w:hAnsi="Tahoma" w:cs="Tahoma"/>
                <w:sz w:val="24"/>
                <w:szCs w:val="24"/>
              </w:rPr>
            </w:pPr>
            <w:r w:rsidRPr="2A5450BF">
              <w:rPr>
                <w:rFonts w:ascii="Tahoma" w:hAnsi="Tahoma" w:cs="Tahoma"/>
                <w:sz w:val="24"/>
                <w:szCs w:val="24"/>
              </w:rPr>
              <w:t xml:space="preserve">Students will finish off their first piece of coursework NEA 1. From the first of November onwards, students will start to focus on their second piece of coursework NEA 2.  Students will start to produce their research and analysis of the task as well as making four products that relate to their coursework task.       </w:t>
            </w:r>
          </w:p>
        </w:tc>
      </w:tr>
      <w:tr w:rsidRPr="003F0DC6" w:rsidR="00BE423F" w:rsidTr="774D9AA4" w14:paraId="2E0AF8F1" w14:textId="77777777">
        <w:tc>
          <w:tcPr>
            <w:tcW w:w="1950" w:type="dxa"/>
            <w:tcMar/>
          </w:tcPr>
          <w:p w:rsidRPr="00BE423F" w:rsidR="00BE423F" w:rsidP="00BE423F" w:rsidRDefault="00BE423F" w14:paraId="51712841" w14:textId="77777777">
            <w:pPr>
              <w:jc w:val="center"/>
              <w:rPr>
                <w:rFonts w:ascii="Tahoma" w:hAnsi="Tahoma" w:cs="Tahoma"/>
                <w:b/>
                <w:sz w:val="24"/>
                <w:szCs w:val="24"/>
              </w:rPr>
            </w:pPr>
            <w:r w:rsidRPr="00BE423F">
              <w:rPr>
                <w:rFonts w:ascii="Tahoma" w:hAnsi="Tahoma" w:cs="Tahoma"/>
                <w:b/>
                <w:sz w:val="24"/>
                <w:szCs w:val="24"/>
              </w:rPr>
              <w:t>French</w:t>
            </w:r>
          </w:p>
        </w:tc>
        <w:tc>
          <w:tcPr>
            <w:tcW w:w="8506" w:type="dxa"/>
            <w:tcMar/>
          </w:tcPr>
          <w:p w:rsidRPr="00BE423F" w:rsidR="00BE423F" w:rsidP="003F0DC6" w:rsidRDefault="7F97A785" w14:paraId="60061E4C" w14:textId="420485B5">
            <w:pPr>
              <w:rPr>
                <w:rFonts w:ascii="Tahoma" w:hAnsi="Tahoma" w:cs="Tahoma"/>
                <w:sz w:val="24"/>
                <w:szCs w:val="24"/>
              </w:rPr>
            </w:pPr>
            <w:r w:rsidRPr="7F97A785">
              <w:rPr>
                <w:rFonts w:ascii="Arial" w:hAnsi="Arial" w:eastAsia="Arial" w:cs="Arial"/>
                <w:sz w:val="24"/>
                <w:szCs w:val="24"/>
              </w:rPr>
              <w:t>Students continue to develop their skills of listening, speaking, reading and writing. They consolidate their work from the previous half-term and prepare for their mock examinations in all four skills.  They study topics related to school, careers and career aspirations, the world of work, healthy and unhealthy lifestyles. They add to their knowledge of French grammar, with an emphasis on secure formation of present, past and future tenses, as well as a range of additional tenses, where appropriate. They develop their use of justified opinions and extensive use of time frames and a range of tenses, to add structure to their speaking and writing outcomes.</w:t>
            </w:r>
          </w:p>
        </w:tc>
      </w:tr>
      <w:tr w:rsidRPr="003F0DC6" w:rsidR="00BE423F" w:rsidTr="774D9AA4" w14:paraId="5FBAC7B0" w14:textId="77777777">
        <w:tc>
          <w:tcPr>
            <w:tcW w:w="1950" w:type="dxa"/>
            <w:tcMar/>
          </w:tcPr>
          <w:p w:rsidRPr="00BE423F" w:rsidR="00BE423F" w:rsidP="00BE423F" w:rsidRDefault="00BE423F" w14:paraId="024ABCF0" w14:textId="77777777">
            <w:pPr>
              <w:jc w:val="center"/>
              <w:rPr>
                <w:rFonts w:ascii="Tahoma" w:hAnsi="Tahoma" w:cs="Tahoma"/>
                <w:b/>
                <w:sz w:val="24"/>
                <w:szCs w:val="24"/>
              </w:rPr>
            </w:pPr>
            <w:r w:rsidRPr="00BE423F">
              <w:rPr>
                <w:rFonts w:ascii="Tahoma" w:hAnsi="Tahoma" w:cs="Tahoma"/>
                <w:b/>
                <w:sz w:val="24"/>
                <w:szCs w:val="24"/>
              </w:rPr>
              <w:t>Perf Arts</w:t>
            </w:r>
          </w:p>
        </w:tc>
        <w:tc>
          <w:tcPr>
            <w:tcW w:w="8506" w:type="dxa"/>
            <w:tcMar/>
          </w:tcPr>
          <w:p w:rsidRPr="004423F2" w:rsidR="00BE423F" w:rsidP="004423F2" w:rsidRDefault="5B88D54E" w14:paraId="44EAFD9C" w14:textId="6F18E914">
            <w:pPr>
              <w:spacing w:line="257" w:lineRule="auto"/>
              <w:rPr>
                <w:rFonts w:ascii="Tahoma" w:hAnsi="Tahoma" w:eastAsia="Tahoma" w:cs="Tahoma"/>
                <w:sz w:val="24"/>
                <w:szCs w:val="24"/>
              </w:rPr>
            </w:pPr>
            <w:r w:rsidRPr="5B88D54E">
              <w:rPr>
                <w:rFonts w:ascii="Tahoma" w:hAnsi="Tahoma" w:eastAsia="Tahoma" w:cs="Tahoma"/>
                <w:sz w:val="24"/>
                <w:szCs w:val="24"/>
              </w:rPr>
              <w:t>During this term students are putting their final preparations together for their Unit 2 Performance/Production Exam.  This will be performed in front of a live audience and recorded for the exam board.  During this process students must evidence their process as professionals in the industry and track and monitor their progress by completing a logbook of their journey.  Students will develop their use of technical language and terminology in preparation to begin Unit 1: Unlocking Creativity.</w:t>
            </w:r>
          </w:p>
        </w:tc>
      </w:tr>
      <w:tr w:rsidRPr="003F0DC6" w:rsidR="00BE423F" w:rsidTr="774D9AA4" w14:paraId="56979F28" w14:textId="77777777">
        <w:tc>
          <w:tcPr>
            <w:tcW w:w="1950" w:type="dxa"/>
            <w:tcMar/>
          </w:tcPr>
          <w:p w:rsidRPr="00BE423F" w:rsidR="00BE423F" w:rsidP="00BE423F" w:rsidRDefault="00BE423F" w14:paraId="7D6A7D31" w14:textId="77777777">
            <w:pPr>
              <w:jc w:val="center"/>
              <w:rPr>
                <w:rFonts w:ascii="Tahoma" w:hAnsi="Tahoma" w:cs="Tahoma"/>
                <w:b/>
                <w:sz w:val="24"/>
                <w:szCs w:val="24"/>
              </w:rPr>
            </w:pPr>
            <w:r>
              <w:rPr>
                <w:rFonts w:ascii="Tahoma" w:hAnsi="Tahoma" w:cs="Tahoma"/>
                <w:b/>
                <w:sz w:val="24"/>
                <w:szCs w:val="24"/>
              </w:rPr>
              <w:t>Art</w:t>
            </w:r>
          </w:p>
        </w:tc>
        <w:tc>
          <w:tcPr>
            <w:tcW w:w="8506" w:type="dxa"/>
            <w:tcMar/>
          </w:tcPr>
          <w:p w:rsidRPr="00BE423F" w:rsidR="00BE423F" w:rsidP="6C7A2EA7" w:rsidRDefault="6C7A2EA7" w14:paraId="601DF3AA" w14:textId="3564A09E">
            <w:pPr>
              <w:spacing w:line="259" w:lineRule="auto"/>
              <w:rPr>
                <w:rFonts w:ascii="Tahoma" w:hAnsi="Tahoma" w:eastAsia="Tahoma" w:cs="Tahoma"/>
                <w:sz w:val="24"/>
                <w:szCs w:val="24"/>
              </w:rPr>
            </w:pPr>
            <w:r w:rsidRPr="6C7A2EA7">
              <w:rPr>
                <w:rFonts w:ascii="Tahoma" w:hAnsi="Tahoma" w:eastAsia="Tahoma" w:cs="Tahoma"/>
                <w:sz w:val="24"/>
                <w:szCs w:val="24"/>
              </w:rPr>
              <w:t xml:space="preserve">Component 2 – The Wonderful Everyday </w:t>
            </w:r>
          </w:p>
          <w:p w:rsidRPr="00BE423F" w:rsidR="00BE423F" w:rsidP="6C7A2EA7" w:rsidRDefault="6C7A2EA7" w14:paraId="142CD659" w14:textId="06BE81FA">
            <w:pPr>
              <w:spacing w:line="257" w:lineRule="auto"/>
              <w:rPr>
                <w:rFonts w:ascii="Tahoma" w:hAnsi="Tahoma" w:eastAsia="Tahoma" w:cs="Tahoma"/>
                <w:sz w:val="24"/>
                <w:szCs w:val="24"/>
              </w:rPr>
            </w:pPr>
            <w:r w:rsidRPr="6C7A2EA7">
              <w:rPr>
                <w:rFonts w:ascii="Tahoma" w:hAnsi="Tahoma" w:eastAsia="Tahoma" w:cs="Tahoma"/>
                <w:sz w:val="24"/>
                <w:szCs w:val="24"/>
              </w:rPr>
              <w:t xml:space="preserve">Students started this project at the beginning of the Summer Term of Year 10. </w:t>
            </w:r>
          </w:p>
          <w:p w:rsidRPr="00BE423F" w:rsidR="00BE423F" w:rsidP="6C7A2EA7" w:rsidRDefault="6C7A2EA7" w14:paraId="7933E092" w14:textId="1DAC0364">
            <w:pPr>
              <w:spacing w:line="257" w:lineRule="auto"/>
              <w:rPr>
                <w:rFonts w:ascii="Tahoma" w:hAnsi="Tahoma" w:eastAsia="Tahoma" w:cs="Tahoma"/>
                <w:sz w:val="24"/>
                <w:szCs w:val="24"/>
              </w:rPr>
            </w:pPr>
            <w:r w:rsidRPr="6C7A2EA7">
              <w:rPr>
                <w:rFonts w:ascii="Tahoma" w:hAnsi="Tahoma" w:eastAsia="Tahoma" w:cs="Tahoma"/>
                <w:sz w:val="24"/>
                <w:szCs w:val="24"/>
              </w:rPr>
              <w:t>The project is building upon the teacher-directed skills learnt within the Portraiture project thus giving students more flexibility to independently direct artist inspirations, subject and media choices. It is the intention of the project to find beauty in the everyday/mundane and to really explore composition and proportion.</w:t>
            </w:r>
          </w:p>
          <w:p w:rsidRPr="00BE423F" w:rsidR="00BE423F" w:rsidP="6C7A2EA7" w:rsidRDefault="6C7A2EA7" w14:paraId="15859C8E" w14:textId="68A5E650">
            <w:pPr>
              <w:spacing w:line="257" w:lineRule="auto"/>
              <w:rPr>
                <w:rFonts w:ascii="Tahoma" w:hAnsi="Tahoma" w:eastAsia="Tahoma" w:cs="Tahoma"/>
                <w:sz w:val="24"/>
                <w:szCs w:val="24"/>
              </w:rPr>
            </w:pPr>
            <w:r w:rsidRPr="6C7A2EA7">
              <w:rPr>
                <w:rFonts w:ascii="Tahoma" w:hAnsi="Tahoma" w:eastAsia="Tahoma" w:cs="Tahoma"/>
                <w:sz w:val="24"/>
                <w:szCs w:val="24"/>
              </w:rPr>
              <w:t>The main techniques and skills taught this half-term will be:</w:t>
            </w:r>
          </w:p>
          <w:p w:rsidRPr="00BE423F" w:rsidR="00BE423F" w:rsidP="6C7A2EA7" w:rsidRDefault="6C7A2EA7" w14:paraId="25DA0997" w14:textId="7D6F3502">
            <w:pPr>
              <w:pStyle w:val="ListParagraph"/>
              <w:numPr>
                <w:ilvl w:val="0"/>
                <w:numId w:val="2"/>
              </w:numPr>
              <w:spacing w:after="160" w:line="257" w:lineRule="auto"/>
              <w:rPr>
                <w:sz w:val="24"/>
                <w:szCs w:val="24"/>
              </w:rPr>
            </w:pPr>
            <w:r w:rsidRPr="6C7A2EA7">
              <w:rPr>
                <w:rFonts w:ascii="Tahoma" w:hAnsi="Tahoma" w:eastAsia="Tahoma" w:cs="Tahoma"/>
                <w:sz w:val="24"/>
                <w:szCs w:val="24"/>
              </w:rPr>
              <w:t xml:space="preserve">Large Compositional Planning  </w:t>
            </w:r>
          </w:p>
          <w:p w:rsidRPr="00BE423F" w:rsidR="00BE423F" w:rsidP="6C7A2EA7" w:rsidRDefault="6C7A2EA7" w14:paraId="19D5D9C4" w14:textId="7C9D6557">
            <w:pPr>
              <w:pStyle w:val="ListParagraph"/>
              <w:numPr>
                <w:ilvl w:val="0"/>
                <w:numId w:val="2"/>
              </w:numPr>
              <w:spacing w:after="160" w:line="257" w:lineRule="auto"/>
              <w:rPr>
                <w:sz w:val="24"/>
                <w:szCs w:val="24"/>
              </w:rPr>
            </w:pPr>
            <w:r w:rsidRPr="6C7A2EA7">
              <w:rPr>
                <w:rFonts w:ascii="Tahoma" w:hAnsi="Tahoma" w:eastAsia="Tahoma" w:cs="Tahoma"/>
                <w:sz w:val="24"/>
                <w:szCs w:val="24"/>
              </w:rPr>
              <w:t xml:space="preserve">Compositional analysis </w:t>
            </w:r>
          </w:p>
          <w:p w:rsidRPr="00BE423F" w:rsidR="00BE423F" w:rsidP="6C7A2EA7" w:rsidRDefault="6C7A2EA7" w14:paraId="665972A1" w14:textId="308EA401">
            <w:pPr>
              <w:pStyle w:val="ListParagraph"/>
              <w:numPr>
                <w:ilvl w:val="0"/>
                <w:numId w:val="2"/>
              </w:numPr>
              <w:spacing w:after="160" w:line="257" w:lineRule="auto"/>
              <w:rPr>
                <w:sz w:val="24"/>
                <w:szCs w:val="24"/>
              </w:rPr>
            </w:pPr>
            <w:r w:rsidRPr="6C7A2EA7">
              <w:rPr>
                <w:rFonts w:ascii="Tahoma" w:hAnsi="Tahoma" w:eastAsia="Tahoma" w:cs="Tahoma"/>
                <w:sz w:val="24"/>
                <w:szCs w:val="24"/>
              </w:rPr>
              <w:t>Mock exam preparation</w:t>
            </w:r>
          </w:p>
          <w:p w:rsidRPr="00BE423F" w:rsidR="00BE423F" w:rsidP="6C7A2EA7" w:rsidRDefault="6C7A2EA7" w14:paraId="4B94D5A5" w14:textId="7EACDE0F">
            <w:pPr>
              <w:pStyle w:val="ListParagraph"/>
              <w:numPr>
                <w:ilvl w:val="0"/>
                <w:numId w:val="2"/>
              </w:numPr>
              <w:spacing w:after="160" w:line="257" w:lineRule="auto"/>
              <w:rPr>
                <w:sz w:val="24"/>
                <w:szCs w:val="24"/>
              </w:rPr>
            </w:pPr>
            <w:r w:rsidRPr="6C7A2EA7">
              <w:rPr>
                <w:rFonts w:ascii="Tahoma" w:hAnsi="Tahoma" w:eastAsia="Tahoma" w:cs="Tahoma"/>
                <w:sz w:val="24"/>
                <w:szCs w:val="24"/>
              </w:rPr>
              <w:t>Evaluation</w:t>
            </w:r>
          </w:p>
        </w:tc>
      </w:tr>
      <w:tr w:rsidRPr="003F0DC6" w:rsidR="00BE423F" w:rsidTr="774D9AA4" w14:paraId="47564688" w14:textId="77777777">
        <w:tc>
          <w:tcPr>
            <w:tcW w:w="1950" w:type="dxa"/>
            <w:tcMar/>
          </w:tcPr>
          <w:p w:rsidRPr="00BE423F" w:rsidR="00BE423F" w:rsidP="00BE423F" w:rsidRDefault="00BE423F" w14:paraId="5EA524F5" w14:textId="77777777">
            <w:pPr>
              <w:jc w:val="center"/>
              <w:rPr>
                <w:rFonts w:ascii="Tahoma" w:hAnsi="Tahoma" w:cs="Tahoma"/>
                <w:b/>
                <w:sz w:val="24"/>
                <w:szCs w:val="24"/>
              </w:rPr>
            </w:pPr>
            <w:r w:rsidRPr="00BE423F">
              <w:rPr>
                <w:rFonts w:ascii="Tahoma" w:hAnsi="Tahoma" w:cs="Tahoma"/>
                <w:b/>
                <w:sz w:val="24"/>
                <w:szCs w:val="24"/>
              </w:rPr>
              <w:t>GCSE PE</w:t>
            </w:r>
          </w:p>
        </w:tc>
        <w:tc>
          <w:tcPr>
            <w:tcW w:w="8506" w:type="dxa"/>
            <w:tcMar/>
          </w:tcPr>
          <w:p w:rsidR="009E00E3" w:rsidP="009E00E3" w:rsidRDefault="009E00E3" w14:paraId="7A925AC5" w14:textId="60958E22">
            <w:pPr>
              <w:rPr>
                <w:rFonts w:ascii="Tahoma" w:hAnsi="Tahoma" w:cs="Tahoma"/>
                <w:sz w:val="24"/>
                <w:szCs w:val="24"/>
              </w:rPr>
            </w:pPr>
            <w:r w:rsidRPr="009E00E3">
              <w:rPr>
                <w:rFonts w:ascii="Tahoma" w:hAnsi="Tahoma" w:cs="Tahoma"/>
                <w:sz w:val="24"/>
                <w:szCs w:val="24"/>
              </w:rPr>
              <w:t xml:space="preserve">Practical - Learners are assessed in their ability to select and perform appropriate skills consistently, precisely and with control and fluency in conditioned, competitive environments, adapting their performance to suit a variety of situations. Starting with Badminton then they will go to table tennis and trampolining. </w:t>
            </w:r>
            <w:bookmarkStart w:name="_GoBack" w:id="0"/>
            <w:bookmarkEnd w:id="0"/>
          </w:p>
          <w:p w:rsidRPr="009E00E3" w:rsidR="009E00E3" w:rsidP="009E00E3" w:rsidRDefault="009E00E3" w14:paraId="3F9BB333" w14:textId="56C910B2">
            <w:pPr>
              <w:rPr>
                <w:rFonts w:ascii="Tahoma" w:hAnsi="Tahoma" w:cs="Tahoma"/>
                <w:sz w:val="24"/>
                <w:szCs w:val="24"/>
              </w:rPr>
            </w:pPr>
            <w:r w:rsidRPr="009E00E3">
              <w:rPr>
                <w:rFonts w:ascii="Tahoma" w:hAnsi="Tahoma" w:cs="Tahoma"/>
                <w:sz w:val="24"/>
                <w:szCs w:val="24"/>
              </w:rPr>
              <w:t>Course work – Analysing and Evaluating Performance (AEP)</w:t>
            </w:r>
          </w:p>
          <w:p w:rsidRPr="00BE423F" w:rsidR="00BE423F" w:rsidP="009E00E3" w:rsidRDefault="009E00E3" w14:paraId="3DEEC669" w14:textId="235132F1">
            <w:pPr>
              <w:rPr>
                <w:rFonts w:ascii="Tahoma" w:hAnsi="Tahoma" w:cs="Tahoma"/>
                <w:sz w:val="24"/>
                <w:szCs w:val="24"/>
              </w:rPr>
            </w:pPr>
            <w:r w:rsidRPr="009E00E3">
              <w:rPr>
                <w:rFonts w:ascii="Tahoma" w:hAnsi="Tahoma" w:cs="Tahoma"/>
                <w:sz w:val="24"/>
                <w:szCs w:val="24"/>
              </w:rPr>
              <w:t>In addition to three practical performances, learners are required to demonstrate their ability to analyse and evaluate their own performance in order to: • analyse aspects of personal performance in a practical activity • evaluate the strengths and weaknesses of the performance • produce an action plan which aims to improve the quality and effectiveness of the performance.</w:t>
            </w:r>
          </w:p>
        </w:tc>
      </w:tr>
      <w:tr w:rsidRPr="003F0DC6" w:rsidR="00BE423F" w:rsidTr="774D9AA4" w14:paraId="5B39AF8F" w14:textId="77777777">
        <w:tc>
          <w:tcPr>
            <w:tcW w:w="1950" w:type="dxa"/>
            <w:tcMar/>
          </w:tcPr>
          <w:p w:rsidRPr="00BE423F" w:rsidR="00BE423F" w:rsidP="00BE423F" w:rsidRDefault="00BE423F" w14:paraId="63E63E6A" w14:textId="77777777">
            <w:pPr>
              <w:jc w:val="center"/>
              <w:rPr>
                <w:rFonts w:ascii="Tahoma" w:hAnsi="Tahoma" w:cs="Tahoma"/>
                <w:b/>
                <w:sz w:val="24"/>
                <w:szCs w:val="24"/>
              </w:rPr>
            </w:pPr>
            <w:r w:rsidRPr="00BE423F">
              <w:rPr>
                <w:rFonts w:ascii="Tahoma" w:hAnsi="Tahoma" w:cs="Tahoma"/>
                <w:b/>
                <w:sz w:val="24"/>
                <w:szCs w:val="24"/>
              </w:rPr>
              <w:t>Cam Nat</w:t>
            </w:r>
          </w:p>
        </w:tc>
        <w:tc>
          <w:tcPr>
            <w:tcW w:w="8506" w:type="dxa"/>
            <w:tcMar/>
          </w:tcPr>
          <w:p w:rsidRPr="00BE423F" w:rsidR="00BE423F" w:rsidP="003F0DC6" w:rsidRDefault="009E00E3" w14:paraId="3656B9AB" w14:textId="1866A0C5">
            <w:pPr>
              <w:rPr>
                <w:rFonts w:ascii="Tahoma" w:hAnsi="Tahoma" w:cs="Tahoma"/>
                <w:sz w:val="24"/>
                <w:szCs w:val="24"/>
              </w:rPr>
            </w:pPr>
            <w:r w:rsidRPr="009E00E3">
              <w:rPr>
                <w:rFonts w:ascii="Tahoma" w:hAnsi="Tahoma" w:cs="Tahoma"/>
                <w:sz w:val="24"/>
                <w:szCs w:val="24"/>
              </w:rPr>
              <w:t xml:space="preserve">Cam Nat Students will spend this half term studying RO54 – Sport and the media. Learners will develop their knowledge and understanding of the relationship between sport and the media as well as their ability to evaluate and interpret the different ways in which sports items may be represented by the media. The skills developed would be relevant in a range of careers and </w:t>
            </w:r>
            <w:r w:rsidRPr="009E00E3">
              <w:rPr>
                <w:rFonts w:ascii="Tahoma" w:hAnsi="Tahoma" w:cs="Tahoma"/>
                <w:sz w:val="24"/>
                <w:szCs w:val="24"/>
              </w:rPr>
              <w:lastRenderedPageBreak/>
              <w:t>roles within the sports industry, such as sports reporting/broadcasting, sports analysis or research and Public Relations or media work within a sports organisation. RO51 - Contemporary issues in sport, students will explore a range of topical and contemporary issues in sport, relating to participation levels and barriers, the promotion of values and ethical behaviour through sport and the role of high-profile sporting events and national governing bodies in advancing sports’ attempts to positively impact upon society and showcase their worth beyond providing entertainment</w:t>
            </w:r>
          </w:p>
        </w:tc>
      </w:tr>
      <w:tr w:rsidRPr="003F0DC6" w:rsidR="00BE423F" w:rsidTr="774D9AA4" w14:paraId="0E0DB72C" w14:textId="77777777">
        <w:tc>
          <w:tcPr>
            <w:tcW w:w="1950" w:type="dxa"/>
            <w:tcMar/>
          </w:tcPr>
          <w:p w:rsidRPr="00BE423F" w:rsidR="00BE423F" w:rsidP="00BE423F" w:rsidRDefault="00BE423F" w14:paraId="3443EE04" w14:textId="77777777">
            <w:pPr>
              <w:jc w:val="center"/>
              <w:rPr>
                <w:rFonts w:ascii="Tahoma" w:hAnsi="Tahoma" w:cs="Tahoma"/>
                <w:b/>
                <w:sz w:val="24"/>
                <w:szCs w:val="24"/>
              </w:rPr>
            </w:pPr>
            <w:r w:rsidRPr="00BE423F">
              <w:rPr>
                <w:rFonts w:ascii="Tahoma" w:hAnsi="Tahoma" w:cs="Tahoma"/>
                <w:b/>
                <w:sz w:val="24"/>
                <w:szCs w:val="24"/>
              </w:rPr>
              <w:lastRenderedPageBreak/>
              <w:t>Enterprise</w:t>
            </w:r>
          </w:p>
        </w:tc>
        <w:tc>
          <w:tcPr>
            <w:tcW w:w="8506" w:type="dxa"/>
            <w:tcMar/>
          </w:tcPr>
          <w:p w:rsidRPr="00BE423F" w:rsidR="00BE423F" w:rsidP="7DFAEA16" w:rsidRDefault="7DFAEA16" w14:paraId="45FB0818" w14:textId="4040EDE1">
            <w:pPr>
              <w:rPr>
                <w:rFonts w:ascii="Tahoma" w:hAnsi="Tahoma" w:cs="Tahoma"/>
                <w:sz w:val="24"/>
                <w:szCs w:val="24"/>
              </w:rPr>
            </w:pPr>
            <w:r w:rsidRPr="7DFAEA16">
              <w:rPr>
                <w:rFonts w:ascii="Tahoma" w:hAnsi="Tahoma" w:eastAsia="Tahoma" w:cs="Tahoma"/>
                <w:sz w:val="24"/>
                <w:szCs w:val="24"/>
              </w:rPr>
              <w:t>Students will spend this half term studying Component 3 –Promotion and Finance for Enterprises which is the examination component of their Tech Award qualification in Enterprise. The skills learned from these projects teach new perspectives and understanding on the world of business and enhance the student’s enterprise capability. The unit builds upon knowledge of business start-up and financial skills focused on in previous years blending the theoretical knowledge covered with practical activities as part of a Key Stage 4 qualification. Homework that relates to the topics covered is set on Doddlelearn.co.uk online homework platform every two lessons.</w:t>
            </w:r>
          </w:p>
        </w:tc>
      </w:tr>
      <w:tr w:rsidRPr="003F0DC6" w:rsidR="00BE423F" w:rsidTr="774D9AA4" w14:paraId="070D4BD6" w14:textId="77777777">
        <w:tc>
          <w:tcPr>
            <w:tcW w:w="1950" w:type="dxa"/>
            <w:tcMar/>
          </w:tcPr>
          <w:p w:rsidRPr="00BE423F" w:rsidR="00BE423F" w:rsidP="00BE423F" w:rsidRDefault="00BE423F" w14:paraId="10E5F763" w14:textId="77777777">
            <w:pPr>
              <w:jc w:val="center"/>
              <w:rPr>
                <w:rFonts w:ascii="Tahoma" w:hAnsi="Tahoma" w:cs="Tahoma"/>
                <w:b/>
                <w:sz w:val="24"/>
                <w:szCs w:val="24"/>
              </w:rPr>
            </w:pPr>
            <w:r w:rsidRPr="00BE423F">
              <w:rPr>
                <w:rFonts w:ascii="Tahoma" w:hAnsi="Tahoma" w:cs="Tahoma"/>
                <w:b/>
                <w:sz w:val="24"/>
                <w:szCs w:val="24"/>
              </w:rPr>
              <w:t>Comp Sci</w:t>
            </w:r>
          </w:p>
        </w:tc>
        <w:tc>
          <w:tcPr>
            <w:tcW w:w="8506" w:type="dxa"/>
            <w:tcMar/>
          </w:tcPr>
          <w:p w:rsidRPr="00BE423F" w:rsidR="00BE423F" w:rsidP="7DFAEA16" w:rsidRDefault="7DFAEA16" w14:paraId="049F31CB" w14:textId="7B9DF1ED">
            <w:pPr>
              <w:rPr>
                <w:rFonts w:ascii="Tahoma" w:hAnsi="Tahoma" w:cs="Tahoma"/>
                <w:sz w:val="24"/>
                <w:szCs w:val="24"/>
              </w:rPr>
            </w:pPr>
            <w:r w:rsidRPr="7DFAEA16">
              <w:rPr>
                <w:rFonts w:ascii="Tahoma" w:hAnsi="Tahoma" w:eastAsia="Tahoma" w:cs="Tahoma"/>
                <w:sz w:val="24"/>
                <w:szCs w:val="24"/>
              </w:rPr>
              <w:t>Students will spend this half term studying Cyber Security which is a topic assessed by the final examination component of their GCSE Computer Science. The skills learned from these projects teach new perspectives and understanding on the world of IT and enhance the student’s digital capability. The unit builds upon knowledge of data security and computer architecture focused on in previous years blending the theoretical knowledge covered with practical activities as part of a Key Stage 4 qualification. Homework that relates to the topics covered is set on Doddlelearn.co.uk online homework platform and Office 365 every two lessons.</w:t>
            </w:r>
          </w:p>
        </w:tc>
      </w:tr>
      <w:tr w:rsidRPr="003F0DC6" w:rsidR="00BE423F" w:rsidTr="774D9AA4" w14:paraId="102A2BC5" w14:textId="77777777">
        <w:tc>
          <w:tcPr>
            <w:tcW w:w="1950" w:type="dxa"/>
            <w:tcMar/>
          </w:tcPr>
          <w:p w:rsidRPr="00BE423F" w:rsidR="00BE423F" w:rsidP="00BE423F" w:rsidRDefault="00BE423F" w14:paraId="6A5DD867" w14:textId="77777777">
            <w:pPr>
              <w:jc w:val="center"/>
              <w:rPr>
                <w:rFonts w:ascii="Tahoma" w:hAnsi="Tahoma" w:cs="Tahoma"/>
                <w:b/>
                <w:sz w:val="24"/>
                <w:szCs w:val="24"/>
              </w:rPr>
            </w:pPr>
            <w:r w:rsidRPr="00BE423F">
              <w:rPr>
                <w:rFonts w:ascii="Tahoma" w:hAnsi="Tahoma" w:cs="Tahoma"/>
                <w:b/>
                <w:sz w:val="24"/>
                <w:szCs w:val="24"/>
              </w:rPr>
              <w:t>DIT</w:t>
            </w:r>
          </w:p>
        </w:tc>
        <w:tc>
          <w:tcPr>
            <w:tcW w:w="8506" w:type="dxa"/>
            <w:tcMar/>
          </w:tcPr>
          <w:p w:rsidRPr="00BE423F" w:rsidR="00BE423F" w:rsidP="7DFAEA16" w:rsidRDefault="7DFAEA16" w14:paraId="53128261" w14:textId="0020F3B5">
            <w:pPr>
              <w:rPr>
                <w:rFonts w:ascii="Tahoma" w:hAnsi="Tahoma" w:cs="Tahoma"/>
                <w:sz w:val="24"/>
                <w:szCs w:val="24"/>
              </w:rPr>
            </w:pPr>
            <w:r w:rsidRPr="7DFAEA16">
              <w:rPr>
                <w:rFonts w:ascii="Tahoma" w:hAnsi="Tahoma" w:eastAsia="Tahoma" w:cs="Tahoma"/>
                <w:sz w:val="24"/>
                <w:szCs w:val="24"/>
              </w:rPr>
              <w:t>Students will spend this half term studying Component 3 – Effective Digital Working Practices which is the examination component of their Tech Award qualification in Digital Information Technology. The skills learned from these projects teach new perspectives and understanding on the world of technology and enhance the student’s digital capability. The unit supplements the more traditional Office and ICT skills focused on in previous years blending the theoretical knowledge covered with practical activities as part of a Key Stage 4 qualification. Homework that relates to the topics covered is set on Doddlelearn.co.uk online homework platform every two lessons.</w:t>
            </w:r>
          </w:p>
        </w:tc>
      </w:tr>
    </w:tbl>
    <w:p w:rsidRPr="003F0DC6" w:rsidR="003F0DC6" w:rsidRDefault="003F0DC6" w14:paraId="62486C05" w14:textId="77777777">
      <w:pPr>
        <w:rPr>
          <w:rFonts w:ascii="Tahoma" w:hAnsi="Tahoma" w:cs="Tahoma"/>
        </w:rPr>
      </w:pPr>
    </w:p>
    <w:sectPr w:rsidRPr="003F0DC6" w:rsidR="003F0DC6" w:rsidSect="00BE423F">
      <w:pgSz w:w="11906" w:h="16838" w:orient="portrait"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5527A"/>
    <w:multiLevelType w:val="hybridMultilevel"/>
    <w:tmpl w:val="9D86CC2A"/>
    <w:lvl w:ilvl="0" w:tplc="DE5058E0">
      <w:start w:val="1"/>
      <w:numFmt w:val="bullet"/>
      <w:lvlText w:val=""/>
      <w:lvlJc w:val="left"/>
      <w:pPr>
        <w:ind w:left="720" w:hanging="360"/>
      </w:pPr>
      <w:rPr>
        <w:rFonts w:hint="default" w:ascii="Symbol" w:hAnsi="Symbol"/>
      </w:rPr>
    </w:lvl>
    <w:lvl w:ilvl="1" w:tplc="2458A9EE">
      <w:start w:val="1"/>
      <w:numFmt w:val="bullet"/>
      <w:lvlText w:val="o"/>
      <w:lvlJc w:val="left"/>
      <w:pPr>
        <w:ind w:left="1440" w:hanging="360"/>
      </w:pPr>
      <w:rPr>
        <w:rFonts w:hint="default" w:ascii="Courier New" w:hAnsi="Courier New"/>
      </w:rPr>
    </w:lvl>
    <w:lvl w:ilvl="2" w:tplc="A2700E96">
      <w:start w:val="1"/>
      <w:numFmt w:val="bullet"/>
      <w:lvlText w:val=""/>
      <w:lvlJc w:val="left"/>
      <w:pPr>
        <w:ind w:left="2160" w:hanging="360"/>
      </w:pPr>
      <w:rPr>
        <w:rFonts w:hint="default" w:ascii="Wingdings" w:hAnsi="Wingdings"/>
      </w:rPr>
    </w:lvl>
    <w:lvl w:ilvl="3" w:tplc="EE806B50">
      <w:start w:val="1"/>
      <w:numFmt w:val="bullet"/>
      <w:lvlText w:val=""/>
      <w:lvlJc w:val="left"/>
      <w:pPr>
        <w:ind w:left="2880" w:hanging="360"/>
      </w:pPr>
      <w:rPr>
        <w:rFonts w:hint="default" w:ascii="Symbol" w:hAnsi="Symbol"/>
      </w:rPr>
    </w:lvl>
    <w:lvl w:ilvl="4" w:tplc="367C80F0">
      <w:start w:val="1"/>
      <w:numFmt w:val="bullet"/>
      <w:lvlText w:val="o"/>
      <w:lvlJc w:val="left"/>
      <w:pPr>
        <w:ind w:left="3600" w:hanging="360"/>
      </w:pPr>
      <w:rPr>
        <w:rFonts w:hint="default" w:ascii="Courier New" w:hAnsi="Courier New"/>
      </w:rPr>
    </w:lvl>
    <w:lvl w:ilvl="5" w:tplc="F448EFD2">
      <w:start w:val="1"/>
      <w:numFmt w:val="bullet"/>
      <w:lvlText w:val=""/>
      <w:lvlJc w:val="left"/>
      <w:pPr>
        <w:ind w:left="4320" w:hanging="360"/>
      </w:pPr>
      <w:rPr>
        <w:rFonts w:hint="default" w:ascii="Wingdings" w:hAnsi="Wingdings"/>
      </w:rPr>
    </w:lvl>
    <w:lvl w:ilvl="6" w:tplc="F7CCF616">
      <w:start w:val="1"/>
      <w:numFmt w:val="bullet"/>
      <w:lvlText w:val=""/>
      <w:lvlJc w:val="left"/>
      <w:pPr>
        <w:ind w:left="5040" w:hanging="360"/>
      </w:pPr>
      <w:rPr>
        <w:rFonts w:hint="default" w:ascii="Symbol" w:hAnsi="Symbol"/>
      </w:rPr>
    </w:lvl>
    <w:lvl w:ilvl="7" w:tplc="4730931C">
      <w:start w:val="1"/>
      <w:numFmt w:val="bullet"/>
      <w:lvlText w:val="o"/>
      <w:lvlJc w:val="left"/>
      <w:pPr>
        <w:ind w:left="5760" w:hanging="360"/>
      </w:pPr>
      <w:rPr>
        <w:rFonts w:hint="default" w:ascii="Courier New" w:hAnsi="Courier New"/>
      </w:rPr>
    </w:lvl>
    <w:lvl w:ilvl="8" w:tplc="057A6B74">
      <w:start w:val="1"/>
      <w:numFmt w:val="bullet"/>
      <w:lvlText w:val=""/>
      <w:lvlJc w:val="left"/>
      <w:pPr>
        <w:ind w:left="6480" w:hanging="360"/>
      </w:pPr>
      <w:rPr>
        <w:rFonts w:hint="default" w:ascii="Wingdings" w:hAnsi="Wingdings"/>
      </w:rPr>
    </w:lvl>
  </w:abstractNum>
  <w:abstractNum w:abstractNumId="1" w15:restartNumberingAfterBreak="0">
    <w:nsid w:val="70537F73"/>
    <w:multiLevelType w:val="hybridMultilevel"/>
    <w:tmpl w:val="69986336"/>
    <w:lvl w:ilvl="0" w:tplc="80689128">
      <w:start w:val="1"/>
      <w:numFmt w:val="bullet"/>
      <w:lvlText w:val=""/>
      <w:lvlJc w:val="left"/>
      <w:pPr>
        <w:ind w:left="720" w:hanging="360"/>
      </w:pPr>
      <w:rPr>
        <w:rFonts w:hint="default" w:ascii="Symbol" w:hAnsi="Symbol"/>
      </w:rPr>
    </w:lvl>
    <w:lvl w:ilvl="1" w:tplc="20F2301E">
      <w:start w:val="1"/>
      <w:numFmt w:val="bullet"/>
      <w:lvlText w:val="o"/>
      <w:lvlJc w:val="left"/>
      <w:pPr>
        <w:ind w:left="1440" w:hanging="360"/>
      </w:pPr>
      <w:rPr>
        <w:rFonts w:hint="default" w:ascii="Courier New" w:hAnsi="Courier New"/>
      </w:rPr>
    </w:lvl>
    <w:lvl w:ilvl="2" w:tplc="606C79E8">
      <w:start w:val="1"/>
      <w:numFmt w:val="bullet"/>
      <w:lvlText w:val=""/>
      <w:lvlJc w:val="left"/>
      <w:pPr>
        <w:ind w:left="2160" w:hanging="360"/>
      </w:pPr>
      <w:rPr>
        <w:rFonts w:hint="default" w:ascii="Wingdings" w:hAnsi="Wingdings"/>
      </w:rPr>
    </w:lvl>
    <w:lvl w:ilvl="3" w:tplc="599E8540">
      <w:start w:val="1"/>
      <w:numFmt w:val="bullet"/>
      <w:lvlText w:val=""/>
      <w:lvlJc w:val="left"/>
      <w:pPr>
        <w:ind w:left="2880" w:hanging="360"/>
      </w:pPr>
      <w:rPr>
        <w:rFonts w:hint="default" w:ascii="Symbol" w:hAnsi="Symbol"/>
      </w:rPr>
    </w:lvl>
    <w:lvl w:ilvl="4" w:tplc="8BD264CC">
      <w:start w:val="1"/>
      <w:numFmt w:val="bullet"/>
      <w:lvlText w:val="o"/>
      <w:lvlJc w:val="left"/>
      <w:pPr>
        <w:ind w:left="3600" w:hanging="360"/>
      </w:pPr>
      <w:rPr>
        <w:rFonts w:hint="default" w:ascii="Courier New" w:hAnsi="Courier New"/>
      </w:rPr>
    </w:lvl>
    <w:lvl w:ilvl="5" w:tplc="70386E0E">
      <w:start w:val="1"/>
      <w:numFmt w:val="bullet"/>
      <w:lvlText w:val=""/>
      <w:lvlJc w:val="left"/>
      <w:pPr>
        <w:ind w:left="4320" w:hanging="360"/>
      </w:pPr>
      <w:rPr>
        <w:rFonts w:hint="default" w:ascii="Wingdings" w:hAnsi="Wingdings"/>
      </w:rPr>
    </w:lvl>
    <w:lvl w:ilvl="6" w:tplc="A99C7028">
      <w:start w:val="1"/>
      <w:numFmt w:val="bullet"/>
      <w:lvlText w:val=""/>
      <w:lvlJc w:val="left"/>
      <w:pPr>
        <w:ind w:left="5040" w:hanging="360"/>
      </w:pPr>
      <w:rPr>
        <w:rFonts w:hint="default" w:ascii="Symbol" w:hAnsi="Symbol"/>
      </w:rPr>
    </w:lvl>
    <w:lvl w:ilvl="7" w:tplc="2BAA910A">
      <w:start w:val="1"/>
      <w:numFmt w:val="bullet"/>
      <w:lvlText w:val="o"/>
      <w:lvlJc w:val="left"/>
      <w:pPr>
        <w:ind w:left="5760" w:hanging="360"/>
      </w:pPr>
      <w:rPr>
        <w:rFonts w:hint="default" w:ascii="Courier New" w:hAnsi="Courier New"/>
      </w:rPr>
    </w:lvl>
    <w:lvl w:ilvl="8" w:tplc="AF6C3072">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C6"/>
    <w:rsid w:val="003559D6"/>
    <w:rsid w:val="003F0DC6"/>
    <w:rsid w:val="004423F2"/>
    <w:rsid w:val="008A74F0"/>
    <w:rsid w:val="00946F2C"/>
    <w:rsid w:val="009D1C49"/>
    <w:rsid w:val="009E00E3"/>
    <w:rsid w:val="00A46445"/>
    <w:rsid w:val="00AF357D"/>
    <w:rsid w:val="00B11226"/>
    <w:rsid w:val="00BE423F"/>
    <w:rsid w:val="00F7564C"/>
    <w:rsid w:val="065ABB8D"/>
    <w:rsid w:val="1233A1B3"/>
    <w:rsid w:val="2080DA2E"/>
    <w:rsid w:val="2A5450BF"/>
    <w:rsid w:val="35A2CE4E"/>
    <w:rsid w:val="42093C5E"/>
    <w:rsid w:val="4BBFC261"/>
    <w:rsid w:val="5B88D54E"/>
    <w:rsid w:val="6C7A2EA7"/>
    <w:rsid w:val="76F3C2E8"/>
    <w:rsid w:val="774D9AA4"/>
    <w:rsid w:val="7848ABFF"/>
    <w:rsid w:val="7DFAEA16"/>
    <w:rsid w:val="7F97A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DE53C"/>
  <w15:chartTrackingRefBased/>
  <w15:docId w15:val="{59E74D2A-C52B-4C8A-A972-885EF4C8B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3F0DC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9FF985E831F14AB564F09E3FFDF8D0" ma:contentTypeVersion="6" ma:contentTypeDescription="Create a new document." ma:contentTypeScope="" ma:versionID="bdbf1175156e3100634b2d6da9d3e811">
  <xsd:schema xmlns:xsd="http://www.w3.org/2001/XMLSchema" xmlns:xs="http://www.w3.org/2001/XMLSchema" xmlns:p="http://schemas.microsoft.com/office/2006/metadata/properties" xmlns:ns2="ec36fff7-63ed-43ef-9e4f-2d37d750b7db" targetNamespace="http://schemas.microsoft.com/office/2006/metadata/properties" ma:root="true" ma:fieldsID="bc491750bc007a655445fe9b9b2c2984" ns2:_="">
    <xsd:import namespace="ec36fff7-63ed-43ef-9e4f-2d37d750b7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6fff7-63ed-43ef-9e4f-2d37d750b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E99ED6-4A62-40ED-AA6E-3E5518240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6fff7-63ed-43ef-9e4f-2d37d750b7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98DAD7-ED6E-4417-99B1-41765CD62BE6}">
  <ds:schemaRefs>
    <ds:schemaRef ds:uri="http://schemas.microsoft.com/sharepoint/v3/contenttype/forms"/>
  </ds:schemaRefs>
</ds:datastoreItem>
</file>

<file path=customXml/itemProps3.xml><?xml version="1.0" encoding="utf-8"?>
<ds:datastoreItem xmlns:ds="http://schemas.openxmlformats.org/officeDocument/2006/customXml" ds:itemID="{AD068B67-5C96-4630-BDE2-6A6C8C6585E4}">
  <ds:schemaRefs>
    <ds:schemaRef ds:uri="http://schemas.microsoft.com/office/2006/documentManagement/types"/>
    <ds:schemaRef ds:uri="http://purl.org/dc/terms/"/>
    <ds:schemaRef ds:uri="http://schemas.openxmlformats.org/package/2006/metadata/core-properties"/>
    <ds:schemaRef ds:uri="http://purl.org/dc/dcmitype/"/>
    <ds:schemaRef ds:uri="ec36fff7-63ed-43ef-9e4f-2d37d750b7db"/>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WALL, Paula</dc:creator>
  <keywords/>
  <dc:description/>
  <lastModifiedBy>SCHULTZ, Julia</lastModifiedBy>
  <revision>20</revision>
  <dcterms:created xsi:type="dcterms:W3CDTF">2019-07-03T19:51:00.0000000Z</dcterms:created>
  <dcterms:modified xsi:type="dcterms:W3CDTF">2019-10-30T16:46:17.9735010Z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0x0101005D9FF985E831F14AB564F09E3FFDF8D0</vt:lpwstr>
  </property>
  <property fmtid="{D5CDD505-2E9C-101B-9397-08002B2CF9AE}" pid="3" name="Order">
    <vt:r8>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