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553A4" w14:textId="0C16168B" w:rsidR="009D1C49" w:rsidRPr="003F0DC6" w:rsidRDefault="1BF28CEA" w:rsidP="1BF28CEA">
      <w:pPr>
        <w:rPr>
          <w:rFonts w:ascii="Tahoma" w:hAnsi="Tahoma" w:cs="Tahoma"/>
          <w:b/>
          <w:bCs/>
        </w:rPr>
      </w:pPr>
      <w:r w:rsidRPr="1BF28CEA">
        <w:rPr>
          <w:rFonts w:ascii="Tahoma" w:hAnsi="Tahoma" w:cs="Tahoma"/>
          <w:b/>
          <w:bCs/>
        </w:rPr>
        <w:t xml:space="preserve">Year 8 Curriculum Map – </w:t>
      </w:r>
      <w:r w:rsidRPr="1BF28CEA">
        <w:rPr>
          <w:rFonts w:ascii="Tahoma" w:eastAsia="Tahoma" w:hAnsi="Tahoma" w:cs="Tahoma"/>
          <w:b/>
          <w:bCs/>
        </w:rPr>
        <w:t>Oct to Dec half term</w:t>
      </w:r>
      <w:r w:rsidRPr="1BF28CEA">
        <w:rPr>
          <w:rFonts w:ascii="Tahoma" w:hAnsi="Tahoma" w:cs="Tahoma"/>
          <w:b/>
          <w:bCs/>
        </w:rPr>
        <w:t xml:space="preserve"> </w:t>
      </w:r>
    </w:p>
    <w:tbl>
      <w:tblPr>
        <w:tblStyle w:val="TableGrid"/>
        <w:tblW w:w="0" w:type="auto"/>
        <w:tblLook w:val="04A0" w:firstRow="1" w:lastRow="0" w:firstColumn="1" w:lastColumn="0" w:noHBand="0" w:noVBand="1"/>
      </w:tblPr>
      <w:tblGrid>
        <w:gridCol w:w="1270"/>
        <w:gridCol w:w="9008"/>
      </w:tblGrid>
      <w:tr w:rsidR="00413497" w:rsidRPr="003F0DC6" w14:paraId="4640BA28" w14:textId="77777777" w:rsidTr="10AF8AB5">
        <w:tc>
          <w:tcPr>
            <w:tcW w:w="1052" w:type="dxa"/>
          </w:tcPr>
          <w:p w14:paraId="5A9A5BC5" w14:textId="77777777" w:rsidR="00413497" w:rsidRPr="00413497" w:rsidRDefault="00413497" w:rsidP="00413497">
            <w:pPr>
              <w:jc w:val="center"/>
              <w:rPr>
                <w:rFonts w:ascii="Tahoma" w:hAnsi="Tahoma" w:cs="Tahoma"/>
                <w:b/>
                <w:sz w:val="24"/>
                <w:szCs w:val="24"/>
              </w:rPr>
            </w:pPr>
            <w:r w:rsidRPr="00413497">
              <w:rPr>
                <w:rFonts w:ascii="Tahoma" w:hAnsi="Tahoma" w:cs="Tahoma"/>
                <w:b/>
                <w:sz w:val="24"/>
                <w:szCs w:val="24"/>
              </w:rPr>
              <w:t>Maths</w:t>
            </w:r>
          </w:p>
        </w:tc>
        <w:tc>
          <w:tcPr>
            <w:tcW w:w="9008" w:type="dxa"/>
          </w:tcPr>
          <w:p w14:paraId="6C3B8F3B" w14:textId="5C3AAB52" w:rsidR="10AF8AB5" w:rsidRDefault="10AF8AB5" w:rsidP="10AF8AB5">
            <w:pPr>
              <w:rPr>
                <w:rFonts w:ascii="Tahoma" w:hAnsi="Tahoma" w:cs="Tahoma"/>
                <w:sz w:val="24"/>
                <w:szCs w:val="24"/>
              </w:rPr>
            </w:pPr>
            <w:r w:rsidRPr="10AF8AB5">
              <w:rPr>
                <w:rFonts w:ascii="Tahoma" w:hAnsi="Tahoma" w:cs="Tahoma"/>
                <w:sz w:val="24"/>
                <w:szCs w:val="24"/>
              </w:rPr>
              <w:t>The majority of students follow a programme of study which gives them the basic skillset required to start the GCSE course by the start of year 9. The upper sets follow a programme which stretches them at a higher level appropriate to their higher starting points and prepares them better to access the grade 7+ content at the top end of GCSE: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4400"/>
              <w:gridCol w:w="4382"/>
            </w:tblGrid>
            <w:tr w:rsidR="00560C81" w14:paraId="44814EB1" w14:textId="77777777" w:rsidTr="10AF8AB5">
              <w:tc>
                <w:tcPr>
                  <w:tcW w:w="4400" w:type="dxa"/>
                </w:tcPr>
                <w:p w14:paraId="51480367" w14:textId="0AA0B95B" w:rsidR="004D3DBD" w:rsidRPr="00506591" w:rsidRDefault="00506591" w:rsidP="004D3DBD">
                  <w:pPr>
                    <w:rPr>
                      <w:b/>
                      <w:bCs/>
                      <w:sz w:val="24"/>
                      <w:szCs w:val="24"/>
                      <w:u w:val="single"/>
                    </w:rPr>
                  </w:pPr>
                  <w:r w:rsidRPr="00506591">
                    <w:rPr>
                      <w:b/>
                      <w:bCs/>
                      <w:sz w:val="24"/>
                      <w:szCs w:val="24"/>
                      <w:u w:val="single"/>
                    </w:rPr>
                    <w:t>Foundation – Algebra (Unit 2F)</w:t>
                  </w:r>
                </w:p>
                <w:p w14:paraId="723AAE1A" w14:textId="1BE8E939" w:rsidR="00560C81" w:rsidRDefault="00560C81" w:rsidP="00560C81">
                  <w:pPr>
                    <w:pStyle w:val="ListParagraph"/>
                    <w:numPr>
                      <w:ilvl w:val="0"/>
                      <w:numId w:val="1"/>
                    </w:numPr>
                    <w:ind w:left="343" w:hanging="283"/>
                    <w:rPr>
                      <w:sz w:val="24"/>
                      <w:szCs w:val="24"/>
                    </w:rPr>
                  </w:pPr>
                  <w:r w:rsidRPr="39C30A8E">
                    <w:rPr>
                      <w:rFonts w:ascii="Tahoma" w:eastAsia="Tahoma" w:hAnsi="Tahoma" w:cs="Tahoma"/>
                      <w:sz w:val="24"/>
                      <w:szCs w:val="24"/>
                    </w:rPr>
                    <w:t>Midpoint of a line on a graph</w:t>
                  </w:r>
                </w:p>
                <w:p w14:paraId="6083BFAB" w14:textId="07141A69" w:rsidR="00560C81" w:rsidRDefault="00560C81" w:rsidP="00560C81">
                  <w:pPr>
                    <w:pStyle w:val="ListParagraph"/>
                    <w:numPr>
                      <w:ilvl w:val="0"/>
                      <w:numId w:val="1"/>
                    </w:numPr>
                    <w:ind w:left="343" w:hanging="283"/>
                    <w:rPr>
                      <w:sz w:val="24"/>
                      <w:szCs w:val="24"/>
                    </w:rPr>
                  </w:pPr>
                  <w:r w:rsidRPr="39C30A8E">
                    <w:rPr>
                      <w:rFonts w:ascii="Tahoma" w:eastAsia="Tahoma" w:hAnsi="Tahoma" w:cs="Tahoma"/>
                      <w:sz w:val="24"/>
                      <w:szCs w:val="24"/>
                    </w:rPr>
                    <w:t>Expanding and Simplifying Brackets</w:t>
                  </w:r>
                </w:p>
                <w:p w14:paraId="7344A55E" w14:textId="7BC2D0D4" w:rsidR="00560C81" w:rsidRDefault="00560C81" w:rsidP="00560C81">
                  <w:pPr>
                    <w:pStyle w:val="ListParagraph"/>
                    <w:numPr>
                      <w:ilvl w:val="0"/>
                      <w:numId w:val="1"/>
                    </w:numPr>
                    <w:ind w:left="343" w:hanging="283"/>
                    <w:rPr>
                      <w:sz w:val="24"/>
                      <w:szCs w:val="24"/>
                    </w:rPr>
                  </w:pPr>
                  <w:r w:rsidRPr="39C30A8E">
                    <w:rPr>
                      <w:rFonts w:ascii="Tahoma" w:eastAsia="Tahoma" w:hAnsi="Tahoma" w:cs="Tahoma"/>
                      <w:sz w:val="24"/>
                      <w:szCs w:val="24"/>
                    </w:rPr>
                    <w:t>Solving Equations</w:t>
                  </w:r>
                </w:p>
                <w:p w14:paraId="25F71ADD" w14:textId="4B86DECF" w:rsidR="00560C81" w:rsidRDefault="00560C81" w:rsidP="00560C81">
                  <w:pPr>
                    <w:pStyle w:val="ListParagraph"/>
                    <w:numPr>
                      <w:ilvl w:val="0"/>
                      <w:numId w:val="1"/>
                    </w:numPr>
                    <w:ind w:left="343" w:hanging="283"/>
                    <w:rPr>
                      <w:sz w:val="24"/>
                      <w:szCs w:val="24"/>
                    </w:rPr>
                  </w:pPr>
                  <w:r w:rsidRPr="39C30A8E">
                    <w:rPr>
                      <w:rFonts w:ascii="Tahoma" w:eastAsia="Tahoma" w:hAnsi="Tahoma" w:cs="Tahoma"/>
                      <w:sz w:val="24"/>
                      <w:szCs w:val="24"/>
                    </w:rPr>
                    <w:t>Rearranging Simple Formula</w:t>
                  </w:r>
                </w:p>
                <w:p w14:paraId="102C2C8E" w14:textId="73675E6E" w:rsidR="00560C81" w:rsidRDefault="00560C81" w:rsidP="00560C81">
                  <w:pPr>
                    <w:pStyle w:val="ListParagraph"/>
                    <w:numPr>
                      <w:ilvl w:val="0"/>
                      <w:numId w:val="1"/>
                    </w:numPr>
                    <w:ind w:left="343" w:hanging="283"/>
                    <w:rPr>
                      <w:sz w:val="24"/>
                      <w:szCs w:val="24"/>
                    </w:rPr>
                  </w:pPr>
                  <w:r w:rsidRPr="39C30A8E">
                    <w:rPr>
                      <w:rFonts w:ascii="Tahoma" w:eastAsia="Tahoma" w:hAnsi="Tahoma" w:cs="Tahoma"/>
                      <w:sz w:val="24"/>
                      <w:szCs w:val="24"/>
                    </w:rPr>
                    <w:t>Forming Formula and Equations</w:t>
                  </w:r>
                </w:p>
                <w:p w14:paraId="59DA3EEF" w14:textId="022C8C07" w:rsidR="00560C81" w:rsidRDefault="00560C81" w:rsidP="00560C81">
                  <w:pPr>
                    <w:pStyle w:val="ListParagraph"/>
                    <w:numPr>
                      <w:ilvl w:val="0"/>
                      <w:numId w:val="1"/>
                    </w:numPr>
                    <w:ind w:left="343" w:hanging="283"/>
                    <w:rPr>
                      <w:sz w:val="24"/>
                      <w:szCs w:val="24"/>
                    </w:rPr>
                  </w:pPr>
                  <w:r w:rsidRPr="39C30A8E">
                    <w:rPr>
                      <w:rFonts w:ascii="Tahoma" w:eastAsia="Tahoma" w:hAnsi="Tahoma" w:cs="Tahoma"/>
                      <w:sz w:val="24"/>
                      <w:szCs w:val="24"/>
                    </w:rPr>
                    <w:t>Inequalities on a Number Line</w:t>
                  </w:r>
                </w:p>
                <w:p w14:paraId="03B01C8F" w14:textId="131CB33C" w:rsidR="00560C81" w:rsidRDefault="00560C81" w:rsidP="00560C81">
                  <w:pPr>
                    <w:pStyle w:val="ListParagraph"/>
                    <w:numPr>
                      <w:ilvl w:val="0"/>
                      <w:numId w:val="1"/>
                    </w:numPr>
                    <w:ind w:left="343" w:hanging="283"/>
                    <w:rPr>
                      <w:sz w:val="24"/>
                      <w:szCs w:val="24"/>
                    </w:rPr>
                  </w:pPr>
                  <w:r w:rsidRPr="39C30A8E">
                    <w:rPr>
                      <w:rFonts w:ascii="Tahoma" w:eastAsia="Tahoma" w:hAnsi="Tahoma" w:cs="Tahoma"/>
                      <w:sz w:val="24"/>
                      <w:szCs w:val="24"/>
                    </w:rPr>
                    <w:t>Solving Linear Inequalities</w:t>
                  </w:r>
                </w:p>
              </w:tc>
              <w:tc>
                <w:tcPr>
                  <w:tcW w:w="4382" w:type="dxa"/>
                </w:tcPr>
                <w:p w14:paraId="20E8BA9E" w14:textId="6ECF5C7C" w:rsidR="00506591" w:rsidRPr="00506591" w:rsidRDefault="00506591" w:rsidP="00506591">
                  <w:pPr>
                    <w:rPr>
                      <w:b/>
                      <w:bCs/>
                      <w:sz w:val="24"/>
                      <w:szCs w:val="24"/>
                      <w:u w:val="single"/>
                    </w:rPr>
                  </w:pPr>
                  <w:r>
                    <w:rPr>
                      <w:b/>
                      <w:bCs/>
                      <w:sz w:val="24"/>
                      <w:szCs w:val="24"/>
                      <w:u w:val="single"/>
                    </w:rPr>
                    <w:t>Higher</w:t>
                  </w:r>
                  <w:r w:rsidRPr="00506591">
                    <w:rPr>
                      <w:b/>
                      <w:bCs/>
                      <w:sz w:val="24"/>
                      <w:szCs w:val="24"/>
                      <w:u w:val="single"/>
                    </w:rPr>
                    <w:t xml:space="preserve"> – </w:t>
                  </w:r>
                  <w:r>
                    <w:rPr>
                      <w:b/>
                      <w:bCs/>
                      <w:sz w:val="24"/>
                      <w:szCs w:val="24"/>
                      <w:u w:val="single"/>
                    </w:rPr>
                    <w:t>Geometry</w:t>
                  </w:r>
                  <w:r w:rsidRPr="00506591">
                    <w:rPr>
                      <w:b/>
                      <w:bCs/>
                      <w:sz w:val="24"/>
                      <w:szCs w:val="24"/>
                      <w:u w:val="single"/>
                    </w:rPr>
                    <w:t xml:space="preserve"> (Unit </w:t>
                  </w:r>
                  <w:r>
                    <w:rPr>
                      <w:b/>
                      <w:bCs/>
                      <w:sz w:val="24"/>
                      <w:szCs w:val="24"/>
                      <w:u w:val="single"/>
                    </w:rPr>
                    <w:t>3H</w:t>
                  </w:r>
                  <w:r w:rsidRPr="00506591">
                    <w:rPr>
                      <w:b/>
                      <w:bCs/>
                      <w:sz w:val="24"/>
                      <w:szCs w:val="24"/>
                      <w:u w:val="single"/>
                    </w:rPr>
                    <w:t>)</w:t>
                  </w:r>
                </w:p>
                <w:p w14:paraId="42B8A76C" w14:textId="64A173EA" w:rsidR="004D3DBD" w:rsidRPr="004D3DBD" w:rsidRDefault="004D3DBD" w:rsidP="004D3DBD">
                  <w:pPr>
                    <w:pStyle w:val="ListParagraph"/>
                    <w:numPr>
                      <w:ilvl w:val="0"/>
                      <w:numId w:val="4"/>
                    </w:numPr>
                    <w:ind w:left="343" w:hanging="283"/>
                    <w:rPr>
                      <w:rFonts w:ascii="Tahoma" w:eastAsia="Tahoma" w:hAnsi="Tahoma" w:cs="Tahoma"/>
                      <w:sz w:val="24"/>
                      <w:szCs w:val="24"/>
                    </w:rPr>
                  </w:pPr>
                  <w:r w:rsidRPr="004D3DBD">
                    <w:rPr>
                      <w:rFonts w:ascii="Tahoma" w:eastAsia="Tahoma" w:hAnsi="Tahoma" w:cs="Tahoma"/>
                      <w:sz w:val="24"/>
                      <w:szCs w:val="24"/>
                    </w:rPr>
                    <w:t>Loci</w:t>
                  </w:r>
                </w:p>
                <w:p w14:paraId="40FBB32D" w14:textId="77777777" w:rsidR="004D3DBD" w:rsidRPr="004D3DBD" w:rsidRDefault="004D3DBD" w:rsidP="004D3DBD">
                  <w:pPr>
                    <w:pStyle w:val="ListParagraph"/>
                    <w:numPr>
                      <w:ilvl w:val="0"/>
                      <w:numId w:val="4"/>
                    </w:numPr>
                    <w:ind w:left="343" w:hanging="283"/>
                    <w:rPr>
                      <w:rFonts w:ascii="Tahoma" w:eastAsia="Tahoma" w:hAnsi="Tahoma" w:cs="Tahoma"/>
                      <w:sz w:val="24"/>
                      <w:szCs w:val="24"/>
                    </w:rPr>
                  </w:pPr>
                  <w:r w:rsidRPr="004D3DBD">
                    <w:rPr>
                      <w:rFonts w:ascii="Tahoma" w:eastAsia="Tahoma" w:hAnsi="Tahoma" w:cs="Tahoma"/>
                      <w:sz w:val="24"/>
                      <w:szCs w:val="24"/>
                    </w:rPr>
                    <w:t>Congruent Triangles</w:t>
                  </w:r>
                </w:p>
                <w:p w14:paraId="13159021" w14:textId="77777777" w:rsidR="004D3DBD" w:rsidRPr="004D3DBD" w:rsidRDefault="004D3DBD" w:rsidP="004D3DBD">
                  <w:pPr>
                    <w:pStyle w:val="ListParagraph"/>
                    <w:numPr>
                      <w:ilvl w:val="0"/>
                      <w:numId w:val="4"/>
                    </w:numPr>
                    <w:ind w:left="343" w:hanging="283"/>
                    <w:rPr>
                      <w:rFonts w:ascii="Tahoma" w:eastAsia="Tahoma" w:hAnsi="Tahoma" w:cs="Tahoma"/>
                      <w:sz w:val="24"/>
                      <w:szCs w:val="24"/>
                    </w:rPr>
                  </w:pPr>
                  <w:r w:rsidRPr="004D3DBD">
                    <w:rPr>
                      <w:rFonts w:ascii="Tahoma" w:eastAsia="Tahoma" w:hAnsi="Tahoma" w:cs="Tahoma"/>
                      <w:sz w:val="24"/>
                      <w:szCs w:val="24"/>
                    </w:rPr>
                    <w:t>Sectors of a Circle</w:t>
                  </w:r>
                </w:p>
                <w:p w14:paraId="3D47001B" w14:textId="77777777" w:rsidR="004D3DBD" w:rsidRPr="004D3DBD" w:rsidRDefault="004D3DBD" w:rsidP="004D3DBD">
                  <w:pPr>
                    <w:pStyle w:val="ListParagraph"/>
                    <w:numPr>
                      <w:ilvl w:val="0"/>
                      <w:numId w:val="4"/>
                    </w:numPr>
                    <w:ind w:left="343" w:hanging="283"/>
                    <w:rPr>
                      <w:rFonts w:ascii="Tahoma" w:eastAsia="Tahoma" w:hAnsi="Tahoma" w:cs="Tahoma"/>
                      <w:sz w:val="24"/>
                      <w:szCs w:val="24"/>
                    </w:rPr>
                  </w:pPr>
                  <w:r w:rsidRPr="004D3DBD">
                    <w:rPr>
                      <w:rFonts w:ascii="Tahoma" w:eastAsia="Tahoma" w:hAnsi="Tahoma" w:cs="Tahoma"/>
                      <w:sz w:val="24"/>
                      <w:szCs w:val="24"/>
                    </w:rPr>
                    <w:t>Trigonometry</w:t>
                  </w:r>
                </w:p>
                <w:p w14:paraId="67DBD589" w14:textId="77777777" w:rsidR="004D3DBD" w:rsidRPr="004D3DBD" w:rsidRDefault="004D3DBD" w:rsidP="004D3DBD">
                  <w:pPr>
                    <w:pStyle w:val="ListParagraph"/>
                    <w:numPr>
                      <w:ilvl w:val="0"/>
                      <w:numId w:val="4"/>
                    </w:numPr>
                    <w:ind w:left="343" w:hanging="283"/>
                    <w:rPr>
                      <w:rFonts w:ascii="Tahoma" w:eastAsia="Tahoma" w:hAnsi="Tahoma" w:cs="Tahoma"/>
                      <w:sz w:val="24"/>
                      <w:szCs w:val="24"/>
                    </w:rPr>
                  </w:pPr>
                  <w:r w:rsidRPr="004D3DBD">
                    <w:rPr>
                      <w:rFonts w:ascii="Tahoma" w:eastAsia="Tahoma" w:hAnsi="Tahoma" w:cs="Tahoma"/>
                      <w:sz w:val="24"/>
                      <w:szCs w:val="24"/>
                    </w:rPr>
                    <w:t>Spheres</w:t>
                  </w:r>
                </w:p>
                <w:p w14:paraId="779BDEC7" w14:textId="77777777" w:rsidR="004D3DBD" w:rsidRPr="004D3DBD" w:rsidRDefault="004D3DBD" w:rsidP="004D3DBD">
                  <w:pPr>
                    <w:pStyle w:val="ListParagraph"/>
                    <w:numPr>
                      <w:ilvl w:val="0"/>
                      <w:numId w:val="4"/>
                    </w:numPr>
                    <w:ind w:left="343" w:hanging="283"/>
                    <w:rPr>
                      <w:rFonts w:ascii="Tahoma" w:eastAsia="Tahoma" w:hAnsi="Tahoma" w:cs="Tahoma"/>
                      <w:sz w:val="24"/>
                      <w:szCs w:val="24"/>
                    </w:rPr>
                  </w:pPr>
                  <w:r w:rsidRPr="004D3DBD">
                    <w:rPr>
                      <w:rFonts w:ascii="Tahoma" w:eastAsia="Tahoma" w:hAnsi="Tahoma" w:cs="Tahoma"/>
                      <w:sz w:val="24"/>
                      <w:szCs w:val="24"/>
                    </w:rPr>
                    <w:t>Pyramids</w:t>
                  </w:r>
                </w:p>
                <w:p w14:paraId="31BE7BB8" w14:textId="77777777" w:rsidR="004D3DBD" w:rsidRPr="004D3DBD" w:rsidRDefault="004D3DBD" w:rsidP="004D3DBD">
                  <w:pPr>
                    <w:pStyle w:val="ListParagraph"/>
                    <w:numPr>
                      <w:ilvl w:val="0"/>
                      <w:numId w:val="4"/>
                    </w:numPr>
                    <w:ind w:left="343" w:hanging="283"/>
                    <w:rPr>
                      <w:rFonts w:ascii="Tahoma" w:eastAsia="Tahoma" w:hAnsi="Tahoma" w:cs="Tahoma"/>
                      <w:sz w:val="24"/>
                      <w:szCs w:val="24"/>
                    </w:rPr>
                  </w:pPr>
                  <w:r w:rsidRPr="004D3DBD">
                    <w:rPr>
                      <w:rFonts w:ascii="Tahoma" w:eastAsia="Tahoma" w:hAnsi="Tahoma" w:cs="Tahoma"/>
                      <w:sz w:val="24"/>
                      <w:szCs w:val="24"/>
                    </w:rPr>
                    <w:t>Cones</w:t>
                  </w:r>
                </w:p>
                <w:p w14:paraId="4AB893D6" w14:textId="4C141ABB" w:rsidR="00560C81" w:rsidRPr="00560C81" w:rsidRDefault="004D3DBD" w:rsidP="004D3DBD">
                  <w:pPr>
                    <w:pStyle w:val="ListParagraph"/>
                    <w:numPr>
                      <w:ilvl w:val="0"/>
                      <w:numId w:val="4"/>
                    </w:numPr>
                    <w:ind w:left="343" w:hanging="283"/>
                    <w:rPr>
                      <w:rFonts w:ascii="Tahoma" w:hAnsi="Tahoma" w:cs="Tahoma"/>
                      <w:b/>
                      <w:bCs/>
                      <w:sz w:val="24"/>
                      <w:szCs w:val="24"/>
                    </w:rPr>
                  </w:pPr>
                  <w:r w:rsidRPr="004D3DBD">
                    <w:rPr>
                      <w:rFonts w:ascii="Tahoma" w:eastAsia="Tahoma" w:hAnsi="Tahoma" w:cs="Tahoma"/>
                      <w:sz w:val="24"/>
                      <w:szCs w:val="24"/>
                    </w:rPr>
                    <w:t>Frustums</w:t>
                  </w:r>
                </w:p>
              </w:tc>
            </w:tr>
          </w:tbl>
          <w:p w14:paraId="672A6659" w14:textId="19108A8E" w:rsidR="00413497" w:rsidRPr="00413497" w:rsidRDefault="00413497" w:rsidP="39C30A8E">
            <w:pPr>
              <w:rPr>
                <w:rFonts w:ascii="Tahoma" w:hAnsi="Tahoma" w:cs="Tahoma"/>
                <w:b/>
                <w:bCs/>
                <w:sz w:val="24"/>
                <w:szCs w:val="24"/>
              </w:rPr>
            </w:pPr>
          </w:p>
        </w:tc>
      </w:tr>
      <w:tr w:rsidR="00413497" w:rsidRPr="003F0DC6" w14:paraId="0A6CB2C4" w14:textId="77777777" w:rsidTr="10AF8AB5">
        <w:tc>
          <w:tcPr>
            <w:tcW w:w="1052" w:type="dxa"/>
          </w:tcPr>
          <w:p w14:paraId="49A56AFD" w14:textId="77777777" w:rsidR="00413497" w:rsidRPr="00413497" w:rsidRDefault="00413497" w:rsidP="00413497">
            <w:pPr>
              <w:jc w:val="center"/>
              <w:rPr>
                <w:rFonts w:ascii="Tahoma" w:hAnsi="Tahoma" w:cs="Tahoma"/>
                <w:b/>
                <w:sz w:val="24"/>
                <w:szCs w:val="24"/>
              </w:rPr>
            </w:pPr>
            <w:r w:rsidRPr="00413497">
              <w:rPr>
                <w:rFonts w:ascii="Tahoma" w:hAnsi="Tahoma" w:cs="Tahoma"/>
                <w:b/>
                <w:sz w:val="24"/>
                <w:szCs w:val="24"/>
              </w:rPr>
              <w:t>English</w:t>
            </w:r>
          </w:p>
        </w:tc>
        <w:tc>
          <w:tcPr>
            <w:tcW w:w="9008" w:type="dxa"/>
          </w:tcPr>
          <w:p w14:paraId="0A37501D" w14:textId="64A7E679" w:rsidR="00413497" w:rsidRPr="00413497" w:rsidRDefault="00602D03" w:rsidP="003F0DC6">
            <w:pPr>
              <w:rPr>
                <w:rFonts w:ascii="Tahoma" w:hAnsi="Tahoma" w:cs="Tahoma"/>
                <w:sz w:val="24"/>
                <w:szCs w:val="24"/>
              </w:rPr>
            </w:pPr>
            <w:r>
              <w:rPr>
                <w:rFonts w:ascii="Tahoma" w:hAnsi="Tahoma" w:cs="Tahoma"/>
                <w:sz w:val="24"/>
                <w:szCs w:val="24"/>
              </w:rPr>
              <w:t xml:space="preserve">Students explore the culture and experiences presented by John Steinbeck in ‘Of Mice and Men’. Students explore Steinbeck’s use of language to create characters and setting.  They will develop some contextual understanding and build on their skills to explore the writer’s ideas developed in Year 7 whilst studying ‘Macbeth’. Students will explicitly explore the characterisation of Crooks and Curley’s Wife. Furthermore, students will develop their reading skills by predicting what will happen after the novella has finished.   </w:t>
            </w:r>
          </w:p>
        </w:tc>
      </w:tr>
      <w:tr w:rsidR="00413497" w:rsidRPr="003F0DC6" w14:paraId="3E63FE78" w14:textId="77777777" w:rsidTr="10AF8AB5">
        <w:tc>
          <w:tcPr>
            <w:tcW w:w="1052" w:type="dxa"/>
          </w:tcPr>
          <w:p w14:paraId="3D4CE94A" w14:textId="77777777" w:rsidR="00413497" w:rsidRPr="00413497" w:rsidRDefault="00413497" w:rsidP="00413497">
            <w:pPr>
              <w:jc w:val="center"/>
              <w:rPr>
                <w:rFonts w:ascii="Tahoma" w:hAnsi="Tahoma" w:cs="Tahoma"/>
                <w:b/>
                <w:sz w:val="24"/>
                <w:szCs w:val="24"/>
              </w:rPr>
            </w:pPr>
            <w:r w:rsidRPr="00413497">
              <w:rPr>
                <w:rFonts w:ascii="Tahoma" w:hAnsi="Tahoma" w:cs="Tahoma"/>
                <w:b/>
                <w:sz w:val="24"/>
                <w:szCs w:val="24"/>
              </w:rPr>
              <w:t>Science</w:t>
            </w:r>
          </w:p>
        </w:tc>
        <w:tc>
          <w:tcPr>
            <w:tcW w:w="9008" w:type="dxa"/>
          </w:tcPr>
          <w:p w14:paraId="3C1B0AEE" w14:textId="7DAD7C64" w:rsidR="00413497" w:rsidRPr="00413497" w:rsidRDefault="00C76FCB" w:rsidP="45A375B9">
            <w:pPr>
              <w:rPr>
                <w:rFonts w:ascii="Tahoma" w:eastAsia="Tahoma" w:hAnsi="Tahoma" w:cs="Tahoma"/>
                <w:sz w:val="24"/>
                <w:szCs w:val="24"/>
              </w:rPr>
            </w:pPr>
            <w:r>
              <w:rPr>
                <w:rFonts w:ascii="Tahoma" w:eastAsia="Tahoma" w:hAnsi="Tahoma" w:cs="Tahoma"/>
                <w:sz w:val="24"/>
                <w:szCs w:val="24"/>
              </w:rPr>
              <w:t>Students begin topic 6 for Biology (food &amp; digestion), Chemistry (compounds) and P</w:t>
            </w:r>
            <w:r w:rsidR="45A375B9" w:rsidRPr="45A375B9">
              <w:rPr>
                <w:rFonts w:ascii="Tahoma" w:eastAsia="Tahoma" w:hAnsi="Tahoma" w:cs="Tahoma"/>
                <w:sz w:val="24"/>
                <w:szCs w:val="24"/>
              </w:rPr>
              <w:t xml:space="preserve">hysics (motion). The topics are taught on a rota so the order may vary by class. Each topic takes two weeks and cumulates to a tri-test, covering all three topics, in the week before the Christmas holidays. The topics add to previous learning on forces and their effects, processes in the human body and how chemical reactions work. </w:t>
            </w:r>
          </w:p>
          <w:p w14:paraId="5DAB6C7B" w14:textId="5572ABB9" w:rsidR="00413497" w:rsidRPr="00C76FCB" w:rsidRDefault="45A375B9" w:rsidP="45A375B9">
            <w:pPr>
              <w:rPr>
                <w:rFonts w:ascii="Tahoma" w:eastAsia="Tahoma" w:hAnsi="Tahoma" w:cs="Tahoma"/>
                <w:sz w:val="24"/>
                <w:szCs w:val="24"/>
              </w:rPr>
            </w:pPr>
            <w:r w:rsidRPr="45A375B9">
              <w:rPr>
                <w:rFonts w:ascii="Tahoma" w:eastAsia="Tahoma" w:hAnsi="Tahoma" w:cs="Tahoma"/>
                <w:sz w:val="24"/>
                <w:szCs w:val="24"/>
              </w:rPr>
              <w:t xml:space="preserve">These topics also start to build on basic knowledge needed for the GCSE science course. </w:t>
            </w:r>
          </w:p>
        </w:tc>
      </w:tr>
      <w:tr w:rsidR="00413497" w:rsidRPr="003F0DC6" w14:paraId="023CE41E" w14:textId="77777777" w:rsidTr="10AF8AB5">
        <w:tc>
          <w:tcPr>
            <w:tcW w:w="1052" w:type="dxa"/>
          </w:tcPr>
          <w:p w14:paraId="0044D0CA" w14:textId="77777777" w:rsidR="00413497" w:rsidRPr="00413497" w:rsidRDefault="00B67415" w:rsidP="00413497">
            <w:pPr>
              <w:jc w:val="center"/>
              <w:rPr>
                <w:rFonts w:ascii="Tahoma" w:hAnsi="Tahoma" w:cs="Tahoma"/>
                <w:b/>
                <w:sz w:val="24"/>
                <w:szCs w:val="24"/>
              </w:rPr>
            </w:pPr>
            <w:r>
              <w:rPr>
                <w:rFonts w:ascii="Tahoma" w:hAnsi="Tahoma" w:cs="Tahoma"/>
                <w:b/>
                <w:sz w:val="24"/>
                <w:szCs w:val="24"/>
              </w:rPr>
              <w:t>Geog</w:t>
            </w:r>
          </w:p>
        </w:tc>
        <w:tc>
          <w:tcPr>
            <w:tcW w:w="9008" w:type="dxa"/>
          </w:tcPr>
          <w:p w14:paraId="02EB378F" w14:textId="69A7047E" w:rsidR="00413497" w:rsidRPr="00413497" w:rsidRDefault="45A375B9" w:rsidP="45A375B9">
            <w:pPr>
              <w:rPr>
                <w:rFonts w:ascii="Tahoma" w:hAnsi="Tahoma" w:cs="Tahoma"/>
                <w:sz w:val="24"/>
                <w:szCs w:val="24"/>
              </w:rPr>
            </w:pPr>
            <w:r w:rsidRPr="45A375B9">
              <w:rPr>
                <w:rFonts w:ascii="Tahoma" w:hAnsi="Tahoma" w:cs="Tahoma"/>
                <w:sz w:val="24"/>
                <w:szCs w:val="24"/>
              </w:rPr>
              <w:t xml:space="preserve">Students will study ‘Our Extreme World’ a cold climate. This unit will enable students to understand the characteristics of cold environments and the adaptations of the plants and animals that survive in them. This unit will enable students to compare their learning about a cold climate with the previous unit’s learning about Africa. They will continue to develop their geographical skills. </w:t>
            </w:r>
          </w:p>
        </w:tc>
      </w:tr>
      <w:tr w:rsidR="00B67415" w:rsidRPr="003F0DC6" w14:paraId="1597E8FF" w14:textId="77777777" w:rsidTr="10AF8AB5">
        <w:tc>
          <w:tcPr>
            <w:tcW w:w="1052" w:type="dxa"/>
          </w:tcPr>
          <w:p w14:paraId="11CC0326" w14:textId="77777777" w:rsidR="00B67415" w:rsidRPr="00413497" w:rsidRDefault="00B67415" w:rsidP="00413497">
            <w:pPr>
              <w:jc w:val="center"/>
              <w:rPr>
                <w:rFonts w:ascii="Tahoma" w:hAnsi="Tahoma" w:cs="Tahoma"/>
                <w:b/>
                <w:sz w:val="24"/>
                <w:szCs w:val="24"/>
              </w:rPr>
            </w:pPr>
            <w:r>
              <w:rPr>
                <w:rFonts w:ascii="Tahoma" w:hAnsi="Tahoma" w:cs="Tahoma"/>
                <w:b/>
                <w:sz w:val="24"/>
                <w:szCs w:val="24"/>
              </w:rPr>
              <w:t>Hist</w:t>
            </w:r>
          </w:p>
        </w:tc>
        <w:tc>
          <w:tcPr>
            <w:tcW w:w="9008" w:type="dxa"/>
          </w:tcPr>
          <w:p w14:paraId="6A05A809" w14:textId="5652D82C" w:rsidR="00B67415" w:rsidRPr="00413497" w:rsidRDefault="45A375B9" w:rsidP="45A375B9">
            <w:pPr>
              <w:rPr>
                <w:rFonts w:ascii="Tahoma" w:hAnsi="Tahoma" w:cs="Tahoma"/>
                <w:sz w:val="24"/>
                <w:szCs w:val="24"/>
              </w:rPr>
            </w:pPr>
            <w:r w:rsidRPr="45A375B9">
              <w:rPr>
                <w:rFonts w:ascii="Tahoma" w:hAnsi="Tahoma" w:cs="Tahoma"/>
                <w:sz w:val="24"/>
                <w:szCs w:val="24"/>
              </w:rPr>
              <w:t>Students will continue to study the period 1500-1750. They will explore the lives of ordinary people during this period, with a case study on the Elizabethan poor. They will then study the causes of the English Civil War and the impact that it had on Lancashire and England. Finally, they will consider the causes and consequences of the 17</w:t>
            </w:r>
            <w:r w:rsidRPr="45A375B9">
              <w:rPr>
                <w:rFonts w:ascii="Tahoma" w:hAnsi="Tahoma" w:cs="Tahoma"/>
                <w:sz w:val="24"/>
                <w:szCs w:val="24"/>
                <w:vertAlign w:val="superscript"/>
              </w:rPr>
              <w:t>th</w:t>
            </w:r>
            <w:r w:rsidRPr="45A375B9">
              <w:rPr>
                <w:rFonts w:ascii="Tahoma" w:hAnsi="Tahoma" w:cs="Tahoma"/>
                <w:sz w:val="24"/>
                <w:szCs w:val="24"/>
              </w:rPr>
              <w:t xml:space="preserve"> century witchcraze. They will continue to develop their source skills and concepts such as cause and consequence and change and continuity.  </w:t>
            </w:r>
          </w:p>
        </w:tc>
      </w:tr>
      <w:tr w:rsidR="00B67415" w:rsidRPr="003F0DC6" w14:paraId="112A29E6" w14:textId="77777777" w:rsidTr="10AF8AB5">
        <w:tc>
          <w:tcPr>
            <w:tcW w:w="1052" w:type="dxa"/>
          </w:tcPr>
          <w:p w14:paraId="0B7D5FF3" w14:textId="77777777" w:rsidR="00B67415" w:rsidRPr="00413497" w:rsidRDefault="00B67415" w:rsidP="00413497">
            <w:pPr>
              <w:jc w:val="center"/>
              <w:rPr>
                <w:rFonts w:ascii="Tahoma" w:hAnsi="Tahoma" w:cs="Tahoma"/>
                <w:b/>
                <w:sz w:val="24"/>
                <w:szCs w:val="24"/>
              </w:rPr>
            </w:pPr>
            <w:r>
              <w:rPr>
                <w:rFonts w:ascii="Tahoma" w:hAnsi="Tahoma" w:cs="Tahoma"/>
                <w:b/>
                <w:sz w:val="24"/>
                <w:szCs w:val="24"/>
              </w:rPr>
              <w:t>RS</w:t>
            </w:r>
          </w:p>
        </w:tc>
        <w:tc>
          <w:tcPr>
            <w:tcW w:w="9008" w:type="dxa"/>
          </w:tcPr>
          <w:p w14:paraId="5121AF72" w14:textId="4B0B726B" w:rsidR="00B67415" w:rsidRPr="00413497" w:rsidRDefault="18D93B35" w:rsidP="18D93B35">
            <w:pPr>
              <w:rPr>
                <w:rFonts w:ascii="Tahoma" w:hAnsi="Tahoma" w:cs="Tahoma"/>
                <w:sz w:val="24"/>
                <w:szCs w:val="24"/>
              </w:rPr>
            </w:pPr>
            <w:r w:rsidRPr="18D93B35">
              <w:rPr>
                <w:rFonts w:ascii="Tahoma" w:hAnsi="Tahoma" w:cs="Tahoma"/>
                <w:sz w:val="24"/>
                <w:szCs w:val="24"/>
              </w:rPr>
              <w:t>Students will look at religious and human rights issues, linking to religious prejudice and tolerance. Students will investigate these areas throughout history and in the modern world in order to make a common link with humanities subjects.</w:t>
            </w:r>
          </w:p>
          <w:p w14:paraId="5A39BBE3" w14:textId="163CF7EE" w:rsidR="00B67415" w:rsidRPr="00413497" w:rsidRDefault="18D93B35" w:rsidP="18D93B35">
            <w:pPr>
              <w:rPr>
                <w:rFonts w:ascii="Tahoma" w:hAnsi="Tahoma" w:cs="Tahoma"/>
                <w:sz w:val="24"/>
                <w:szCs w:val="24"/>
              </w:rPr>
            </w:pPr>
            <w:r w:rsidRPr="18D93B35">
              <w:rPr>
                <w:rFonts w:ascii="Tahoma" w:hAnsi="Tahoma" w:cs="Tahoma"/>
                <w:sz w:val="24"/>
                <w:szCs w:val="24"/>
              </w:rPr>
              <w:t>Civil rights, gay rights, women's rights and religious</w:t>
            </w:r>
            <w:r w:rsidR="00C76FCB">
              <w:rPr>
                <w:rFonts w:ascii="Tahoma" w:hAnsi="Tahoma" w:cs="Tahoma"/>
                <w:sz w:val="24"/>
                <w:szCs w:val="24"/>
              </w:rPr>
              <w:t xml:space="preserve"> teachings and influences will </w:t>
            </w:r>
            <w:r w:rsidRPr="18D93B35">
              <w:rPr>
                <w:rFonts w:ascii="Tahoma" w:hAnsi="Tahoma" w:cs="Tahoma"/>
                <w:sz w:val="24"/>
                <w:szCs w:val="24"/>
              </w:rPr>
              <w:t xml:space="preserve">be covered.  </w:t>
            </w:r>
          </w:p>
        </w:tc>
      </w:tr>
      <w:tr w:rsidR="00413497" w:rsidRPr="003F0DC6" w14:paraId="0E587BED" w14:textId="77777777" w:rsidTr="10AF8AB5">
        <w:tc>
          <w:tcPr>
            <w:tcW w:w="1052" w:type="dxa"/>
          </w:tcPr>
          <w:p w14:paraId="5ECDE6EA" w14:textId="77777777" w:rsidR="00413497" w:rsidRPr="00413497" w:rsidRDefault="00413497" w:rsidP="00413497">
            <w:pPr>
              <w:jc w:val="center"/>
              <w:rPr>
                <w:rFonts w:ascii="Tahoma" w:hAnsi="Tahoma" w:cs="Tahoma"/>
                <w:b/>
                <w:sz w:val="24"/>
                <w:szCs w:val="24"/>
              </w:rPr>
            </w:pPr>
            <w:r w:rsidRPr="00413497">
              <w:rPr>
                <w:rFonts w:ascii="Tahoma" w:hAnsi="Tahoma" w:cs="Tahoma"/>
                <w:b/>
                <w:sz w:val="24"/>
                <w:szCs w:val="24"/>
              </w:rPr>
              <w:t>Graphics</w:t>
            </w:r>
          </w:p>
        </w:tc>
        <w:tc>
          <w:tcPr>
            <w:tcW w:w="9008" w:type="dxa"/>
          </w:tcPr>
          <w:p w14:paraId="41C8F396" w14:textId="65CEDF54" w:rsidR="00413497" w:rsidRPr="00C76FCB" w:rsidRDefault="2EA440F5" w:rsidP="2EA440F5">
            <w:r w:rsidRPr="2EA440F5">
              <w:rPr>
                <w:rFonts w:ascii="Tahoma" w:eastAsia="Tahoma" w:hAnsi="Tahoma" w:cs="Tahoma"/>
                <w:sz w:val="24"/>
                <w:szCs w:val="24"/>
              </w:rPr>
              <w:t xml:space="preserve">In year 8, for 10 weeks, students will examine the link between graphic design and activism. They will gain an understanding of how images have been used throughout history to affect political and social change. They will look at how a contemporary climate activist group has used techniques such as block printing </w:t>
            </w:r>
            <w:r w:rsidRPr="2EA440F5">
              <w:rPr>
                <w:rFonts w:ascii="Tahoma" w:eastAsia="Tahoma" w:hAnsi="Tahoma" w:cs="Tahoma"/>
                <w:sz w:val="24"/>
                <w:szCs w:val="24"/>
              </w:rPr>
              <w:lastRenderedPageBreak/>
              <w:t xml:space="preserve">and screen printing to create engaging images. They will then design and develop images and slogans using similar printing techniques and will have the opportunity to create their own climate rebellion banners, posters and clothing. Homework will be set every 2 lessons. This will typically reinforce work covered in lessons or will be designed to prepare students to make progress in lessons.   </w:t>
            </w:r>
          </w:p>
        </w:tc>
      </w:tr>
      <w:tr w:rsidR="00413497" w:rsidRPr="003F0DC6" w14:paraId="689DA24D" w14:textId="77777777" w:rsidTr="10AF8AB5">
        <w:tc>
          <w:tcPr>
            <w:tcW w:w="1052" w:type="dxa"/>
          </w:tcPr>
          <w:p w14:paraId="34A04E11" w14:textId="77777777" w:rsidR="00413497" w:rsidRPr="00413497" w:rsidRDefault="00413497" w:rsidP="00413497">
            <w:pPr>
              <w:jc w:val="center"/>
              <w:rPr>
                <w:rFonts w:ascii="Tahoma" w:hAnsi="Tahoma" w:cs="Tahoma"/>
                <w:b/>
                <w:sz w:val="24"/>
                <w:szCs w:val="24"/>
              </w:rPr>
            </w:pPr>
            <w:r w:rsidRPr="00413497">
              <w:rPr>
                <w:rFonts w:ascii="Tahoma" w:hAnsi="Tahoma" w:cs="Tahoma"/>
                <w:b/>
                <w:sz w:val="24"/>
                <w:szCs w:val="24"/>
              </w:rPr>
              <w:lastRenderedPageBreak/>
              <w:t>DT</w:t>
            </w:r>
          </w:p>
        </w:tc>
        <w:tc>
          <w:tcPr>
            <w:tcW w:w="9008" w:type="dxa"/>
          </w:tcPr>
          <w:p w14:paraId="72A3D3EC" w14:textId="40DF5069" w:rsidR="00413497" w:rsidRPr="00C76FCB" w:rsidRDefault="3C7692AA" w:rsidP="00C76FCB">
            <w:pPr>
              <w:spacing w:line="259" w:lineRule="auto"/>
              <w:rPr>
                <w:rFonts w:ascii="Tahoma" w:eastAsia="Tahoma" w:hAnsi="Tahoma" w:cs="Tahoma"/>
                <w:sz w:val="24"/>
                <w:szCs w:val="24"/>
              </w:rPr>
            </w:pPr>
            <w:r w:rsidRPr="3C7692AA">
              <w:rPr>
                <w:rFonts w:ascii="Tahoma" w:eastAsia="Tahoma" w:hAnsi="Tahoma" w:cs="Tahoma"/>
                <w:sz w:val="24"/>
                <w:szCs w:val="24"/>
              </w:rPr>
              <w:t>Students spend ten weeks in the materials area of technology. The major project is a design and make practical tasks that builds on the basic skills covered in year 7. If time permits an extension activity will use CAD/ CAM in order to introduce modern manufacturing techniques. Homework that relates to the topics currently being covered is set every two lessons.</w:t>
            </w:r>
          </w:p>
        </w:tc>
      </w:tr>
      <w:tr w:rsidR="00413497" w:rsidRPr="003F0DC6" w14:paraId="50E5AB55" w14:textId="77777777" w:rsidTr="10AF8AB5">
        <w:tc>
          <w:tcPr>
            <w:tcW w:w="1052" w:type="dxa"/>
          </w:tcPr>
          <w:p w14:paraId="7374B32E" w14:textId="77777777" w:rsidR="00413497" w:rsidRPr="00413497" w:rsidRDefault="00413497" w:rsidP="00413497">
            <w:pPr>
              <w:jc w:val="center"/>
              <w:rPr>
                <w:rFonts w:ascii="Tahoma" w:hAnsi="Tahoma" w:cs="Tahoma"/>
                <w:b/>
                <w:sz w:val="24"/>
                <w:szCs w:val="24"/>
              </w:rPr>
            </w:pPr>
            <w:r w:rsidRPr="00413497">
              <w:rPr>
                <w:rFonts w:ascii="Tahoma" w:hAnsi="Tahoma" w:cs="Tahoma"/>
                <w:b/>
                <w:sz w:val="24"/>
                <w:szCs w:val="24"/>
              </w:rPr>
              <w:t>Food</w:t>
            </w:r>
          </w:p>
        </w:tc>
        <w:tc>
          <w:tcPr>
            <w:tcW w:w="9008" w:type="dxa"/>
          </w:tcPr>
          <w:p w14:paraId="0D0B940D" w14:textId="0BF390C7" w:rsidR="00413497" w:rsidRPr="00413497" w:rsidRDefault="7EDB9F04" w:rsidP="00C76FCB">
            <w:pPr>
              <w:rPr>
                <w:rFonts w:ascii="Tahoma" w:hAnsi="Tahoma" w:cs="Tahoma"/>
                <w:sz w:val="24"/>
                <w:szCs w:val="24"/>
              </w:rPr>
            </w:pPr>
            <w:r w:rsidRPr="7EDB9F04">
              <w:rPr>
                <w:rFonts w:ascii="Tahoma" w:hAnsi="Tahoma" w:cs="Tahoma"/>
                <w:sz w:val="24"/>
                <w:szCs w:val="24"/>
              </w:rPr>
              <w:t>In spend</w:t>
            </w:r>
            <w:r w:rsidR="00C76FCB">
              <w:rPr>
                <w:rFonts w:ascii="Tahoma" w:hAnsi="Tahoma" w:cs="Tahoma"/>
                <w:sz w:val="24"/>
                <w:szCs w:val="24"/>
              </w:rPr>
              <w:t xml:space="preserve"> ten weeks in the Food area of T</w:t>
            </w:r>
            <w:r w:rsidRPr="7EDB9F04">
              <w:rPr>
                <w:rFonts w:ascii="Tahoma" w:hAnsi="Tahoma" w:cs="Tahoma"/>
                <w:sz w:val="24"/>
                <w:szCs w:val="24"/>
              </w:rPr>
              <w:t>echnology.  Students are provided with a cookbook for the ten weeks in Food.  Students can build upon their making skills and use a variety of different cooking methods from bread making to sauce making.  Safety and hygiene are taught alongside the practical tasks in more depth than year 7.  Nutrition is also taught in more depth during the foc</w:t>
            </w:r>
            <w:r w:rsidR="00C76FCB">
              <w:rPr>
                <w:rFonts w:ascii="Tahoma" w:hAnsi="Tahoma" w:cs="Tahoma"/>
                <w:sz w:val="24"/>
                <w:szCs w:val="24"/>
              </w:rPr>
              <w:t xml:space="preserve">used practical tasks.  The homework set </w:t>
            </w:r>
            <w:r w:rsidRPr="7EDB9F04">
              <w:rPr>
                <w:rFonts w:ascii="Tahoma" w:hAnsi="Tahoma" w:cs="Tahoma"/>
                <w:sz w:val="24"/>
                <w:szCs w:val="24"/>
              </w:rPr>
              <w:t xml:space="preserve">is for students to bring ingredients for the following weeks practical lesson. </w:t>
            </w:r>
          </w:p>
        </w:tc>
      </w:tr>
      <w:tr w:rsidR="00413497" w:rsidRPr="003F0DC6" w14:paraId="72A49E43" w14:textId="77777777" w:rsidTr="10AF8AB5">
        <w:tc>
          <w:tcPr>
            <w:tcW w:w="1052" w:type="dxa"/>
          </w:tcPr>
          <w:p w14:paraId="147BFCE3" w14:textId="77777777" w:rsidR="00413497" w:rsidRPr="00413497" w:rsidRDefault="00B67415" w:rsidP="00413497">
            <w:pPr>
              <w:jc w:val="center"/>
              <w:rPr>
                <w:rFonts w:ascii="Tahoma" w:hAnsi="Tahoma" w:cs="Tahoma"/>
                <w:b/>
                <w:sz w:val="24"/>
                <w:szCs w:val="24"/>
              </w:rPr>
            </w:pPr>
            <w:r>
              <w:rPr>
                <w:rFonts w:ascii="Tahoma" w:hAnsi="Tahoma" w:cs="Tahoma"/>
                <w:b/>
                <w:sz w:val="24"/>
                <w:szCs w:val="24"/>
              </w:rPr>
              <w:t>T</w:t>
            </w:r>
            <w:r w:rsidR="00413497" w:rsidRPr="00413497">
              <w:rPr>
                <w:rFonts w:ascii="Tahoma" w:hAnsi="Tahoma" w:cs="Tahoma"/>
                <w:b/>
                <w:sz w:val="24"/>
                <w:szCs w:val="24"/>
              </w:rPr>
              <w:t>extiles</w:t>
            </w:r>
          </w:p>
        </w:tc>
        <w:tc>
          <w:tcPr>
            <w:tcW w:w="9008" w:type="dxa"/>
          </w:tcPr>
          <w:p w14:paraId="0E27B00A" w14:textId="6660D95E" w:rsidR="00413497" w:rsidRPr="00413497" w:rsidRDefault="37350912" w:rsidP="37350912">
            <w:pPr>
              <w:rPr>
                <w:rFonts w:ascii="Tahoma" w:hAnsi="Tahoma" w:cs="Tahoma"/>
                <w:sz w:val="24"/>
                <w:szCs w:val="24"/>
              </w:rPr>
            </w:pPr>
            <w:r w:rsidRPr="37350912">
              <w:rPr>
                <w:rFonts w:ascii="Arial" w:eastAsia="Arial" w:hAnsi="Arial" w:cs="Arial"/>
                <w:sz w:val="24"/>
                <w:szCs w:val="24"/>
              </w:rPr>
              <w:t>Students spend ten</w:t>
            </w:r>
            <w:r w:rsidR="00C76FCB">
              <w:rPr>
                <w:rFonts w:ascii="Arial" w:eastAsia="Arial" w:hAnsi="Arial" w:cs="Arial"/>
                <w:sz w:val="24"/>
                <w:szCs w:val="24"/>
              </w:rPr>
              <w:t xml:space="preserve"> weeks in the textiles area of T</w:t>
            </w:r>
            <w:r w:rsidRPr="37350912">
              <w:rPr>
                <w:rFonts w:ascii="Arial" w:eastAsia="Arial" w:hAnsi="Arial" w:cs="Arial"/>
                <w:sz w:val="24"/>
                <w:szCs w:val="24"/>
              </w:rPr>
              <w:t>echnology. The major project is a design and make practical tasks that builds on the basic skills covered in year 7. If time permits an extension activity will use embroidery to introduce students to a number of decorative techniques. Homework that relates to the topics currently being covered is set every two lessons.</w:t>
            </w:r>
          </w:p>
        </w:tc>
      </w:tr>
      <w:tr w:rsidR="00413497" w:rsidRPr="003F0DC6" w14:paraId="2E0AF8F1" w14:textId="77777777" w:rsidTr="10AF8AB5">
        <w:tc>
          <w:tcPr>
            <w:tcW w:w="1052" w:type="dxa"/>
          </w:tcPr>
          <w:p w14:paraId="51712841" w14:textId="77777777" w:rsidR="00413497" w:rsidRPr="00413497" w:rsidRDefault="00413497" w:rsidP="00413497">
            <w:pPr>
              <w:jc w:val="center"/>
              <w:rPr>
                <w:rFonts w:ascii="Tahoma" w:hAnsi="Tahoma" w:cs="Tahoma"/>
                <w:b/>
                <w:sz w:val="24"/>
                <w:szCs w:val="24"/>
              </w:rPr>
            </w:pPr>
            <w:r w:rsidRPr="00413497">
              <w:rPr>
                <w:rFonts w:ascii="Tahoma" w:hAnsi="Tahoma" w:cs="Tahoma"/>
                <w:b/>
                <w:sz w:val="24"/>
                <w:szCs w:val="24"/>
              </w:rPr>
              <w:t>French</w:t>
            </w:r>
          </w:p>
        </w:tc>
        <w:tc>
          <w:tcPr>
            <w:tcW w:w="9008" w:type="dxa"/>
          </w:tcPr>
          <w:p w14:paraId="60061E4C" w14:textId="52FDC688" w:rsidR="00413497" w:rsidRPr="00413497" w:rsidRDefault="3709D15C" w:rsidP="003F0DC6">
            <w:pPr>
              <w:rPr>
                <w:rFonts w:ascii="Tahoma" w:hAnsi="Tahoma" w:cs="Tahoma"/>
                <w:sz w:val="24"/>
                <w:szCs w:val="24"/>
              </w:rPr>
            </w:pPr>
            <w:r w:rsidRPr="3709D15C">
              <w:rPr>
                <w:rFonts w:ascii="Arial" w:eastAsia="Arial" w:hAnsi="Arial" w:cs="Arial"/>
                <w:sz w:val="24"/>
                <w:szCs w:val="24"/>
              </w:rPr>
              <w:t>Students continue to develop their skills of listening, speaking, reading and writing. They study language related to holiday and leisure activities using the past tense.  They add to their knowledge of French grammar, with a specific focus on “avoir” and “être” to form the perfect tense, as well as studying regular and irregular verbs, negatives and formation of opinions in the present and past tense.</w:t>
            </w:r>
          </w:p>
        </w:tc>
      </w:tr>
      <w:tr w:rsidR="00B67415" w:rsidRPr="003F0DC6" w14:paraId="27C34412" w14:textId="77777777" w:rsidTr="10AF8AB5">
        <w:tc>
          <w:tcPr>
            <w:tcW w:w="1052" w:type="dxa"/>
          </w:tcPr>
          <w:p w14:paraId="695A7B6C" w14:textId="77777777" w:rsidR="00B67415" w:rsidRPr="00413497" w:rsidRDefault="00B67415" w:rsidP="00413497">
            <w:pPr>
              <w:jc w:val="center"/>
              <w:rPr>
                <w:rFonts w:ascii="Tahoma" w:hAnsi="Tahoma" w:cs="Tahoma"/>
                <w:b/>
                <w:sz w:val="24"/>
                <w:szCs w:val="24"/>
              </w:rPr>
            </w:pPr>
            <w:r>
              <w:rPr>
                <w:rFonts w:ascii="Tahoma" w:hAnsi="Tahoma" w:cs="Tahoma"/>
                <w:b/>
                <w:sz w:val="24"/>
                <w:szCs w:val="24"/>
              </w:rPr>
              <w:t>German</w:t>
            </w:r>
          </w:p>
        </w:tc>
        <w:tc>
          <w:tcPr>
            <w:tcW w:w="9008" w:type="dxa"/>
          </w:tcPr>
          <w:p w14:paraId="44EAFD9C" w14:textId="3424F8E7" w:rsidR="00B67415" w:rsidRPr="00413497" w:rsidRDefault="3709D15C" w:rsidP="3709D15C">
            <w:pPr>
              <w:spacing w:line="257" w:lineRule="auto"/>
              <w:rPr>
                <w:rFonts w:ascii="Tahoma" w:hAnsi="Tahoma" w:cs="Tahoma"/>
                <w:sz w:val="24"/>
                <w:szCs w:val="24"/>
              </w:rPr>
            </w:pPr>
            <w:r w:rsidRPr="3709D15C">
              <w:rPr>
                <w:rFonts w:ascii="Arial" w:eastAsia="Arial" w:hAnsi="Arial" w:cs="Arial"/>
                <w:sz w:val="24"/>
                <w:szCs w:val="24"/>
              </w:rPr>
              <w:t>Students develop their skills of listening, speaking, reading and writing. They study language related to descriptions, family, pets, birthdays and celebrations.  They develop their understanding of German grammar, including noun gender, cognates, basic verbs, adjectives and adjectival agreement, definite and indefinite articles, ordinal numbers, plurals, present tense, modal verbs and pronouns.</w:t>
            </w:r>
          </w:p>
        </w:tc>
      </w:tr>
      <w:tr w:rsidR="00413497" w:rsidRPr="003F0DC6" w14:paraId="4EA36025" w14:textId="77777777" w:rsidTr="10AF8AB5">
        <w:tc>
          <w:tcPr>
            <w:tcW w:w="1052" w:type="dxa"/>
          </w:tcPr>
          <w:p w14:paraId="71A2F8BB" w14:textId="77777777" w:rsidR="00413497" w:rsidRPr="00413497" w:rsidRDefault="00413497" w:rsidP="00413497">
            <w:pPr>
              <w:jc w:val="center"/>
              <w:rPr>
                <w:rFonts w:ascii="Tahoma" w:hAnsi="Tahoma" w:cs="Tahoma"/>
                <w:b/>
                <w:sz w:val="24"/>
                <w:szCs w:val="24"/>
              </w:rPr>
            </w:pPr>
            <w:r w:rsidRPr="00413497">
              <w:rPr>
                <w:rFonts w:ascii="Tahoma" w:hAnsi="Tahoma" w:cs="Tahoma"/>
                <w:b/>
                <w:sz w:val="24"/>
                <w:szCs w:val="24"/>
              </w:rPr>
              <w:t>PE</w:t>
            </w:r>
          </w:p>
        </w:tc>
        <w:tc>
          <w:tcPr>
            <w:tcW w:w="9008" w:type="dxa"/>
          </w:tcPr>
          <w:p w14:paraId="4B94D5A5" w14:textId="416EA8DC" w:rsidR="00413497" w:rsidRPr="00413497" w:rsidRDefault="6BC9E1B6" w:rsidP="6BC9E1B6">
            <w:pPr>
              <w:spacing w:line="259" w:lineRule="auto"/>
              <w:rPr>
                <w:rFonts w:ascii="Arial" w:eastAsia="Arial" w:hAnsi="Arial" w:cs="Arial"/>
                <w:sz w:val="24"/>
                <w:szCs w:val="24"/>
              </w:rPr>
            </w:pPr>
            <w:r w:rsidRPr="6BC9E1B6">
              <w:rPr>
                <w:rFonts w:ascii="Arial" w:eastAsia="Arial" w:hAnsi="Arial" w:cs="Arial"/>
                <w:sz w:val="24"/>
                <w:szCs w:val="24"/>
              </w:rPr>
              <w:t>Students will take part in activities listed below depending on their group. Hockey, Gymnastics, Handball, Table Tennis and Rugby. At the end of the half term students will undertake the PFL (Personal Fitness level) along with an assessment within the activity. Students are tracked and monitored against their own baseline score only.</w:t>
            </w:r>
          </w:p>
        </w:tc>
      </w:tr>
      <w:tr w:rsidR="00413497" w:rsidRPr="003F0DC6" w14:paraId="56979F28" w14:textId="77777777" w:rsidTr="10AF8AB5">
        <w:tc>
          <w:tcPr>
            <w:tcW w:w="1052" w:type="dxa"/>
          </w:tcPr>
          <w:p w14:paraId="7D6A7D31" w14:textId="77777777" w:rsidR="00413497" w:rsidRPr="00413497" w:rsidRDefault="00413497" w:rsidP="00413497">
            <w:pPr>
              <w:jc w:val="center"/>
              <w:rPr>
                <w:rFonts w:ascii="Tahoma" w:hAnsi="Tahoma" w:cs="Tahoma"/>
                <w:b/>
                <w:sz w:val="24"/>
                <w:szCs w:val="24"/>
              </w:rPr>
            </w:pPr>
            <w:r w:rsidRPr="00413497">
              <w:rPr>
                <w:rFonts w:ascii="Tahoma" w:hAnsi="Tahoma" w:cs="Tahoma"/>
                <w:b/>
                <w:sz w:val="24"/>
                <w:szCs w:val="24"/>
              </w:rPr>
              <w:t>Art</w:t>
            </w:r>
          </w:p>
        </w:tc>
        <w:tc>
          <w:tcPr>
            <w:tcW w:w="9008" w:type="dxa"/>
          </w:tcPr>
          <w:p w14:paraId="3DEEC669" w14:textId="15AAD24F" w:rsidR="00413497" w:rsidRPr="00413497" w:rsidRDefault="426249B5" w:rsidP="426249B5">
            <w:pPr>
              <w:rPr>
                <w:rFonts w:ascii="Tahoma" w:hAnsi="Tahoma" w:cs="Tahoma"/>
                <w:sz w:val="24"/>
                <w:szCs w:val="24"/>
              </w:rPr>
            </w:pPr>
            <w:r w:rsidRPr="426249B5">
              <w:rPr>
                <w:rFonts w:ascii="Tahoma" w:hAnsi="Tahoma" w:cs="Tahoma"/>
                <w:sz w:val="24"/>
                <w:szCs w:val="24"/>
              </w:rPr>
              <w:t>Project 1. Islamic Art – In Half-Term 2 students will focus on producing their own designs and explore various ways of creating their own patterns, including stencilling, templates, and squared paper. They will need to combine intricate patterns with experimental colour shading techniques to create stunning Islamic Art-inspired designs of their own.</w:t>
            </w:r>
          </w:p>
        </w:tc>
      </w:tr>
      <w:tr w:rsidR="00413497" w:rsidRPr="003F0DC6" w14:paraId="6B3B3690" w14:textId="77777777" w:rsidTr="10AF8AB5">
        <w:tc>
          <w:tcPr>
            <w:tcW w:w="1052" w:type="dxa"/>
          </w:tcPr>
          <w:p w14:paraId="332D16A5" w14:textId="77777777" w:rsidR="00413497" w:rsidRPr="00413497" w:rsidRDefault="00413497" w:rsidP="00413497">
            <w:pPr>
              <w:jc w:val="center"/>
              <w:rPr>
                <w:rFonts w:ascii="Tahoma" w:hAnsi="Tahoma" w:cs="Tahoma"/>
                <w:b/>
                <w:sz w:val="24"/>
                <w:szCs w:val="24"/>
              </w:rPr>
            </w:pPr>
            <w:r w:rsidRPr="00413497">
              <w:rPr>
                <w:rFonts w:ascii="Tahoma" w:hAnsi="Tahoma" w:cs="Tahoma"/>
                <w:b/>
                <w:sz w:val="24"/>
                <w:szCs w:val="24"/>
              </w:rPr>
              <w:t>Drama</w:t>
            </w:r>
          </w:p>
        </w:tc>
        <w:tc>
          <w:tcPr>
            <w:tcW w:w="9008" w:type="dxa"/>
          </w:tcPr>
          <w:p w14:paraId="3656B9AB" w14:textId="2A8C6DD4" w:rsidR="00413497" w:rsidRPr="00413497" w:rsidRDefault="00C76FCB" w:rsidP="140D725F">
            <w:pPr>
              <w:rPr>
                <w:rFonts w:ascii="Tahoma" w:eastAsia="Tahoma" w:hAnsi="Tahoma" w:cs="Tahoma"/>
                <w:sz w:val="24"/>
                <w:szCs w:val="24"/>
              </w:rPr>
            </w:pPr>
            <w:r>
              <w:rPr>
                <w:rFonts w:ascii="Tahoma" w:eastAsia="Tahoma" w:hAnsi="Tahoma" w:cs="Tahoma"/>
                <w:sz w:val="24"/>
                <w:szCs w:val="24"/>
              </w:rPr>
              <w:t>During this u</w:t>
            </w:r>
            <w:bookmarkStart w:id="0" w:name="_GoBack"/>
            <w:bookmarkEnd w:id="0"/>
            <w:r w:rsidR="140D725F" w:rsidRPr="140D725F">
              <w:rPr>
                <w:rFonts w:ascii="Tahoma" w:eastAsia="Tahoma" w:hAnsi="Tahoma" w:cs="Tahoma"/>
                <w:sz w:val="24"/>
                <w:szCs w:val="24"/>
              </w:rPr>
              <w:t xml:space="preserve">nit students will explore the horror genre focussing on a make-believe haunted house known as “Darkwood Manor”.  Throughout a range of fun and exciting learning opportunities including teacher in role and hot seating students will use a range of drama skills and strategies to develop storytelling.  They will be able to work both independently and as part of a group and use elements of drama and the drama medium in order to show tension and create believable characters.  Students will develop understandings of physical theatre and use effectively in performance as well as evaluating their own and others work, using subject specific vocabulary, enabling work to be improved.  </w:t>
            </w:r>
          </w:p>
        </w:tc>
      </w:tr>
      <w:tr w:rsidR="00413497" w:rsidRPr="003F0DC6" w14:paraId="728D4790" w14:textId="77777777" w:rsidTr="10AF8AB5">
        <w:tc>
          <w:tcPr>
            <w:tcW w:w="1052" w:type="dxa"/>
          </w:tcPr>
          <w:p w14:paraId="5ACB7D9E" w14:textId="77777777" w:rsidR="00413497" w:rsidRPr="00413497" w:rsidRDefault="00413497" w:rsidP="00413497">
            <w:pPr>
              <w:jc w:val="center"/>
              <w:rPr>
                <w:rFonts w:ascii="Tahoma" w:hAnsi="Tahoma" w:cs="Tahoma"/>
                <w:b/>
                <w:sz w:val="24"/>
                <w:szCs w:val="24"/>
              </w:rPr>
            </w:pPr>
            <w:r w:rsidRPr="00413497">
              <w:rPr>
                <w:rFonts w:ascii="Tahoma" w:hAnsi="Tahoma" w:cs="Tahoma"/>
                <w:b/>
                <w:sz w:val="24"/>
                <w:szCs w:val="24"/>
              </w:rPr>
              <w:lastRenderedPageBreak/>
              <w:t>Music</w:t>
            </w:r>
          </w:p>
        </w:tc>
        <w:tc>
          <w:tcPr>
            <w:tcW w:w="9008" w:type="dxa"/>
          </w:tcPr>
          <w:p w14:paraId="45FB0818" w14:textId="6728AF2D" w:rsidR="00413497" w:rsidRPr="00413497" w:rsidRDefault="0362C2B8" w:rsidP="0362C2B8">
            <w:pPr>
              <w:spacing w:line="257" w:lineRule="auto"/>
              <w:rPr>
                <w:rFonts w:ascii="Tahoma" w:hAnsi="Tahoma" w:cs="Tahoma"/>
                <w:sz w:val="24"/>
                <w:szCs w:val="24"/>
              </w:rPr>
            </w:pPr>
            <w:r w:rsidRPr="0362C2B8">
              <w:rPr>
                <w:rFonts w:ascii="Arial" w:eastAsia="Arial" w:hAnsi="Arial" w:cs="Arial"/>
                <w:sz w:val="24"/>
                <w:szCs w:val="24"/>
              </w:rPr>
              <w:t>In unit 2 year 8 students will learn about a particular genre of music, such as Reggae. Students will develop their ability to perform different types of rhythms and learn about a variety of characteristics, using musical elements to analyse the music.</w:t>
            </w:r>
          </w:p>
        </w:tc>
      </w:tr>
      <w:tr w:rsidR="00413497" w:rsidRPr="003F0DC6" w14:paraId="08D23282" w14:textId="77777777" w:rsidTr="10AF8AB5">
        <w:tc>
          <w:tcPr>
            <w:tcW w:w="1052" w:type="dxa"/>
          </w:tcPr>
          <w:p w14:paraId="45657A37" w14:textId="77777777" w:rsidR="00413497" w:rsidRPr="00413497" w:rsidRDefault="00413497" w:rsidP="00413497">
            <w:pPr>
              <w:jc w:val="center"/>
              <w:rPr>
                <w:rFonts w:ascii="Tahoma" w:hAnsi="Tahoma" w:cs="Tahoma"/>
                <w:b/>
                <w:sz w:val="24"/>
                <w:szCs w:val="24"/>
              </w:rPr>
            </w:pPr>
            <w:r w:rsidRPr="00413497">
              <w:rPr>
                <w:rFonts w:ascii="Tahoma" w:hAnsi="Tahoma" w:cs="Tahoma"/>
                <w:b/>
                <w:sz w:val="24"/>
                <w:szCs w:val="24"/>
              </w:rPr>
              <w:t>ICT</w:t>
            </w:r>
          </w:p>
        </w:tc>
        <w:tc>
          <w:tcPr>
            <w:tcW w:w="9008" w:type="dxa"/>
          </w:tcPr>
          <w:p w14:paraId="049F31CB" w14:textId="088A06D7" w:rsidR="00413497" w:rsidRPr="00413497" w:rsidRDefault="6AB9B2EE" w:rsidP="6AB9B2EE">
            <w:pPr>
              <w:rPr>
                <w:rFonts w:ascii="Tahoma" w:hAnsi="Tahoma" w:cs="Tahoma"/>
                <w:sz w:val="24"/>
                <w:szCs w:val="24"/>
              </w:rPr>
            </w:pPr>
            <w:r w:rsidRPr="6AB9B2EE">
              <w:rPr>
                <w:rFonts w:ascii="Tahoma" w:eastAsia="Tahoma" w:hAnsi="Tahoma" w:cs="Tahoma"/>
                <w:sz w:val="24"/>
                <w:szCs w:val="24"/>
              </w:rPr>
              <w:t>Students will spend this half term studying 8.1 Office Skills and 8.2 Binary Bits and Bobs. The skills learned from these projects teach new perspectives and understanding on the world of technology and enhance the student’s digital capability ready for the next Key Stage in ICT, Enterprise and Computing. The units supplement the more traditional Office and ICT skills focused on in previous years blends the theoretical knowledge covered with practical activities. Homework that relates to the topics covered is set on Doddlelearn.co.uk online homework platform every two lessons.</w:t>
            </w:r>
          </w:p>
        </w:tc>
      </w:tr>
    </w:tbl>
    <w:p w14:paraId="53128261" w14:textId="77777777" w:rsidR="003F0DC6" w:rsidRPr="003F0DC6" w:rsidRDefault="003F0DC6">
      <w:pPr>
        <w:rPr>
          <w:rFonts w:ascii="Tahoma" w:hAnsi="Tahoma" w:cs="Tahoma"/>
        </w:rPr>
      </w:pPr>
    </w:p>
    <w:sectPr w:rsidR="003F0DC6" w:rsidRPr="003F0DC6" w:rsidSect="0041349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D1DF1"/>
    <w:multiLevelType w:val="hybridMultilevel"/>
    <w:tmpl w:val="D5000DD4"/>
    <w:lvl w:ilvl="0" w:tplc="DC16C562">
      <w:start w:val="1"/>
      <w:numFmt w:val="bullet"/>
      <w:lvlText w:val=""/>
      <w:lvlJc w:val="left"/>
      <w:pPr>
        <w:ind w:left="720" w:hanging="360"/>
      </w:pPr>
      <w:rPr>
        <w:rFonts w:ascii="Symbol" w:hAnsi="Symbol" w:hint="default"/>
      </w:rPr>
    </w:lvl>
    <w:lvl w:ilvl="1" w:tplc="C02037F2">
      <w:start w:val="1"/>
      <w:numFmt w:val="bullet"/>
      <w:lvlText w:val="o"/>
      <w:lvlJc w:val="left"/>
      <w:pPr>
        <w:ind w:left="1440" w:hanging="360"/>
      </w:pPr>
      <w:rPr>
        <w:rFonts w:ascii="Courier New" w:hAnsi="Courier New" w:hint="default"/>
      </w:rPr>
    </w:lvl>
    <w:lvl w:ilvl="2" w:tplc="C5840ED8">
      <w:start w:val="1"/>
      <w:numFmt w:val="bullet"/>
      <w:lvlText w:val=""/>
      <w:lvlJc w:val="left"/>
      <w:pPr>
        <w:ind w:left="2160" w:hanging="360"/>
      </w:pPr>
      <w:rPr>
        <w:rFonts w:ascii="Wingdings" w:hAnsi="Wingdings" w:hint="default"/>
      </w:rPr>
    </w:lvl>
    <w:lvl w:ilvl="3" w:tplc="EA6CD644">
      <w:start w:val="1"/>
      <w:numFmt w:val="bullet"/>
      <w:lvlText w:val=""/>
      <w:lvlJc w:val="left"/>
      <w:pPr>
        <w:ind w:left="2880" w:hanging="360"/>
      </w:pPr>
      <w:rPr>
        <w:rFonts w:ascii="Symbol" w:hAnsi="Symbol" w:hint="default"/>
      </w:rPr>
    </w:lvl>
    <w:lvl w:ilvl="4" w:tplc="75F221CE">
      <w:start w:val="1"/>
      <w:numFmt w:val="bullet"/>
      <w:lvlText w:val="o"/>
      <w:lvlJc w:val="left"/>
      <w:pPr>
        <w:ind w:left="3600" w:hanging="360"/>
      </w:pPr>
      <w:rPr>
        <w:rFonts w:ascii="Courier New" w:hAnsi="Courier New" w:hint="default"/>
      </w:rPr>
    </w:lvl>
    <w:lvl w:ilvl="5" w:tplc="3C609258">
      <w:start w:val="1"/>
      <w:numFmt w:val="bullet"/>
      <w:lvlText w:val=""/>
      <w:lvlJc w:val="left"/>
      <w:pPr>
        <w:ind w:left="4320" w:hanging="360"/>
      </w:pPr>
      <w:rPr>
        <w:rFonts w:ascii="Wingdings" w:hAnsi="Wingdings" w:hint="default"/>
      </w:rPr>
    </w:lvl>
    <w:lvl w:ilvl="6" w:tplc="C5469840">
      <w:start w:val="1"/>
      <w:numFmt w:val="bullet"/>
      <w:lvlText w:val=""/>
      <w:lvlJc w:val="left"/>
      <w:pPr>
        <w:ind w:left="5040" w:hanging="360"/>
      </w:pPr>
      <w:rPr>
        <w:rFonts w:ascii="Symbol" w:hAnsi="Symbol" w:hint="default"/>
      </w:rPr>
    </w:lvl>
    <w:lvl w:ilvl="7" w:tplc="4A5E44D8">
      <w:start w:val="1"/>
      <w:numFmt w:val="bullet"/>
      <w:lvlText w:val="o"/>
      <w:lvlJc w:val="left"/>
      <w:pPr>
        <w:ind w:left="5760" w:hanging="360"/>
      </w:pPr>
      <w:rPr>
        <w:rFonts w:ascii="Courier New" w:hAnsi="Courier New" w:hint="default"/>
      </w:rPr>
    </w:lvl>
    <w:lvl w:ilvl="8" w:tplc="5E94ECC4">
      <w:start w:val="1"/>
      <w:numFmt w:val="bullet"/>
      <w:lvlText w:val=""/>
      <w:lvlJc w:val="left"/>
      <w:pPr>
        <w:ind w:left="6480" w:hanging="360"/>
      </w:pPr>
      <w:rPr>
        <w:rFonts w:ascii="Wingdings" w:hAnsi="Wingdings" w:hint="default"/>
      </w:rPr>
    </w:lvl>
  </w:abstractNum>
  <w:abstractNum w:abstractNumId="1" w15:restartNumberingAfterBreak="0">
    <w:nsid w:val="31F41590"/>
    <w:multiLevelType w:val="hybridMultilevel"/>
    <w:tmpl w:val="DA8254FC"/>
    <w:lvl w:ilvl="0" w:tplc="DB364E24">
      <w:start w:val="1"/>
      <w:numFmt w:val="bullet"/>
      <w:lvlText w:val=""/>
      <w:lvlJc w:val="left"/>
      <w:pPr>
        <w:ind w:left="720" w:hanging="360"/>
      </w:pPr>
      <w:rPr>
        <w:rFonts w:ascii="Symbol" w:hAnsi="Symbol" w:hint="default"/>
      </w:rPr>
    </w:lvl>
    <w:lvl w:ilvl="1" w:tplc="2DE41002">
      <w:start w:val="1"/>
      <w:numFmt w:val="bullet"/>
      <w:lvlText w:val="o"/>
      <w:lvlJc w:val="left"/>
      <w:pPr>
        <w:ind w:left="1440" w:hanging="360"/>
      </w:pPr>
      <w:rPr>
        <w:rFonts w:ascii="Courier New" w:hAnsi="Courier New" w:hint="default"/>
      </w:rPr>
    </w:lvl>
    <w:lvl w:ilvl="2" w:tplc="9CFE6984">
      <w:start w:val="1"/>
      <w:numFmt w:val="bullet"/>
      <w:lvlText w:val=""/>
      <w:lvlJc w:val="left"/>
      <w:pPr>
        <w:ind w:left="2160" w:hanging="360"/>
      </w:pPr>
      <w:rPr>
        <w:rFonts w:ascii="Wingdings" w:hAnsi="Wingdings" w:hint="default"/>
      </w:rPr>
    </w:lvl>
    <w:lvl w:ilvl="3" w:tplc="612097F0">
      <w:start w:val="1"/>
      <w:numFmt w:val="bullet"/>
      <w:lvlText w:val=""/>
      <w:lvlJc w:val="left"/>
      <w:pPr>
        <w:ind w:left="2880" w:hanging="360"/>
      </w:pPr>
      <w:rPr>
        <w:rFonts w:ascii="Symbol" w:hAnsi="Symbol" w:hint="default"/>
      </w:rPr>
    </w:lvl>
    <w:lvl w:ilvl="4" w:tplc="5A9ECEAC">
      <w:start w:val="1"/>
      <w:numFmt w:val="bullet"/>
      <w:lvlText w:val="o"/>
      <w:lvlJc w:val="left"/>
      <w:pPr>
        <w:ind w:left="3600" w:hanging="360"/>
      </w:pPr>
      <w:rPr>
        <w:rFonts w:ascii="Courier New" w:hAnsi="Courier New" w:hint="default"/>
      </w:rPr>
    </w:lvl>
    <w:lvl w:ilvl="5" w:tplc="223836A0">
      <w:start w:val="1"/>
      <w:numFmt w:val="bullet"/>
      <w:lvlText w:val=""/>
      <w:lvlJc w:val="left"/>
      <w:pPr>
        <w:ind w:left="4320" w:hanging="360"/>
      </w:pPr>
      <w:rPr>
        <w:rFonts w:ascii="Wingdings" w:hAnsi="Wingdings" w:hint="default"/>
      </w:rPr>
    </w:lvl>
    <w:lvl w:ilvl="6" w:tplc="1F1252FC">
      <w:start w:val="1"/>
      <w:numFmt w:val="bullet"/>
      <w:lvlText w:val=""/>
      <w:lvlJc w:val="left"/>
      <w:pPr>
        <w:ind w:left="5040" w:hanging="360"/>
      </w:pPr>
      <w:rPr>
        <w:rFonts w:ascii="Symbol" w:hAnsi="Symbol" w:hint="default"/>
      </w:rPr>
    </w:lvl>
    <w:lvl w:ilvl="7" w:tplc="0706C2E0">
      <w:start w:val="1"/>
      <w:numFmt w:val="bullet"/>
      <w:lvlText w:val="o"/>
      <w:lvlJc w:val="left"/>
      <w:pPr>
        <w:ind w:left="5760" w:hanging="360"/>
      </w:pPr>
      <w:rPr>
        <w:rFonts w:ascii="Courier New" w:hAnsi="Courier New" w:hint="default"/>
      </w:rPr>
    </w:lvl>
    <w:lvl w:ilvl="8" w:tplc="B532BBC8">
      <w:start w:val="1"/>
      <w:numFmt w:val="bullet"/>
      <w:lvlText w:val=""/>
      <w:lvlJc w:val="left"/>
      <w:pPr>
        <w:ind w:left="6480" w:hanging="360"/>
      </w:pPr>
      <w:rPr>
        <w:rFonts w:ascii="Wingdings" w:hAnsi="Wingdings" w:hint="default"/>
      </w:rPr>
    </w:lvl>
  </w:abstractNum>
  <w:abstractNum w:abstractNumId="2" w15:restartNumberingAfterBreak="0">
    <w:nsid w:val="38277FF3"/>
    <w:multiLevelType w:val="hybridMultilevel"/>
    <w:tmpl w:val="B7ACC134"/>
    <w:lvl w:ilvl="0" w:tplc="69627344">
      <w:start w:val="1"/>
      <w:numFmt w:val="bullet"/>
      <w:lvlText w:val=""/>
      <w:lvlJc w:val="left"/>
      <w:pPr>
        <w:ind w:left="720" w:hanging="360"/>
      </w:pPr>
      <w:rPr>
        <w:rFonts w:ascii="Symbol" w:hAnsi="Symbol" w:hint="default"/>
      </w:rPr>
    </w:lvl>
    <w:lvl w:ilvl="1" w:tplc="5686E6CA">
      <w:start w:val="1"/>
      <w:numFmt w:val="bullet"/>
      <w:lvlText w:val="o"/>
      <w:lvlJc w:val="left"/>
      <w:pPr>
        <w:ind w:left="1440" w:hanging="360"/>
      </w:pPr>
      <w:rPr>
        <w:rFonts w:ascii="Courier New" w:hAnsi="Courier New" w:hint="default"/>
      </w:rPr>
    </w:lvl>
    <w:lvl w:ilvl="2" w:tplc="7B7005D6">
      <w:start w:val="1"/>
      <w:numFmt w:val="bullet"/>
      <w:lvlText w:val=""/>
      <w:lvlJc w:val="left"/>
      <w:pPr>
        <w:ind w:left="2160" w:hanging="360"/>
      </w:pPr>
      <w:rPr>
        <w:rFonts w:ascii="Wingdings" w:hAnsi="Wingdings" w:hint="default"/>
      </w:rPr>
    </w:lvl>
    <w:lvl w:ilvl="3" w:tplc="5D20F97C">
      <w:start w:val="1"/>
      <w:numFmt w:val="bullet"/>
      <w:lvlText w:val=""/>
      <w:lvlJc w:val="left"/>
      <w:pPr>
        <w:ind w:left="2880" w:hanging="360"/>
      </w:pPr>
      <w:rPr>
        <w:rFonts w:ascii="Symbol" w:hAnsi="Symbol" w:hint="default"/>
      </w:rPr>
    </w:lvl>
    <w:lvl w:ilvl="4" w:tplc="B2365BD0">
      <w:start w:val="1"/>
      <w:numFmt w:val="bullet"/>
      <w:lvlText w:val="o"/>
      <w:lvlJc w:val="left"/>
      <w:pPr>
        <w:ind w:left="3600" w:hanging="360"/>
      </w:pPr>
      <w:rPr>
        <w:rFonts w:ascii="Courier New" w:hAnsi="Courier New" w:hint="default"/>
      </w:rPr>
    </w:lvl>
    <w:lvl w:ilvl="5" w:tplc="D6AE49BE">
      <w:start w:val="1"/>
      <w:numFmt w:val="bullet"/>
      <w:lvlText w:val=""/>
      <w:lvlJc w:val="left"/>
      <w:pPr>
        <w:ind w:left="4320" w:hanging="360"/>
      </w:pPr>
      <w:rPr>
        <w:rFonts w:ascii="Wingdings" w:hAnsi="Wingdings" w:hint="default"/>
      </w:rPr>
    </w:lvl>
    <w:lvl w:ilvl="6" w:tplc="69903DE2">
      <w:start w:val="1"/>
      <w:numFmt w:val="bullet"/>
      <w:lvlText w:val=""/>
      <w:lvlJc w:val="left"/>
      <w:pPr>
        <w:ind w:left="5040" w:hanging="360"/>
      </w:pPr>
      <w:rPr>
        <w:rFonts w:ascii="Symbol" w:hAnsi="Symbol" w:hint="default"/>
      </w:rPr>
    </w:lvl>
    <w:lvl w:ilvl="7" w:tplc="536CE008">
      <w:start w:val="1"/>
      <w:numFmt w:val="bullet"/>
      <w:lvlText w:val="o"/>
      <w:lvlJc w:val="left"/>
      <w:pPr>
        <w:ind w:left="5760" w:hanging="360"/>
      </w:pPr>
      <w:rPr>
        <w:rFonts w:ascii="Courier New" w:hAnsi="Courier New" w:hint="default"/>
      </w:rPr>
    </w:lvl>
    <w:lvl w:ilvl="8" w:tplc="15ACE492">
      <w:start w:val="1"/>
      <w:numFmt w:val="bullet"/>
      <w:lvlText w:val=""/>
      <w:lvlJc w:val="left"/>
      <w:pPr>
        <w:ind w:left="6480" w:hanging="360"/>
      </w:pPr>
      <w:rPr>
        <w:rFonts w:ascii="Wingdings" w:hAnsi="Wingdings" w:hint="default"/>
      </w:rPr>
    </w:lvl>
  </w:abstractNum>
  <w:abstractNum w:abstractNumId="3" w15:restartNumberingAfterBreak="0">
    <w:nsid w:val="51F270C0"/>
    <w:multiLevelType w:val="hybridMultilevel"/>
    <w:tmpl w:val="8ECE0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C6"/>
    <w:rsid w:val="003F0DC6"/>
    <w:rsid w:val="00413497"/>
    <w:rsid w:val="004D3DBD"/>
    <w:rsid w:val="00506591"/>
    <w:rsid w:val="00560C81"/>
    <w:rsid w:val="00602D03"/>
    <w:rsid w:val="008A74F0"/>
    <w:rsid w:val="009D1C49"/>
    <w:rsid w:val="00B67415"/>
    <w:rsid w:val="00C76FCB"/>
    <w:rsid w:val="0362C2B8"/>
    <w:rsid w:val="10AF8AB5"/>
    <w:rsid w:val="140D725F"/>
    <w:rsid w:val="18D93B35"/>
    <w:rsid w:val="1BF28CEA"/>
    <w:rsid w:val="2EA440F5"/>
    <w:rsid w:val="3709D15C"/>
    <w:rsid w:val="37350912"/>
    <w:rsid w:val="39C30A8E"/>
    <w:rsid w:val="3C7692AA"/>
    <w:rsid w:val="426249B5"/>
    <w:rsid w:val="45A375B9"/>
    <w:rsid w:val="6AB9B2EE"/>
    <w:rsid w:val="6BC9E1B6"/>
    <w:rsid w:val="7AC5F33F"/>
    <w:rsid w:val="7EDB9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FB6B"/>
  <w15:chartTrackingRefBased/>
  <w15:docId w15:val="{59E74D2A-C52B-4C8A-A972-885EF4C8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9FF985E831F14AB564F09E3FFDF8D0" ma:contentTypeVersion="6" ma:contentTypeDescription="Create a new document." ma:contentTypeScope="" ma:versionID="bdbf1175156e3100634b2d6da9d3e811">
  <xsd:schema xmlns:xsd="http://www.w3.org/2001/XMLSchema" xmlns:xs="http://www.w3.org/2001/XMLSchema" xmlns:p="http://schemas.microsoft.com/office/2006/metadata/properties" xmlns:ns2="ec36fff7-63ed-43ef-9e4f-2d37d750b7db" targetNamespace="http://schemas.microsoft.com/office/2006/metadata/properties" ma:root="true" ma:fieldsID="bc491750bc007a655445fe9b9b2c2984" ns2:_="">
    <xsd:import namespace="ec36fff7-63ed-43ef-9e4f-2d37d750b7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6fff7-63ed-43ef-9e4f-2d37d750b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DFADE3-694B-4171-A5FC-DCD9C87D72C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ec36fff7-63ed-43ef-9e4f-2d37d750b7db"/>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1E66EB7-B575-4275-894E-EDE957C5EE0E}">
  <ds:schemaRefs>
    <ds:schemaRef ds:uri="http://schemas.microsoft.com/sharepoint/v3/contenttype/forms"/>
  </ds:schemaRefs>
</ds:datastoreItem>
</file>

<file path=customXml/itemProps3.xml><?xml version="1.0" encoding="utf-8"?>
<ds:datastoreItem xmlns:ds="http://schemas.openxmlformats.org/officeDocument/2006/customXml" ds:itemID="{E37D38F1-E0E8-490C-850D-5085095BF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6fff7-63ed-43ef-9e4f-2d37d750b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1207</Words>
  <Characters>6883</Characters>
  <Application>Microsoft Office Word</Application>
  <DocSecurity>0</DocSecurity>
  <Lines>57</Lines>
  <Paragraphs>16</Paragraphs>
  <ScaleCrop>false</ScaleCrop>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Paula</dc:creator>
  <cp:keywords/>
  <dc:description/>
  <cp:lastModifiedBy>WALL, Paula</cp:lastModifiedBy>
  <cp:revision>23</cp:revision>
  <dcterms:created xsi:type="dcterms:W3CDTF">2019-07-03T19:55:00Z</dcterms:created>
  <dcterms:modified xsi:type="dcterms:W3CDTF">2019-10-22T14:41:00Z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0x0101005D9FF985E831F14AB564F09E3FFDF8D0</vt:lpwstr>
  </property>
  <property fmtid="{D5CDD505-2E9C-101B-9397-08002B2CF9AE}" pid="3" name="Order">
    <vt:r8>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