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2B" w:rsidRDefault="00BA632B" w:rsidP="00BA632B">
      <w:pPr>
        <w:jc w:val="both"/>
      </w:pPr>
    </w:p>
    <w:p w:rsidR="00BA632B" w:rsidRDefault="00BA632B" w:rsidP="00BA632B">
      <w:pPr>
        <w:jc w:val="both"/>
      </w:pPr>
      <w:r>
        <w:t xml:space="preserve">We continually monitor and assess our careers programme to check we are meeting the individual needs of our students and working to the aims set out in our careers strategy and analysing our destination data is a useful tool.  </w:t>
      </w:r>
    </w:p>
    <w:p w:rsidR="00BA632B" w:rsidRDefault="00BA632B" w:rsidP="00BA632B">
      <w:pPr>
        <w:jc w:val="both"/>
      </w:pPr>
      <w:r>
        <w:t>Not only can we see where our students are progressing to after they leave WLD but also we can measure impact from the experiences and opportunities offered throughout their time with us so then we can evaluate our programme and use it to inform future planning.</w:t>
      </w:r>
    </w:p>
    <w:p w:rsidR="00BA632B" w:rsidRDefault="00BA632B" w:rsidP="00BA632B">
      <w:pPr>
        <w:jc w:val="both"/>
      </w:pPr>
      <w:r>
        <w:t>Here is a snap shot of what we have found…</w:t>
      </w:r>
    </w:p>
    <w:p w:rsidR="002104C5" w:rsidRDefault="00BA632B">
      <w:r>
        <w:rPr>
          <w:noProof/>
          <w:lang w:eastAsia="en-GB"/>
        </w:rPr>
        <w:drawing>
          <wp:inline distT="0" distB="0" distL="0" distR="0" wp14:anchorId="0F9BF1F7" wp14:editId="6C9E5177">
            <wp:extent cx="5783580" cy="281940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BA632B">
        <w:rPr>
          <w:noProof/>
          <w:lang w:eastAsia="en-GB"/>
        </w:rPr>
        <w:t xml:space="preserve"> </w:t>
      </w:r>
      <w:r>
        <w:rPr>
          <w:noProof/>
          <w:lang w:eastAsia="en-GB"/>
        </w:rPr>
        <w:drawing>
          <wp:inline distT="0" distB="0" distL="0" distR="0" wp14:anchorId="5FB4F30C" wp14:editId="3BDD0421">
            <wp:extent cx="5798820" cy="3040380"/>
            <wp:effectExtent l="0" t="0" r="11430" b="7620"/>
            <wp:docPr id="1" name="Chart 1" descr="Chart type: Clustered Bar. 'Confirmed College/Training Provider' by 'Confirmed College/Training Provider'&#10;&#10;Description automatically generated">
              <a:extLst xmlns:a="http://schemas.openxmlformats.org/drawingml/2006/main">
                <a:ext uri="{FF2B5EF4-FFF2-40B4-BE49-F238E27FC236}">
                  <a16:creationId xmlns:a16="http://schemas.microsoft.com/office/drawing/2014/main" id="{85186402-84BD-4E96-99E7-C5D67717B0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04C5" w:rsidRDefault="003F0B7A">
      <w:r w:rsidRPr="007F2295">
        <w:rPr>
          <w:noProof/>
          <w:lang w:eastAsia="en-GB"/>
        </w:rPr>
        <w:lastRenderedPageBreak/>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182880</wp:posOffset>
                </wp:positionV>
                <wp:extent cx="5730240" cy="6248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624840"/>
                        </a:xfrm>
                        <a:prstGeom prst="rect">
                          <a:avLst/>
                        </a:prstGeom>
                        <a:solidFill>
                          <a:srgbClr val="FFFFFF"/>
                        </a:solidFill>
                        <a:ln w="9525">
                          <a:solidFill>
                            <a:srgbClr val="000000"/>
                          </a:solidFill>
                          <a:miter lim="800000"/>
                          <a:headEnd/>
                          <a:tailEnd/>
                        </a:ln>
                      </wps:spPr>
                      <wps:txbx>
                        <w:txbxContent>
                          <w:p w:rsidR="007F2295" w:rsidRDefault="007F2295">
                            <w:r>
                              <w:t xml:space="preserve">This graph allows us to see the progression of our students and it is great to see so many moving on to Level 3 qualifications. However it is worth noting that some specific courses require the student to start at L1 or L2 regardless of their GCSE results.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451.2pt;height:49.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hyIgIAAEY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">
                <v:textbox>
                  <w:txbxContent>
                    <w:p w:rsidR="007F2295" w:rsidRDefault="007F2295">
                      <w:r>
                        <w:t xml:space="preserve">This graph allows us to see the progression of our students and it is great to see so many moving on to Level 3 qualifications. However it is worth noting that some specific courses require the student to start at L1 or L2 regardless of their GCSE results.  </w:t>
                      </w:r>
                    </w:p>
                  </w:txbxContent>
                </v:textbox>
                <w10:wrap type="square" anchorx="margin"/>
              </v:shape>
            </w:pict>
          </mc:Fallback>
        </mc:AlternateContent>
      </w:r>
      <w:r w:rsidR="007F2295">
        <w:rPr>
          <w:noProof/>
          <w:lang w:eastAsia="en-GB"/>
        </w:rPr>
        <w:drawing>
          <wp:anchor distT="0" distB="0" distL="114300" distR="114300" simplePos="0" relativeHeight="251678720" behindDoc="0" locked="0" layoutInCell="1" allowOverlap="1">
            <wp:simplePos x="0" y="0"/>
            <wp:positionH relativeFrom="margin">
              <wp:align>right</wp:align>
            </wp:positionH>
            <wp:positionV relativeFrom="paragraph">
              <wp:posOffset>3177540</wp:posOffset>
            </wp:positionV>
            <wp:extent cx="5722620" cy="3512820"/>
            <wp:effectExtent l="0" t="0" r="11430" b="11430"/>
            <wp:wrapSquare wrapText="bothSides"/>
            <wp:docPr id="7" name="Chart 7" descr="Chart type: Clustered Bar. 'BTEC/Technical Subjects' by 'BTEC/Technical Subjects'&#10;&#10;Description automatically generated" title="BTEC and Technical Courses">
              <a:extLst xmlns:a="http://schemas.openxmlformats.org/drawingml/2006/main">
                <a:ext uri="{FF2B5EF4-FFF2-40B4-BE49-F238E27FC236}">
                  <a16:creationId xmlns:a16="http://schemas.microsoft.com/office/drawing/2014/main" id="{C34F9C74-5214-48E9-97CE-9761AFA1CA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A632B" w:rsidRPr="00BA632B">
        <w:rPr>
          <w:noProof/>
          <w:lang w:eastAsia="en-GB"/>
        </w:rPr>
        <w:t xml:space="preserve"> </w:t>
      </w:r>
      <w:bookmarkStart w:id="0" w:name="_GoBack"/>
      <w:r w:rsidR="007F2295">
        <w:rPr>
          <w:noProof/>
          <w:lang w:eastAsia="en-GB"/>
        </w:rPr>
        <w:drawing>
          <wp:inline distT="0" distB="0" distL="0" distR="0" wp14:anchorId="12F4ADB8" wp14:editId="4FB9156E">
            <wp:extent cx="5676900" cy="2270760"/>
            <wp:effectExtent l="0" t="0" r="0" b="15240"/>
            <wp:docPr id="9" name="Chart 9" descr="Chart type: Doughnut. 3 accounts for the majority of 'Level'.&#10;&#10;Description automatically generated">
              <a:extLst xmlns:a="http://schemas.openxmlformats.org/drawingml/2006/main">
                <a:ext uri="{FF2B5EF4-FFF2-40B4-BE49-F238E27FC236}">
                  <a16:creationId xmlns:a16="http://schemas.microsoft.com/office/drawing/2014/main" id="{AA29BA86-F9BC-4D83-907E-3A5A6F2F1A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r w:rsidR="007F2295">
        <w:rPr>
          <w:noProof/>
          <w:lang w:eastAsia="en-GB"/>
        </w:rPr>
        <w:t xml:space="preserve"> </w:t>
      </w:r>
      <w:r w:rsidR="002104C5">
        <w:br w:type="page"/>
      </w:r>
    </w:p>
    <w:p w:rsidR="00EC39B5" w:rsidRDefault="00945A6C">
      <w:r>
        <w:rPr>
          <w:noProof/>
          <w:lang w:eastAsia="en-GB"/>
        </w:rPr>
        <w:lastRenderedPageBreak/>
        <w:drawing>
          <wp:anchor distT="0" distB="0" distL="114300" distR="114300" simplePos="0" relativeHeight="251671552" behindDoc="1" locked="0" layoutInCell="1" allowOverlap="1" wp14:anchorId="4461F207" wp14:editId="7C8EC6CA">
            <wp:simplePos x="0" y="0"/>
            <wp:positionH relativeFrom="margin">
              <wp:posOffset>784860</wp:posOffset>
            </wp:positionH>
            <wp:positionV relativeFrom="paragraph">
              <wp:posOffset>2819400</wp:posOffset>
            </wp:positionV>
            <wp:extent cx="4373880" cy="2499360"/>
            <wp:effectExtent l="0" t="0" r="7620" b="15240"/>
            <wp:wrapTight wrapText="bothSides">
              <wp:wrapPolygon edited="0">
                <wp:start x="0" y="0"/>
                <wp:lineTo x="0" y="21567"/>
                <wp:lineTo x="21544" y="21567"/>
                <wp:lineTo x="21544"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F2295" w:rsidRPr="007F2295">
        <w:rPr>
          <w:noProof/>
          <w:lang w:eastAsia="en-GB"/>
        </w:rPr>
        <w:t xml:space="preserve"> </w:t>
      </w:r>
      <w:r w:rsidR="007F2295">
        <w:rPr>
          <w:noProof/>
          <w:lang w:eastAsia="en-GB"/>
        </w:rPr>
        <w:drawing>
          <wp:anchor distT="0" distB="0" distL="114300" distR="114300" simplePos="0" relativeHeight="251675648" behindDoc="0" locked="0" layoutInCell="1" allowOverlap="1" wp14:anchorId="1E5381B5" wp14:editId="04A3B507">
            <wp:simplePos x="0" y="0"/>
            <wp:positionH relativeFrom="page">
              <wp:posOffset>144780</wp:posOffset>
            </wp:positionH>
            <wp:positionV relativeFrom="paragraph">
              <wp:posOffset>281940</wp:posOffset>
            </wp:positionV>
            <wp:extent cx="3512820" cy="2415540"/>
            <wp:effectExtent l="0" t="0" r="1143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7F2295">
        <w:rPr>
          <w:noProof/>
          <w:lang w:eastAsia="en-GB"/>
        </w:rPr>
        <w:t xml:space="preserve"> </w:t>
      </w:r>
      <w:r w:rsidR="007F2295">
        <w:rPr>
          <w:noProof/>
          <w:lang w:eastAsia="en-GB"/>
        </w:rPr>
        <w:drawing>
          <wp:anchor distT="0" distB="0" distL="114300" distR="114300" simplePos="0" relativeHeight="251677696" behindDoc="0" locked="0" layoutInCell="1" allowOverlap="1" wp14:anchorId="7B6A87E8" wp14:editId="40ECD494">
            <wp:simplePos x="0" y="0"/>
            <wp:positionH relativeFrom="column">
              <wp:posOffset>2804160</wp:posOffset>
            </wp:positionH>
            <wp:positionV relativeFrom="paragraph">
              <wp:posOffset>281940</wp:posOffset>
            </wp:positionV>
            <wp:extent cx="3710940" cy="2377440"/>
            <wp:effectExtent l="0" t="0" r="3810" b="381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7F2295">
        <w:rPr>
          <w:noProof/>
          <w:lang w:eastAsia="en-GB"/>
        </w:rPr>
        <w:t xml:space="preserve"> </w:t>
      </w:r>
    </w:p>
    <w:sectPr w:rsidR="00EC39B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23" w:rsidRDefault="00E63C23" w:rsidP="00E63C23">
      <w:pPr>
        <w:spacing w:after="0" w:line="240" w:lineRule="auto"/>
      </w:pPr>
      <w:r>
        <w:separator/>
      </w:r>
    </w:p>
  </w:endnote>
  <w:endnote w:type="continuationSeparator" w:id="0">
    <w:p w:rsidR="00E63C23" w:rsidRDefault="00E63C23" w:rsidP="00E6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23" w:rsidRDefault="00E63C23" w:rsidP="00E63C23">
      <w:pPr>
        <w:spacing w:after="0" w:line="240" w:lineRule="auto"/>
      </w:pPr>
      <w:r>
        <w:separator/>
      </w:r>
    </w:p>
  </w:footnote>
  <w:footnote w:type="continuationSeparator" w:id="0">
    <w:p w:rsidR="00E63C23" w:rsidRDefault="00E63C23" w:rsidP="00E6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23" w:rsidRPr="00E63C23" w:rsidRDefault="000978FE" w:rsidP="00BA632B">
    <w:pPr>
      <w:pStyle w:val="Header"/>
      <w:ind w:firstLine="2160"/>
      <w:rPr>
        <w:sz w:val="28"/>
      </w:rPr>
    </w:pPr>
    <w:r w:rsidRPr="000978FE">
      <w:rPr>
        <w:noProof/>
        <w:sz w:val="28"/>
        <w:lang w:eastAsia="en-GB"/>
      </w:rPr>
      <w:drawing>
        <wp:anchor distT="0" distB="0" distL="114300" distR="114300" simplePos="0" relativeHeight="251658240" behindDoc="1" locked="0" layoutInCell="1" allowOverlap="1">
          <wp:simplePos x="0" y="0"/>
          <wp:positionH relativeFrom="column">
            <wp:posOffset>-830580</wp:posOffset>
          </wp:positionH>
          <wp:positionV relativeFrom="paragraph">
            <wp:posOffset>-342900</wp:posOffset>
          </wp:positionV>
          <wp:extent cx="3002280" cy="809625"/>
          <wp:effectExtent l="0" t="0" r="7620" b="9525"/>
          <wp:wrapTopAndBottom/>
          <wp:docPr id="3" name="Picture 3" descr="\\storage\royalk$\Profile\Desktop\walton-le-dal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royalk$\Profile\Desktop\walton-le-dale-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32B">
      <w:rPr>
        <w:sz w:val="28"/>
      </w:rPr>
      <w:t xml:space="preserve">  </w:t>
    </w:r>
    <w:r>
      <w:rPr>
        <w:sz w:val="28"/>
      </w:rPr>
      <w:t>Our Post 16</w:t>
    </w:r>
    <w:r w:rsidR="00E63C23" w:rsidRPr="00E63C23">
      <w:rPr>
        <w:sz w:val="28"/>
      </w:rPr>
      <w:t xml:space="preserve"> Destination Data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9C"/>
    <w:rsid w:val="00046CD8"/>
    <w:rsid w:val="000978FE"/>
    <w:rsid w:val="001A0450"/>
    <w:rsid w:val="002104C5"/>
    <w:rsid w:val="003500AE"/>
    <w:rsid w:val="00363F8F"/>
    <w:rsid w:val="003A000B"/>
    <w:rsid w:val="003F0B7A"/>
    <w:rsid w:val="005C0DF7"/>
    <w:rsid w:val="007F2295"/>
    <w:rsid w:val="00900DC2"/>
    <w:rsid w:val="00945A6C"/>
    <w:rsid w:val="00B91761"/>
    <w:rsid w:val="00BA632B"/>
    <w:rsid w:val="00CB3937"/>
    <w:rsid w:val="00CD41B4"/>
    <w:rsid w:val="00E32D9C"/>
    <w:rsid w:val="00E63C23"/>
    <w:rsid w:val="00E83462"/>
    <w:rsid w:val="00F91185"/>
    <w:rsid w:val="00FC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BE95"/>
  <w15:chartTrackingRefBased/>
  <w15:docId w15:val="{87D56C25-3FEB-4158-80E2-5D76D994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C23"/>
  </w:style>
  <w:style w:type="paragraph" w:styleId="Footer">
    <w:name w:val="footer"/>
    <w:basedOn w:val="Normal"/>
    <w:link w:val="FooterChar"/>
    <w:uiPriority w:val="99"/>
    <w:unhideWhenUsed/>
    <w:rsid w:val="00E63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53389">
      <w:bodyDiv w:val="1"/>
      <w:marLeft w:val="0"/>
      <w:marRight w:val="0"/>
      <w:marTop w:val="0"/>
      <w:marBottom w:val="0"/>
      <w:divBdr>
        <w:top w:val="none" w:sz="0" w:space="0" w:color="auto"/>
        <w:left w:val="none" w:sz="0" w:space="0" w:color="auto"/>
        <w:bottom w:val="none" w:sz="0" w:space="0" w:color="auto"/>
        <w:right w:val="none" w:sz="0" w:space="0" w:color="auto"/>
      </w:divBdr>
      <w:divsChild>
        <w:div w:id="160002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[Tracking Data.xlsx]Sheet2!PivotTable5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Post</a:t>
            </a:r>
            <a:r>
              <a:rPr lang="en-GB" baseline="0"/>
              <a:t> 16 Pathways 2020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Sheet2!$B$3</c:f>
              <c:strCache>
                <c:ptCount val="1"/>
                <c:pt idx="0">
                  <c:v>Total</c:v>
                </c:pt>
              </c:strCache>
            </c:strRef>
          </c:tx>
          <c:spPr>
            <a:solidFill>
              <a:schemeClr val="accent1"/>
            </a:solidFill>
            <a:ln>
              <a:noFill/>
            </a:ln>
            <a:effectLst/>
          </c:spPr>
          <c:invertIfNegative val="0"/>
          <c:cat>
            <c:strRef>
              <c:f>Sheet2!$A$4:$A$8</c:f>
              <c:strCache>
                <c:ptCount val="5"/>
                <c:pt idx="0">
                  <c:v>A - Levels</c:v>
                </c:pt>
                <c:pt idx="1">
                  <c:v>A - Levels/BTEC</c:v>
                </c:pt>
                <c:pt idx="2">
                  <c:v>Apprenticeship </c:v>
                </c:pt>
                <c:pt idx="3">
                  <c:v>BTEC</c:v>
                </c:pt>
                <c:pt idx="4">
                  <c:v>T - Level</c:v>
                </c:pt>
              </c:strCache>
            </c:strRef>
          </c:cat>
          <c:val>
            <c:numRef>
              <c:f>Sheet2!$B$4:$B$8</c:f>
              <c:numCache>
                <c:formatCode>General</c:formatCode>
                <c:ptCount val="5"/>
                <c:pt idx="0">
                  <c:v>20</c:v>
                </c:pt>
                <c:pt idx="1">
                  <c:v>8</c:v>
                </c:pt>
                <c:pt idx="2">
                  <c:v>6</c:v>
                </c:pt>
                <c:pt idx="3">
                  <c:v>88</c:v>
                </c:pt>
                <c:pt idx="4">
                  <c:v>2</c:v>
                </c:pt>
              </c:numCache>
            </c:numRef>
          </c:val>
          <c:extLst>
            <c:ext xmlns:c16="http://schemas.microsoft.com/office/drawing/2014/chart" uri="{C3380CC4-5D6E-409C-BE32-E72D297353CC}">
              <c16:uniqueId val="{00000000-D705-473F-886D-85A1F60F9570}"/>
            </c:ext>
          </c:extLst>
        </c:ser>
        <c:dLbls>
          <c:showLegendKey val="0"/>
          <c:showVal val="0"/>
          <c:showCatName val="0"/>
          <c:showSerName val="0"/>
          <c:showPercent val="0"/>
          <c:showBubbleSize val="0"/>
        </c:dLbls>
        <c:gapWidth val="219"/>
        <c:overlap val="-27"/>
        <c:axId val="387623096"/>
        <c:axId val="387624408"/>
      </c:barChart>
      <c:catAx>
        <c:axId val="38762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24408"/>
        <c:crosses val="autoZero"/>
        <c:auto val="1"/>
        <c:lblAlgn val="ctr"/>
        <c:lblOffset val="100"/>
        <c:noMultiLvlLbl val="0"/>
      </c:catAx>
      <c:valAx>
        <c:axId val="387624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623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[Tracking Data (1).xlsx]Recommendation2!PivotTable2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Destinations</a:t>
            </a:r>
            <a:r>
              <a:rPr lang="en-US" baseline="0"/>
              <a:t> 2020</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bar"/>
        <c:grouping val="clustered"/>
        <c:varyColors val="0"/>
        <c:ser>
          <c:idx val="0"/>
          <c:order val="0"/>
          <c:tx>
            <c:strRef>
              <c:f>Recommendation2!$B$2</c:f>
              <c:strCache>
                <c:ptCount val="1"/>
                <c:pt idx="0">
                  <c:v>Total</c:v>
                </c:pt>
              </c:strCache>
            </c:strRef>
          </c:tx>
          <c:spPr>
            <a:solidFill>
              <a:schemeClr val="accent1"/>
            </a:solidFill>
            <a:ln>
              <a:noFill/>
            </a:ln>
            <a:effectLst/>
          </c:spPr>
          <c:invertIfNegative val="0"/>
          <c:cat>
            <c:strRef>
              <c:f>Recommendation2!$A$3:$A$12</c:f>
              <c:strCache>
                <c:ptCount val="9"/>
                <c:pt idx="0">
                  <c:v>Runshaw College </c:v>
                </c:pt>
                <c:pt idx="1">
                  <c:v>Cardinal Newman</c:v>
                </c:pt>
                <c:pt idx="2">
                  <c:v>Preston's College </c:v>
                </c:pt>
                <c:pt idx="3">
                  <c:v>Blackburn College</c:v>
                </c:pt>
                <c:pt idx="4">
                  <c:v>Myerscough College</c:v>
                </c:pt>
                <c:pt idx="5">
                  <c:v>Out of Area</c:v>
                </c:pt>
                <c:pt idx="6">
                  <c:v>T2000</c:v>
                </c:pt>
                <c:pt idx="7">
                  <c:v>Burnley College</c:v>
                </c:pt>
                <c:pt idx="8">
                  <c:v>Accrington and Rossendale College</c:v>
                </c:pt>
              </c:strCache>
            </c:strRef>
          </c:cat>
          <c:val>
            <c:numRef>
              <c:f>Recommendation2!$B$3:$B$12</c:f>
              <c:numCache>
                <c:formatCode>General</c:formatCode>
                <c:ptCount val="9"/>
                <c:pt idx="0">
                  <c:v>47</c:v>
                </c:pt>
                <c:pt idx="1">
                  <c:v>33</c:v>
                </c:pt>
                <c:pt idx="2">
                  <c:v>28</c:v>
                </c:pt>
                <c:pt idx="3">
                  <c:v>16</c:v>
                </c:pt>
                <c:pt idx="4">
                  <c:v>9</c:v>
                </c:pt>
                <c:pt idx="5">
                  <c:v>3</c:v>
                </c:pt>
                <c:pt idx="6">
                  <c:v>3</c:v>
                </c:pt>
                <c:pt idx="7">
                  <c:v>2</c:v>
                </c:pt>
                <c:pt idx="8">
                  <c:v>1</c:v>
                </c:pt>
              </c:numCache>
            </c:numRef>
          </c:val>
          <c:extLst>
            <c:ext xmlns:c16="http://schemas.microsoft.com/office/drawing/2014/chart" uri="{C3380CC4-5D6E-409C-BE32-E72D297353CC}">
              <c16:uniqueId val="{00000000-1819-42BF-92FB-2895235AC722}"/>
            </c:ext>
          </c:extLst>
        </c:ser>
        <c:dLbls>
          <c:showLegendKey val="0"/>
          <c:showVal val="0"/>
          <c:showCatName val="0"/>
          <c:showSerName val="0"/>
          <c:showPercent val="0"/>
          <c:showBubbleSize val="0"/>
        </c:dLbls>
        <c:gapWidth val="33"/>
        <c:overlap val="-30"/>
        <c:axId val="814219095"/>
        <c:axId val="814219511"/>
      </c:barChart>
      <c:catAx>
        <c:axId val="814219095"/>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College/Training Provider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4219511"/>
        <c:crosses val="autoZero"/>
        <c:auto val="1"/>
        <c:lblAlgn val="ctr"/>
        <c:lblOffset val="100"/>
        <c:noMultiLvlLbl val="0"/>
      </c:catAx>
      <c:valAx>
        <c:axId val="8142195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4219095"/>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[Tracking Data (4).xlsx]Recommendation2!PivotTable2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BTEC</a:t>
            </a:r>
            <a:r>
              <a:rPr lang="en-US" baseline="0"/>
              <a:t> and </a:t>
            </a:r>
            <a:r>
              <a:rPr lang="en-US"/>
              <a:t>Technical Courses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manualLayout>
          <c:layoutTarget val="inner"/>
          <c:xMode val="edge"/>
          <c:yMode val="edge"/>
          <c:x val="0.37248168498168494"/>
          <c:y val="0.13322557471264371"/>
          <c:w val="0.58960622710622712"/>
          <c:h val="0.78344731423658254"/>
        </c:manualLayout>
      </c:layout>
      <c:barChart>
        <c:barDir val="bar"/>
        <c:grouping val="clustered"/>
        <c:varyColors val="0"/>
        <c:ser>
          <c:idx val="0"/>
          <c:order val="0"/>
          <c:tx>
            <c:strRef>
              <c:f>Recommendation2!$B$2</c:f>
              <c:strCache>
                <c:ptCount val="1"/>
                <c:pt idx="0">
                  <c:v>Total</c:v>
                </c:pt>
              </c:strCache>
            </c:strRef>
          </c:tx>
          <c:spPr>
            <a:solidFill>
              <a:schemeClr val="accent1"/>
            </a:solidFill>
            <a:ln>
              <a:noFill/>
            </a:ln>
            <a:effectLst/>
          </c:spPr>
          <c:invertIfNegative val="0"/>
          <c:cat>
            <c:strRef>
              <c:f>Recommendation2!$A$3:$A$22</c:f>
              <c:strCache>
                <c:ptCount val="19"/>
                <c:pt idx="0">
                  <c:v>Engineering and Maintenance </c:v>
                </c:pt>
                <c:pt idx="1">
                  <c:v>Business</c:v>
                </c:pt>
                <c:pt idx="2">
                  <c:v>Computing, Technology and Digital</c:v>
                </c:pt>
                <c:pt idx="3">
                  <c:v>Childcare and education</c:v>
                </c:pt>
                <c:pt idx="4">
                  <c:v>Social Sciences</c:v>
                </c:pt>
                <c:pt idx="5">
                  <c:v>Health and Social</c:v>
                </c:pt>
                <c:pt idx="6">
                  <c:v>Sport</c:v>
                </c:pt>
                <c:pt idx="7">
                  <c:v>Construction</c:v>
                </c:pt>
                <c:pt idx="8">
                  <c:v>Performing Arts</c:v>
                </c:pt>
                <c:pt idx="9">
                  <c:v>Travel and Tourism </c:v>
                </c:pt>
                <c:pt idx="10">
                  <c:v>Catering and Hospitality </c:v>
                </c:pt>
                <c:pt idx="11">
                  <c:v>Uniformed Services</c:v>
                </c:pt>
                <c:pt idx="12">
                  <c:v>Creative media</c:v>
                </c:pt>
                <c:pt idx="13">
                  <c:v>Art and Design</c:v>
                </c:pt>
                <c:pt idx="14">
                  <c:v>Science</c:v>
                </c:pt>
                <c:pt idx="15">
                  <c:v>Hair and Beauty</c:v>
                </c:pt>
                <c:pt idx="16">
                  <c:v>Environment and Land</c:v>
                </c:pt>
                <c:pt idx="17">
                  <c:v>Animal Care</c:v>
                </c:pt>
                <c:pt idx="18">
                  <c:v>(blank)</c:v>
                </c:pt>
              </c:strCache>
            </c:strRef>
          </c:cat>
          <c:val>
            <c:numRef>
              <c:f>Recommendation2!$B$3:$B$22</c:f>
              <c:numCache>
                <c:formatCode>General</c:formatCode>
                <c:ptCount val="19"/>
                <c:pt idx="0">
                  <c:v>20</c:v>
                </c:pt>
                <c:pt idx="1">
                  <c:v>15</c:v>
                </c:pt>
                <c:pt idx="2">
                  <c:v>13</c:v>
                </c:pt>
                <c:pt idx="3">
                  <c:v>10</c:v>
                </c:pt>
                <c:pt idx="4">
                  <c:v>9</c:v>
                </c:pt>
                <c:pt idx="5">
                  <c:v>9</c:v>
                </c:pt>
                <c:pt idx="6">
                  <c:v>8</c:v>
                </c:pt>
                <c:pt idx="7">
                  <c:v>7</c:v>
                </c:pt>
                <c:pt idx="8">
                  <c:v>5</c:v>
                </c:pt>
                <c:pt idx="9">
                  <c:v>4</c:v>
                </c:pt>
                <c:pt idx="10">
                  <c:v>4</c:v>
                </c:pt>
                <c:pt idx="11">
                  <c:v>4</c:v>
                </c:pt>
                <c:pt idx="12">
                  <c:v>4</c:v>
                </c:pt>
                <c:pt idx="13">
                  <c:v>3</c:v>
                </c:pt>
                <c:pt idx="14">
                  <c:v>3</c:v>
                </c:pt>
                <c:pt idx="15">
                  <c:v>3</c:v>
                </c:pt>
                <c:pt idx="16">
                  <c:v>2</c:v>
                </c:pt>
                <c:pt idx="17">
                  <c:v>1</c:v>
                </c:pt>
              </c:numCache>
            </c:numRef>
          </c:val>
          <c:extLst>
            <c:ext xmlns:c16="http://schemas.microsoft.com/office/drawing/2014/chart" uri="{C3380CC4-5D6E-409C-BE32-E72D297353CC}">
              <c16:uniqueId val="{00000000-E15A-4E63-9B18-9B3BEB725410}"/>
            </c:ext>
          </c:extLst>
        </c:ser>
        <c:dLbls>
          <c:showLegendKey val="0"/>
          <c:showVal val="0"/>
          <c:showCatName val="0"/>
          <c:showSerName val="0"/>
          <c:showPercent val="0"/>
          <c:showBubbleSize val="0"/>
        </c:dLbls>
        <c:gapWidth val="33"/>
        <c:overlap val="-30"/>
        <c:axId val="1449695432"/>
        <c:axId val="1449696264"/>
      </c:barChart>
      <c:catAx>
        <c:axId val="1449695432"/>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BTEC/Technical</a:t>
                </a:r>
                <a:r>
                  <a:rPr lang="en-US" baseline="0"/>
                  <a:t> Courses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696264"/>
        <c:crosses val="autoZero"/>
        <c:auto val="1"/>
        <c:lblAlgn val="ctr"/>
        <c:lblOffset val="100"/>
        <c:noMultiLvlLbl val="0"/>
      </c:catAx>
      <c:valAx>
        <c:axId val="1449696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695432"/>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[Tracking Data (5).xlsx]Recommendation3!PivotTable3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rgbClr val="DD5A13"/>
                </a:solidFill>
              </a:rPr>
              <a:t>Qualification</a:t>
            </a:r>
            <a:r>
              <a:rPr lang="en-US" baseline="0">
                <a:solidFill>
                  <a:srgbClr val="DD5A13"/>
                </a:solidFill>
              </a:rPr>
              <a:t> </a:t>
            </a:r>
            <a:r>
              <a:rPr lang="en-US"/>
              <a:t>Level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D2D2D2"/>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ED7331"/>
          </a:solidFill>
          <a:ln w="19050">
            <a:solidFill>
              <a:schemeClr val="lt1"/>
            </a:solidFill>
          </a:ln>
          <a:effectLst/>
        </c:spPr>
      </c:pivotFmt>
      <c:pivotFmt>
        <c:idx val="2"/>
        <c:spPr>
          <a:solidFill>
            <a:srgbClr val="D2D2D2"/>
          </a:solidFill>
          <a:ln w="19050">
            <a:solidFill>
              <a:schemeClr val="lt1"/>
            </a:solidFill>
          </a:ln>
          <a:effectLst/>
        </c:spPr>
      </c:pivotFmt>
      <c:pivotFmt>
        <c:idx val="3"/>
        <c:spPr>
          <a:solidFill>
            <a:srgbClr val="D2D2D2"/>
          </a:solidFill>
          <a:ln w="19050">
            <a:solidFill>
              <a:schemeClr val="lt1"/>
            </a:solidFill>
          </a:ln>
          <a:effectLst/>
        </c:spPr>
      </c:pivotFmt>
      <c:pivotFmt>
        <c:idx val="4"/>
        <c:spPr>
          <a:solidFill>
            <a:srgbClr val="D2D2D2"/>
          </a:solidFill>
          <a:ln w="19050">
            <a:solidFill>
              <a:schemeClr val="lt1"/>
            </a:solidFill>
          </a:ln>
          <a:effectLst/>
        </c:spPr>
      </c:pivotFmt>
      <c:pivotFmt>
        <c:idx val="5"/>
        <c:spPr>
          <a:solidFill>
            <a:srgbClr val="D2D2D2"/>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ED7331"/>
          </a:solidFill>
          <a:ln w="19050">
            <a:solidFill>
              <a:schemeClr val="lt1"/>
            </a:solidFill>
          </a:ln>
          <a:effectLst/>
        </c:spPr>
      </c:pivotFmt>
      <c:pivotFmt>
        <c:idx val="7"/>
        <c:spPr>
          <a:solidFill>
            <a:srgbClr val="D2D2D2"/>
          </a:solidFill>
          <a:ln w="19050">
            <a:solidFill>
              <a:schemeClr val="lt1"/>
            </a:solidFill>
          </a:ln>
          <a:effectLst/>
        </c:spPr>
      </c:pivotFmt>
      <c:pivotFmt>
        <c:idx val="8"/>
        <c:spPr>
          <a:solidFill>
            <a:srgbClr val="D2D2D2"/>
          </a:solidFill>
          <a:ln w="19050">
            <a:solidFill>
              <a:schemeClr val="lt1"/>
            </a:solidFill>
          </a:ln>
          <a:effectLst/>
        </c:spPr>
      </c:pivotFmt>
      <c:pivotFmt>
        <c:idx val="9"/>
        <c:spPr>
          <a:solidFill>
            <a:srgbClr val="D2D2D2"/>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ED7331"/>
          </a:solidFill>
          <a:ln w="19050">
            <a:solidFill>
              <a:schemeClr val="lt1"/>
            </a:solidFill>
          </a:ln>
          <a:effectLst/>
        </c:spPr>
      </c:pivotFmt>
      <c:pivotFmt>
        <c:idx val="11"/>
        <c:spPr>
          <a:solidFill>
            <a:srgbClr val="D2D2D2"/>
          </a:solidFill>
          <a:ln w="19050">
            <a:solidFill>
              <a:schemeClr val="lt1"/>
            </a:solidFill>
          </a:ln>
          <a:effectLst/>
        </c:spPr>
      </c:pivotFmt>
      <c:pivotFmt>
        <c:idx val="12"/>
        <c:spPr>
          <a:solidFill>
            <a:srgbClr val="D2D2D2"/>
          </a:solidFill>
          <a:ln w="19050">
            <a:solidFill>
              <a:schemeClr val="lt1"/>
            </a:solidFill>
          </a:ln>
          <a:effectLst/>
        </c:spPr>
      </c:pivotFmt>
    </c:pivotFmts>
    <c:plotArea>
      <c:layout/>
      <c:doughnutChart>
        <c:varyColors val="1"/>
        <c:ser>
          <c:idx val="0"/>
          <c:order val="0"/>
          <c:tx>
            <c:strRef>
              <c:f>Recommendation3!$B$2</c:f>
              <c:strCache>
                <c:ptCount val="1"/>
                <c:pt idx="0">
                  <c:v>Total</c:v>
                </c:pt>
              </c:strCache>
            </c:strRef>
          </c:tx>
          <c:spPr>
            <a:solidFill>
              <a:srgbClr val="D2D2D2"/>
            </a:solidFill>
          </c:spPr>
          <c:dPt>
            <c:idx val="0"/>
            <c:bubble3D val="0"/>
            <c:spPr>
              <a:solidFill>
                <a:srgbClr val="ED7331"/>
              </a:solidFill>
              <a:ln w="19050">
                <a:solidFill>
                  <a:schemeClr val="lt1"/>
                </a:solidFill>
              </a:ln>
              <a:effectLst/>
            </c:spPr>
            <c:extLst>
              <c:ext xmlns:c16="http://schemas.microsoft.com/office/drawing/2014/chart" uri="{C3380CC4-5D6E-409C-BE32-E72D297353CC}">
                <c16:uniqueId val="{00000001-15FF-4987-8684-7B800456FC21}"/>
              </c:ext>
            </c:extLst>
          </c:dPt>
          <c:dPt>
            <c:idx val="1"/>
            <c:bubble3D val="0"/>
            <c:spPr>
              <a:solidFill>
                <a:srgbClr val="D2D2D2"/>
              </a:solidFill>
              <a:ln w="19050">
                <a:solidFill>
                  <a:schemeClr val="lt1"/>
                </a:solidFill>
              </a:ln>
              <a:effectLst/>
            </c:spPr>
            <c:extLst>
              <c:ext xmlns:c16="http://schemas.microsoft.com/office/drawing/2014/chart" uri="{C3380CC4-5D6E-409C-BE32-E72D297353CC}">
                <c16:uniqueId val="{00000003-15FF-4987-8684-7B800456FC21}"/>
              </c:ext>
            </c:extLst>
          </c:dPt>
          <c:dPt>
            <c:idx val="2"/>
            <c:bubble3D val="0"/>
            <c:spPr>
              <a:solidFill>
                <a:srgbClr val="D2D2D2"/>
              </a:solidFill>
              <a:ln w="19050">
                <a:solidFill>
                  <a:schemeClr val="lt1"/>
                </a:solidFill>
              </a:ln>
              <a:effectLst/>
            </c:spPr>
            <c:extLst>
              <c:ext xmlns:c16="http://schemas.microsoft.com/office/drawing/2014/chart" uri="{C3380CC4-5D6E-409C-BE32-E72D297353CC}">
                <c16:uniqueId val="{00000005-15FF-4987-8684-7B800456FC21}"/>
              </c:ext>
            </c:extLst>
          </c:dPt>
          <c:dPt>
            <c:idx val="3"/>
            <c:bubble3D val="0"/>
            <c:spPr>
              <a:solidFill>
                <a:srgbClr val="D2D2D2"/>
              </a:solidFill>
              <a:ln w="19050">
                <a:solidFill>
                  <a:schemeClr val="lt1"/>
                </a:solidFill>
              </a:ln>
              <a:effectLst/>
            </c:spPr>
            <c:extLst>
              <c:ext xmlns:c16="http://schemas.microsoft.com/office/drawing/2014/chart" uri="{C3380CC4-5D6E-409C-BE32-E72D297353CC}">
                <c16:uniqueId val="{00000007-15FF-4987-8684-7B800456FC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Recommendation3!$A$3:$A$6</c:f>
              <c:strCache>
                <c:ptCount val="3"/>
                <c:pt idx="0">
                  <c:v>3</c:v>
                </c:pt>
                <c:pt idx="1">
                  <c:v>2</c:v>
                </c:pt>
                <c:pt idx="2">
                  <c:v>1</c:v>
                </c:pt>
              </c:strCache>
            </c:strRef>
          </c:cat>
          <c:val>
            <c:numRef>
              <c:f>Recommendation3!$B$3:$B$6</c:f>
              <c:numCache>
                <c:formatCode>General</c:formatCode>
                <c:ptCount val="3"/>
                <c:pt idx="0">
                  <c:v>92</c:v>
                </c:pt>
                <c:pt idx="1">
                  <c:v>33</c:v>
                </c:pt>
                <c:pt idx="2">
                  <c:v>17</c:v>
                </c:pt>
              </c:numCache>
            </c:numRef>
          </c:val>
          <c:extLst>
            <c:ext xmlns:c16="http://schemas.microsoft.com/office/drawing/2014/chart" uri="{C3380CC4-5D6E-409C-BE32-E72D297353CC}">
              <c16:uniqueId val="{00000008-15FF-4987-8684-7B800456FC21}"/>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[Graphs.xlsx]Sheet4!PivotTable19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STEM</a:t>
            </a:r>
            <a:r>
              <a:rPr lang="en-GB" baseline="0"/>
              <a:t> Subjects by Gender</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Sheet4!$B$3</c:f>
              <c:strCache>
                <c:ptCount val="1"/>
                <c:pt idx="0">
                  <c:v>Total</c:v>
                </c:pt>
              </c:strCache>
            </c:strRef>
          </c:tx>
          <c:spPr>
            <a:solidFill>
              <a:schemeClr val="accent1"/>
            </a:solidFill>
            <a:ln>
              <a:noFill/>
            </a:ln>
            <a:effectLst/>
          </c:spPr>
          <c:invertIfNegative val="0"/>
          <c:cat>
            <c:strRef>
              <c:f>Sheet4!$A$4:$A$5</c:f>
              <c:strCache>
                <c:ptCount val="2"/>
                <c:pt idx="0">
                  <c:v>F</c:v>
                </c:pt>
                <c:pt idx="1">
                  <c:v>M</c:v>
                </c:pt>
              </c:strCache>
            </c:strRef>
          </c:cat>
          <c:val>
            <c:numRef>
              <c:f>Sheet4!$B$4:$B$5</c:f>
              <c:numCache>
                <c:formatCode>General</c:formatCode>
                <c:ptCount val="2"/>
                <c:pt idx="0">
                  <c:v>18</c:v>
                </c:pt>
                <c:pt idx="1">
                  <c:v>39</c:v>
                </c:pt>
              </c:numCache>
            </c:numRef>
          </c:val>
          <c:extLst>
            <c:ext xmlns:c16="http://schemas.microsoft.com/office/drawing/2014/chart" uri="{C3380CC4-5D6E-409C-BE32-E72D297353CC}">
              <c16:uniqueId val="{00000000-E37E-4B7D-A90D-B72064596250}"/>
            </c:ext>
          </c:extLst>
        </c:ser>
        <c:dLbls>
          <c:showLegendKey val="0"/>
          <c:showVal val="0"/>
          <c:showCatName val="0"/>
          <c:showSerName val="0"/>
          <c:showPercent val="0"/>
          <c:showBubbleSize val="0"/>
        </c:dLbls>
        <c:gapWidth val="219"/>
        <c:overlap val="-27"/>
        <c:axId val="304635488"/>
        <c:axId val="430741720"/>
      </c:barChart>
      <c:catAx>
        <c:axId val="30463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741720"/>
        <c:crosses val="autoZero"/>
        <c:auto val="1"/>
        <c:lblAlgn val="ctr"/>
        <c:lblOffset val="100"/>
        <c:noMultiLvlLbl val="0"/>
      </c:catAx>
      <c:valAx>
        <c:axId val="430741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463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[Graphs.xlsx]Sheet2!PivotTable5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Females</a:t>
            </a:r>
            <a:r>
              <a:rPr lang="en-GB" baseline="0"/>
              <a:t> Post 16 Pathways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Sheet2!$B$3</c:f>
              <c:strCache>
                <c:ptCount val="1"/>
                <c:pt idx="0">
                  <c:v>Total</c:v>
                </c:pt>
              </c:strCache>
            </c:strRef>
          </c:tx>
          <c:spPr>
            <a:solidFill>
              <a:schemeClr val="accent1"/>
            </a:solidFill>
            <a:ln>
              <a:noFill/>
            </a:ln>
            <a:effectLst/>
          </c:spPr>
          <c:invertIfNegative val="0"/>
          <c:cat>
            <c:strRef>
              <c:f>Sheet2!$A$4:$A$7</c:f>
              <c:strCache>
                <c:ptCount val="4"/>
                <c:pt idx="0">
                  <c:v>A - Levels</c:v>
                </c:pt>
                <c:pt idx="1">
                  <c:v>A - Levels/BTEC</c:v>
                </c:pt>
                <c:pt idx="2">
                  <c:v>Apprenticeship </c:v>
                </c:pt>
                <c:pt idx="3">
                  <c:v>BTEC</c:v>
                </c:pt>
              </c:strCache>
            </c:strRef>
          </c:cat>
          <c:val>
            <c:numRef>
              <c:f>Sheet2!$B$4:$B$7</c:f>
              <c:numCache>
                <c:formatCode>General</c:formatCode>
                <c:ptCount val="4"/>
                <c:pt idx="0">
                  <c:v>11</c:v>
                </c:pt>
                <c:pt idx="1">
                  <c:v>6</c:v>
                </c:pt>
                <c:pt idx="2">
                  <c:v>2</c:v>
                </c:pt>
                <c:pt idx="3">
                  <c:v>36</c:v>
                </c:pt>
              </c:numCache>
            </c:numRef>
          </c:val>
          <c:extLst>
            <c:ext xmlns:c16="http://schemas.microsoft.com/office/drawing/2014/chart" uri="{C3380CC4-5D6E-409C-BE32-E72D297353CC}">
              <c16:uniqueId val="{00000000-FB3C-495B-8456-2982EA4B3A2C}"/>
            </c:ext>
          </c:extLst>
        </c:ser>
        <c:dLbls>
          <c:showLegendKey val="0"/>
          <c:showVal val="0"/>
          <c:showCatName val="0"/>
          <c:showSerName val="0"/>
          <c:showPercent val="0"/>
          <c:showBubbleSize val="0"/>
        </c:dLbls>
        <c:gapWidth val="219"/>
        <c:overlap val="-27"/>
        <c:axId val="428694672"/>
        <c:axId val="428699920"/>
      </c:barChart>
      <c:catAx>
        <c:axId val="42869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699920"/>
        <c:crosses val="autoZero"/>
        <c:auto val="1"/>
        <c:lblAlgn val="ctr"/>
        <c:lblOffset val="100"/>
        <c:noMultiLvlLbl val="0"/>
      </c:catAx>
      <c:valAx>
        <c:axId val="42869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69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[Graphs.xlsx]Sheet3!PivotTable10</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Males</a:t>
            </a:r>
            <a:r>
              <a:rPr lang="en-GB" baseline="0"/>
              <a:t> Post 16 Pathways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cat>
            <c:strRef>
              <c:f>Sheet3!$A$4:$A$8</c:f>
              <c:strCache>
                <c:ptCount val="5"/>
                <c:pt idx="0">
                  <c:v>A - Levels</c:v>
                </c:pt>
                <c:pt idx="1">
                  <c:v>A - Levels/BTEC</c:v>
                </c:pt>
                <c:pt idx="2">
                  <c:v>Apprenticeship </c:v>
                </c:pt>
                <c:pt idx="3">
                  <c:v>BTEC</c:v>
                </c:pt>
                <c:pt idx="4">
                  <c:v>T - Level</c:v>
                </c:pt>
              </c:strCache>
            </c:strRef>
          </c:cat>
          <c:val>
            <c:numRef>
              <c:f>Sheet3!$B$4:$B$8</c:f>
              <c:numCache>
                <c:formatCode>General</c:formatCode>
                <c:ptCount val="5"/>
                <c:pt idx="0">
                  <c:v>11</c:v>
                </c:pt>
                <c:pt idx="1">
                  <c:v>2</c:v>
                </c:pt>
                <c:pt idx="2">
                  <c:v>4</c:v>
                </c:pt>
                <c:pt idx="3">
                  <c:v>60</c:v>
                </c:pt>
                <c:pt idx="4">
                  <c:v>2</c:v>
                </c:pt>
              </c:numCache>
            </c:numRef>
          </c:val>
          <c:extLst>
            <c:ext xmlns:c16="http://schemas.microsoft.com/office/drawing/2014/chart" uri="{C3380CC4-5D6E-409C-BE32-E72D297353CC}">
              <c16:uniqueId val="{00000000-348E-4973-90EE-4141596087E7}"/>
            </c:ext>
          </c:extLst>
        </c:ser>
        <c:dLbls>
          <c:showLegendKey val="0"/>
          <c:showVal val="0"/>
          <c:showCatName val="0"/>
          <c:showSerName val="0"/>
          <c:showPercent val="0"/>
          <c:showBubbleSize val="0"/>
        </c:dLbls>
        <c:gapWidth val="219"/>
        <c:overlap val="-27"/>
        <c:axId val="328185456"/>
        <c:axId val="328166672"/>
      </c:barChart>
      <c:catAx>
        <c:axId val="32818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166672"/>
        <c:crosses val="autoZero"/>
        <c:auto val="1"/>
        <c:lblAlgn val="ctr"/>
        <c:lblOffset val="100"/>
        <c:noMultiLvlLbl val="0"/>
      </c:catAx>
      <c:valAx>
        <c:axId val="32816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818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0.75539</cdr:x>
      <cdr:y>0.33671</cdr:y>
    </cdr:from>
    <cdr:to>
      <cdr:x>0.97935</cdr:x>
      <cdr:y>0.44653</cdr:y>
    </cdr:to>
    <cdr:sp macro="" textlink="">
      <cdr:nvSpPr>
        <cdr:cNvPr id="2" name="TextBox 1"/>
        <cdr:cNvSpPr txBox="1"/>
      </cdr:nvSpPr>
      <cdr:spPr>
        <a:xfrm xmlns:a="http://schemas.openxmlformats.org/drawingml/2006/main">
          <a:off x="3135630" y="887730"/>
          <a:ext cx="929640" cy="2895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0.62304</cdr:x>
      <cdr:y>0.40289</cdr:y>
    </cdr:from>
    <cdr:to>
      <cdr:x>0.86168</cdr:x>
      <cdr:y>0.50115</cdr:y>
    </cdr:to>
    <cdr:sp macro="" textlink="">
      <cdr:nvSpPr>
        <cdr:cNvPr id="5" name="TextBox 4"/>
        <cdr:cNvSpPr txBox="1"/>
      </cdr:nvSpPr>
      <cdr:spPr>
        <a:xfrm xmlns:a="http://schemas.openxmlformats.org/drawingml/2006/main">
          <a:off x="3536938" y="914873"/>
          <a:ext cx="1354736" cy="223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Level 3</a:t>
          </a:r>
        </a:p>
      </cdr:txBody>
    </cdr:sp>
  </cdr:relSizeAnchor>
  <cdr:relSizeAnchor xmlns:cdr="http://schemas.openxmlformats.org/drawingml/2006/chartDrawing">
    <cdr:from>
      <cdr:x>0.26358</cdr:x>
      <cdr:y>0.18715</cdr:y>
    </cdr:from>
    <cdr:to>
      <cdr:x>0.46735</cdr:x>
      <cdr:y>0.28253</cdr:y>
    </cdr:to>
    <cdr:sp macro="" textlink="">
      <cdr:nvSpPr>
        <cdr:cNvPr id="6" name="TextBox 5"/>
        <cdr:cNvSpPr txBox="1"/>
      </cdr:nvSpPr>
      <cdr:spPr>
        <a:xfrm xmlns:a="http://schemas.openxmlformats.org/drawingml/2006/main">
          <a:off x="1496318" y="424972"/>
          <a:ext cx="1156782" cy="216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                  Level 1</a:t>
          </a:r>
        </a:p>
      </cdr:txBody>
    </cdr:sp>
  </cdr:relSizeAnchor>
  <cdr:relSizeAnchor xmlns:cdr="http://schemas.openxmlformats.org/drawingml/2006/chartDrawing">
    <cdr:from>
      <cdr:x>0.21932</cdr:x>
      <cdr:y>0.49959</cdr:y>
    </cdr:from>
    <cdr:to>
      <cdr:x>0.41941</cdr:x>
      <cdr:y>0.60941</cdr:y>
    </cdr:to>
    <cdr:sp macro="" textlink="">
      <cdr:nvSpPr>
        <cdr:cNvPr id="7" name="TextBox 6"/>
        <cdr:cNvSpPr txBox="1"/>
      </cdr:nvSpPr>
      <cdr:spPr>
        <a:xfrm xmlns:a="http://schemas.openxmlformats.org/drawingml/2006/main">
          <a:off x="1245038" y="1134443"/>
          <a:ext cx="1135890" cy="2493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          Level 2</a:t>
          </a:r>
        </a:p>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Royal</dc:creator>
  <cp:keywords/>
  <dc:description/>
  <cp:lastModifiedBy>Miss K Royal</cp:lastModifiedBy>
  <cp:revision>19</cp:revision>
  <dcterms:created xsi:type="dcterms:W3CDTF">2020-09-28T13:00:00Z</dcterms:created>
  <dcterms:modified xsi:type="dcterms:W3CDTF">2020-09-30T14:13:00Z</dcterms:modified>
</cp:coreProperties>
</file>