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9.</w:t>
      </w:r>
      <w:r>
        <w:rPr>
          <w:b/>
        </w:rPr>
        <w:tab/>
      </w:r>
      <w:r>
        <w:rPr>
          <w:b/>
          <w:u w:val="single"/>
        </w:rPr>
        <w:t>EXCLUSION FROM SCHOOL</w:t>
      </w:r>
    </w:p>
    <w:p/>
    <w:p>
      <w:pPr>
        <w:rPr>
          <w:b/>
        </w:rPr>
      </w:pPr>
      <w:r>
        <w:rPr>
          <w:b/>
        </w:rPr>
        <w:t>FIXED PERIOD EXCLUSION</w:t>
      </w:r>
    </w:p>
    <w:p/>
    <w:p>
      <w:r>
        <w:t xml:space="preserve">A </w:t>
      </w:r>
      <w:smartTag w:uri="urn:schemas-microsoft-com:office:smarttags" w:element="PersonName">
        <w:r>
          <w:t>Head</w:t>
        </w:r>
      </w:smartTag>
      <w:r>
        <w:t xml:space="preserve"> teacher may exclude a student for up to 45 school days (</w:t>
      </w:r>
      <w:proofErr w:type="gramStart"/>
      <w:r>
        <w:t>9</w:t>
      </w:r>
      <w:proofErr w:type="gramEnd"/>
      <w:r>
        <w:t xml:space="preserve"> school weeks) in a school year.  For the first 5 days of any </w:t>
      </w:r>
      <w:proofErr w:type="gramStart"/>
      <w:r>
        <w:t>exclusion</w:t>
      </w:r>
      <w:proofErr w:type="gramEnd"/>
      <w:r>
        <w:t xml:space="preserve"> it is the parent(s)/carer(s) responsibility to provide care and supervision for their child.  After the 5</w:t>
      </w:r>
      <w:r>
        <w:rPr>
          <w:vertAlign w:val="superscript"/>
        </w:rPr>
        <w:t>th</w:t>
      </w:r>
      <w:r>
        <w:t xml:space="preserve"> </w:t>
      </w:r>
      <w:proofErr w:type="gramStart"/>
      <w:r>
        <w:t>day</w:t>
      </w:r>
      <w:proofErr w:type="gramEnd"/>
      <w:r>
        <w:t xml:space="preserve"> the school must make provision for the student.</w:t>
      </w:r>
    </w:p>
    <w:p/>
    <w:p>
      <w:r>
        <w:t xml:space="preserve">If the </w:t>
      </w:r>
      <w:proofErr w:type="gramStart"/>
      <w:r>
        <w:t>student  accumulates</w:t>
      </w:r>
      <w:proofErr w:type="gramEnd"/>
      <w:r>
        <w:t xml:space="preserve"> more than 5 days of exclusions the </w:t>
      </w:r>
      <w:smartTag w:uri="urn:schemas-microsoft-com:office:smarttags" w:element="PersonName">
        <w:r>
          <w:t>Head</w:t>
        </w:r>
      </w:smartTag>
      <w:r>
        <w:t xml:space="preserve"> Teacher will make arrangements for the student to attend a Pupil Referral Unit to continue their education until they return to Walton le Dale.</w:t>
      </w:r>
    </w:p>
    <w:p/>
    <w:p>
      <w:r>
        <w:t xml:space="preserve">Students on a fixed term exclusion will receive work to complete and return to the school for review. The offences listed below (not exhaustive) may lead to fixed-term exclusion. </w:t>
      </w:r>
    </w:p>
    <w:p>
      <w:r>
        <w:t>In exceptional circumstances, they may lead to permanent exclusion.</w:t>
      </w:r>
    </w:p>
    <w:p/>
    <w:p>
      <w:pPr>
        <w:numPr>
          <w:ilvl w:val="0"/>
          <w:numId w:val="1"/>
        </w:numPr>
      </w:pPr>
      <w:r>
        <w:t xml:space="preserve">Physical violence towards another student or member of staff (may include referral to Police) </w:t>
      </w:r>
    </w:p>
    <w:p>
      <w:pPr>
        <w:numPr>
          <w:ilvl w:val="0"/>
          <w:numId w:val="1"/>
        </w:numPr>
      </w:pPr>
      <w:r>
        <w:t>Derogatory and/or discriminatory verbal violence towards another student or member of staff</w:t>
      </w:r>
    </w:p>
    <w:p>
      <w:pPr>
        <w:numPr>
          <w:ilvl w:val="0"/>
          <w:numId w:val="1"/>
        </w:numPr>
      </w:pPr>
      <w:r>
        <w:t xml:space="preserve">Serious </w:t>
      </w:r>
      <w:smartTag w:uri="urn:schemas-microsoft-com:office:smarttags" w:element="place">
        <w:smartTag w:uri="urn:schemas-microsoft-com:office:smarttags" w:element="City">
          <w:r>
            <w:t>Defiance</w:t>
          </w:r>
        </w:smartTag>
      </w:smartTag>
    </w:p>
    <w:p>
      <w:pPr>
        <w:numPr>
          <w:ilvl w:val="0"/>
          <w:numId w:val="1"/>
        </w:numPr>
      </w:pPr>
      <w:r>
        <w:t>Racial/sexual/homophobic harassment</w:t>
      </w:r>
    </w:p>
    <w:p>
      <w:pPr>
        <w:numPr>
          <w:ilvl w:val="0"/>
          <w:numId w:val="1"/>
        </w:numPr>
      </w:pPr>
      <w:r>
        <w:t>Bullying</w:t>
      </w:r>
    </w:p>
    <w:p>
      <w:pPr>
        <w:numPr>
          <w:ilvl w:val="0"/>
          <w:numId w:val="1"/>
        </w:numPr>
      </w:pPr>
      <w:r>
        <w:t>Theft</w:t>
      </w:r>
    </w:p>
    <w:p>
      <w:pPr>
        <w:numPr>
          <w:ilvl w:val="0"/>
          <w:numId w:val="1"/>
        </w:numPr>
      </w:pPr>
      <w:r>
        <w:t>Drug/alcohol abuse or possession of drugs/alcohol or the use of illicit substances or materials (including pornography)</w:t>
      </w:r>
    </w:p>
    <w:p>
      <w:pPr>
        <w:numPr>
          <w:ilvl w:val="0"/>
          <w:numId w:val="1"/>
        </w:numPr>
      </w:pPr>
      <w:r>
        <w:t>Graffiti or property damage</w:t>
      </w:r>
    </w:p>
    <w:p>
      <w:pPr>
        <w:numPr>
          <w:ilvl w:val="0"/>
          <w:numId w:val="1"/>
        </w:numPr>
      </w:pPr>
      <w:r>
        <w:t>Persistent and wilful failure to abide by the Code of Conduct, especially with regard to disruptive or rude behaviour,</w:t>
      </w:r>
    </w:p>
    <w:p/>
    <w:p/>
    <w:p>
      <w:pPr>
        <w:rPr>
          <w:b/>
        </w:rPr>
      </w:pPr>
      <w:r>
        <w:rPr>
          <w:b/>
        </w:rPr>
        <w:t xml:space="preserve">PERMANENT EXCLUSION </w:t>
      </w:r>
    </w:p>
    <w:p/>
    <w:p>
      <w:r>
        <w:t xml:space="preserve">On rare occasions, the </w:t>
      </w:r>
      <w:smartTag w:uri="urn:schemas-microsoft-com:office:smarttags" w:element="PersonName">
        <w:r>
          <w:t>Head</w:t>
        </w:r>
      </w:smartTag>
      <w:r>
        <w:t xml:space="preserve"> teacher may permanently exclude a student from school.  The student’s parents will always be fully involved and given the opportunity to make representations. Any student involved with the supply or dealing of drugs will normally be sanctioned by exclusion, either fixed-term or permanent.</w:t>
      </w:r>
    </w:p>
    <w:p>
      <w:pPr>
        <w:rPr>
          <w:u w:val="single"/>
        </w:rPr>
      </w:pPr>
    </w:p>
    <w:p>
      <w:r>
        <w:t xml:space="preserve">The decision to exclude permanently is a serious one.  </w:t>
      </w:r>
      <w:proofErr w:type="gramStart"/>
      <w:r>
        <w:t>There are two main types of situation for which permanent exclusion may be considered.</w:t>
      </w:r>
      <w:proofErr w:type="gramEnd"/>
    </w:p>
    <w:p>
      <w:pPr>
        <w:ind w:left="360"/>
      </w:pPr>
    </w:p>
    <w:p>
      <w:pPr>
        <w:numPr>
          <w:ilvl w:val="0"/>
          <w:numId w:val="2"/>
        </w:numPr>
      </w:pPr>
      <w:r>
        <w:t xml:space="preserve">The first is a final, formal step in a concerted process for dealing with disciplinary offences following the use of a wide range of other strategies, including fixed-term exclusion, which </w:t>
      </w:r>
      <w:proofErr w:type="gramStart"/>
      <w:r>
        <w:t>have been used</w:t>
      </w:r>
      <w:proofErr w:type="gramEnd"/>
      <w:r>
        <w:t xml:space="preserve"> without success.  It is an acknowledgement that all available strategies have been exhausted and </w:t>
      </w:r>
      <w:proofErr w:type="gramStart"/>
      <w:r>
        <w:t>is used</w:t>
      </w:r>
      <w:proofErr w:type="gramEnd"/>
      <w:r>
        <w:t xml:space="preserve"> as a last resort.  This would include persistent and defiant misbehaviour, including bullying (which could include racist or homophobic bullying) or repeated possession and or use of an illegal drug on school premises.</w:t>
      </w:r>
    </w:p>
    <w:p/>
    <w:p>
      <w:pPr>
        <w:numPr>
          <w:ilvl w:val="0"/>
          <w:numId w:val="2"/>
        </w:numPr>
      </w:pPr>
      <w:r>
        <w:t xml:space="preserve">The second is where there are exceptional </w:t>
      </w:r>
      <w:proofErr w:type="gramStart"/>
      <w:r>
        <w:t>circumstances and it is not appropriate to implement other strategies</w:t>
      </w:r>
      <w:proofErr w:type="gramEnd"/>
      <w:r>
        <w:t xml:space="preserve"> and where it could be appropriate to permanently exclude a student for a first or ‘one off’ offence.  These might include:</w:t>
      </w:r>
    </w:p>
    <w:p/>
    <w:p>
      <w:pPr>
        <w:numPr>
          <w:ilvl w:val="0"/>
          <w:numId w:val="3"/>
        </w:numPr>
      </w:pPr>
      <w:r>
        <w:t>Serious actual or threatened violence against another student or a member of staff.</w:t>
      </w:r>
    </w:p>
    <w:p>
      <w:pPr>
        <w:numPr>
          <w:ilvl w:val="0"/>
          <w:numId w:val="3"/>
        </w:numPr>
      </w:pPr>
      <w:r>
        <w:t>Sexual abuse or assault</w:t>
      </w:r>
    </w:p>
    <w:p>
      <w:pPr>
        <w:numPr>
          <w:ilvl w:val="0"/>
          <w:numId w:val="3"/>
        </w:numPr>
      </w:pPr>
      <w:r>
        <w:t>Carrying a weapon</w:t>
      </w:r>
    </w:p>
    <w:p>
      <w:pPr>
        <w:numPr>
          <w:ilvl w:val="0"/>
          <w:numId w:val="3"/>
        </w:numPr>
      </w:pPr>
      <w:r>
        <w:lastRenderedPageBreak/>
        <w:t xml:space="preserve">Arson </w:t>
      </w:r>
    </w:p>
    <w:p/>
    <w:p/>
    <w:p>
      <w:r>
        <w:t xml:space="preserve">These instances are not exhaustive but indicate the severity of such offences and the fact that such behaviour seriously affects the discipline and </w:t>
      </w:r>
      <w:proofErr w:type="spellStart"/>
      <w:proofErr w:type="gramStart"/>
      <w:r>
        <w:t>well being</w:t>
      </w:r>
      <w:proofErr w:type="spellEnd"/>
      <w:proofErr w:type="gramEnd"/>
      <w:r>
        <w:t xml:space="preserve"> of the school.</w:t>
      </w:r>
    </w:p>
    <w:p/>
    <w:p>
      <w:pPr>
        <w:rPr>
          <w:b/>
        </w:rPr>
      </w:pPr>
    </w:p>
    <w:p>
      <w:pPr>
        <w:rPr>
          <w:b/>
          <w:u w:val="single"/>
        </w:rPr>
      </w:pPr>
      <w:r>
        <w:rPr>
          <w:b/>
          <w:u w:val="single"/>
        </w:rPr>
        <w:t>Exclusion protocol</w:t>
      </w:r>
    </w:p>
    <w:p>
      <w:r>
        <w:t xml:space="preserve">Exclusions </w:t>
      </w:r>
      <w:proofErr w:type="gramStart"/>
      <w:r>
        <w:t>will be conducted</w:t>
      </w:r>
      <w:proofErr w:type="gramEnd"/>
      <w:r>
        <w:t xml:space="preserve"> in accordance with the Department for education’s exclusion guidelines:</w:t>
      </w:r>
    </w:p>
    <w:p>
      <w:pPr>
        <w:rPr>
          <w:i/>
        </w:rPr>
      </w:pPr>
      <w:r>
        <w:rPr>
          <w:i/>
        </w:rPr>
        <w:t>Improving behaviour and attendance: guidance on exclusion from schools and Student Referral Units (2008)</w:t>
      </w:r>
    </w:p>
    <w:p>
      <w:pPr>
        <w:jc w:val="both"/>
      </w:pPr>
      <w:r>
        <w:rPr>
          <w:i/>
        </w:rPr>
        <w:t>(</w:t>
      </w:r>
      <w:hyperlink r:id="rId5" w:history="1">
        <w:r>
          <w:rPr>
            <w:rStyle w:val="Hyperlink"/>
          </w:rPr>
          <w:t>https://www.education.gov.uk/publications/eOrderingDownload/Exclusion%20%guidance202008.pdf</w:t>
        </w:r>
      </w:hyperlink>
    </w:p>
    <w:p>
      <w:pPr>
        <w:jc w:val="both"/>
      </w:pPr>
    </w:p>
    <w:p>
      <w:pPr>
        <w:jc w:val="both"/>
      </w:pPr>
    </w:p>
    <w:p>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1880"/>
    <w:multiLevelType w:val="hybridMultilevel"/>
    <w:tmpl w:val="E23A6A12"/>
    <w:lvl w:ilvl="0" w:tplc="0409000F">
      <w:start w:val="1"/>
      <w:numFmt w:val="decimal"/>
      <w:lvlText w:val="%1."/>
      <w:lvlJc w:val="left"/>
      <w:pPr>
        <w:tabs>
          <w:tab w:val="num" w:pos="720"/>
        </w:tabs>
        <w:ind w:left="720" w:hanging="360"/>
      </w:pPr>
      <w:rPr>
        <w:rFonts w:hint="default"/>
      </w:rPr>
    </w:lvl>
    <w:lvl w:ilvl="1" w:tplc="8F58B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865655"/>
    <w:multiLevelType w:val="hybridMultilevel"/>
    <w:tmpl w:val="6F9A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F29BF"/>
    <w:multiLevelType w:val="hybridMultilevel"/>
    <w:tmpl w:val="C31C9216"/>
    <w:lvl w:ilvl="0" w:tplc="4ED2583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9D8F994-6A3C-4E87-92D0-D9B2873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v.uk/publications/eOrderingDownload/Exclusion%20%25guidance20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2019-04-03T10:58:00Z</dcterms:created>
  <dcterms:modified xsi:type="dcterms:W3CDTF">2019-04-03T10:59:00Z</dcterms:modified>
</cp:coreProperties>
</file>