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14CF1745" w:rsidR="008C5092" w:rsidRPr="00FB749C" w:rsidRDefault="004A30DD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>
              <w:rPr>
                <w:rFonts w:asciiTheme="majorHAnsi" w:hAnsiTheme="majorHAnsi" w:cstheme="majorHAnsi"/>
                <w:sz w:val="48"/>
              </w:rPr>
              <w:t>Year 10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540037FF" w14:textId="2D54222E" w:rsidR="00A9066A" w:rsidRDefault="00A9066A" w:rsidP="00FB749C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>Subject:</w:t>
            </w:r>
            <w:r w:rsidR="00D70F07">
              <w:rPr>
                <w:rFonts w:asciiTheme="majorHAnsi" w:hAnsiTheme="majorHAnsi" w:cstheme="majorHAnsi"/>
                <w:b/>
                <w:sz w:val="28"/>
              </w:rPr>
              <w:t xml:space="preserve"> Health &amp; Social Care</w:t>
            </w:r>
          </w:p>
          <w:p w14:paraId="33B70C49" w14:textId="559F3FDB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D70F07">
              <w:rPr>
                <w:rFonts w:asciiTheme="majorHAnsi" w:hAnsiTheme="majorHAnsi" w:cstheme="majorHAnsi"/>
                <w:b/>
                <w:sz w:val="28"/>
              </w:rPr>
              <w:t>Human Lifespan Development</w:t>
            </w:r>
          </w:p>
          <w:p w14:paraId="2BCB5A8E" w14:textId="56EFD1C7" w:rsidR="00FB749C" w:rsidRPr="00FB749C" w:rsidRDefault="00FB749C" w:rsidP="004A30DD">
            <w:pPr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</w:t>
            </w:r>
            <w:r w:rsidR="00A9066A">
              <w:rPr>
                <w:rFonts w:asciiTheme="majorHAnsi" w:hAnsiTheme="majorHAnsi" w:cstheme="majorHAnsi"/>
                <w:sz w:val="28"/>
              </w:rPr>
              <w:t xml:space="preserve"> 1, </w:t>
            </w: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FB08D3" w:rsidRDefault="008C5092">
            <w:pPr>
              <w:rPr>
                <w:rFonts w:cstheme="minorHAnsi"/>
                <w:b/>
              </w:rPr>
            </w:pPr>
            <w:r w:rsidRPr="00FB08D3">
              <w:rPr>
                <w:rFonts w:cstheme="minorHAnsi"/>
                <w:b/>
              </w:rPr>
              <w:t>Overview of topic:</w:t>
            </w:r>
          </w:p>
          <w:p w14:paraId="54DCFC7B" w14:textId="7C399C2A" w:rsidR="00FB08D3" w:rsidRPr="002C2E99" w:rsidRDefault="002C2E99" w:rsidP="00FB08D3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7B7B7B" w:themeColor="accent3" w:themeShade="BF"/>
              </w:rPr>
            </w:pPr>
            <w:r w:rsidRPr="00FB08D3">
              <w:rPr>
                <w:rFonts w:cstheme="minorHAnsi"/>
                <w:color w:val="7B7B7B" w:themeColor="accent3" w:themeShade="BF"/>
              </w:rPr>
              <w:t xml:space="preserve">This half term students </w:t>
            </w:r>
            <w:r w:rsidR="00FB08D3" w:rsidRPr="00FB08D3">
              <w:rPr>
                <w:rFonts w:cstheme="minorHAnsi"/>
              </w:rPr>
              <w:t>will explore different aspects of growth and devel</w:t>
            </w:r>
            <w:r w:rsidR="00FB08D3">
              <w:rPr>
                <w:rFonts w:cstheme="minorHAnsi"/>
              </w:rPr>
              <w:t xml:space="preserve">opment and the factors that can </w:t>
            </w:r>
            <w:r w:rsidR="00FB08D3" w:rsidRPr="00FB08D3">
              <w:rPr>
                <w:rFonts w:cstheme="minorHAnsi"/>
              </w:rPr>
              <w:t>affect this across the life stages. They will explore the diff</w:t>
            </w:r>
            <w:r w:rsidR="00FB08D3">
              <w:rPr>
                <w:rFonts w:cstheme="minorHAnsi"/>
              </w:rPr>
              <w:t xml:space="preserve">erent events that can impact on </w:t>
            </w:r>
            <w:r w:rsidR="00FB08D3" w:rsidRPr="00FB08D3">
              <w:rPr>
                <w:rFonts w:cstheme="minorHAnsi"/>
              </w:rPr>
              <w:t>individuals’ physical, intellectual, emotiona</w:t>
            </w:r>
            <w:r w:rsidR="00FB08D3">
              <w:rPr>
                <w:rFonts w:cstheme="minorHAnsi"/>
              </w:rPr>
              <w:t>l and social (PIES) development.</w:t>
            </w:r>
          </w:p>
          <w:p w14:paraId="63508655" w14:textId="3360475C" w:rsidR="008C5092" w:rsidRPr="002C2E99" w:rsidRDefault="008C5092" w:rsidP="00FB08D3">
            <w:pPr>
              <w:rPr>
                <w:rFonts w:asciiTheme="majorHAnsi" w:hAnsiTheme="majorHAnsi" w:cstheme="majorHAnsi"/>
                <w:color w:val="7B7B7B" w:themeColor="accent3" w:themeShade="BF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  <w:b/>
              </w:rPr>
              <w:t>Key</w:t>
            </w:r>
            <w:r w:rsidRPr="00FB749C">
              <w:rPr>
                <w:rFonts w:asciiTheme="majorHAnsi" w:hAnsiTheme="majorHAnsi" w:cstheme="majorHAnsi"/>
              </w:rPr>
              <w:t xml:space="preserve"> </w:t>
            </w:r>
            <w:r w:rsidRPr="00FB749C">
              <w:rPr>
                <w:rFonts w:asciiTheme="majorHAnsi" w:hAnsiTheme="majorHAnsi" w:cstheme="majorHAnsi"/>
                <w:b/>
              </w:rPr>
              <w:t>knowledge:</w:t>
            </w:r>
          </w:p>
          <w:p w14:paraId="64161049" w14:textId="77777777" w:rsid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FB08D3">
              <w:rPr>
                <w:rFonts w:cstheme="minorHAnsi"/>
                <w:b/>
              </w:rPr>
              <w:t xml:space="preserve">Component 1 </w:t>
            </w:r>
          </w:p>
          <w:p w14:paraId="109E28D9" w14:textId="174C4595" w:rsidR="00FB08D3" w:rsidRP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FB08D3">
              <w:rPr>
                <w:rFonts w:cstheme="minorHAnsi"/>
                <w:b/>
                <w:bCs/>
              </w:rPr>
              <w:t>1 Human growth and development across life stages</w:t>
            </w:r>
          </w:p>
          <w:p w14:paraId="1E91C5B4" w14:textId="77777777" w:rsidR="00FB08D3" w:rsidRP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08D3">
              <w:rPr>
                <w:rFonts w:cstheme="minorHAnsi"/>
              </w:rPr>
              <w:t>Learners will explore different aspects of growth and development across the life stages</w:t>
            </w:r>
          </w:p>
          <w:p w14:paraId="439F6ABE" w14:textId="3D7BB256" w:rsidR="008C5092" w:rsidRDefault="00FB08D3" w:rsidP="00FB08D3">
            <w:pPr>
              <w:rPr>
                <w:rFonts w:cstheme="minorHAnsi"/>
              </w:rPr>
            </w:pPr>
            <w:proofErr w:type="gramStart"/>
            <w:r w:rsidRPr="00FB08D3">
              <w:rPr>
                <w:rFonts w:cstheme="minorHAnsi"/>
              </w:rPr>
              <w:t>using</w:t>
            </w:r>
            <w:proofErr w:type="gramEnd"/>
            <w:r w:rsidRPr="00FB08D3">
              <w:rPr>
                <w:rFonts w:cstheme="minorHAnsi"/>
              </w:rPr>
              <w:t xml:space="preserve"> the physical, intellectual, emotional and social (PIES) classification.</w:t>
            </w:r>
          </w:p>
          <w:p w14:paraId="760C0CCE" w14:textId="77777777" w:rsidR="00FB08D3" w:rsidRP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FB08D3">
              <w:rPr>
                <w:rFonts w:cstheme="minorHAnsi"/>
                <w:b/>
                <w:bCs/>
              </w:rPr>
              <w:t>A2 Factors affecting growth and development</w:t>
            </w:r>
          </w:p>
          <w:p w14:paraId="47542216" w14:textId="77777777" w:rsidR="00FB08D3" w:rsidRP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FB08D3">
              <w:rPr>
                <w:rFonts w:cstheme="minorHAnsi"/>
              </w:rPr>
              <w:t>Learners will explore the different factors that can affect an individual’s growth and</w:t>
            </w:r>
          </w:p>
          <w:p w14:paraId="01AC8B86" w14:textId="77777777" w:rsidR="00FB08D3" w:rsidRPr="00FB08D3" w:rsidRDefault="00FB08D3" w:rsidP="00FB08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FB08D3">
              <w:rPr>
                <w:rFonts w:cstheme="minorHAnsi"/>
              </w:rPr>
              <w:t>development</w:t>
            </w:r>
            <w:proofErr w:type="gramEnd"/>
            <w:r w:rsidRPr="00FB08D3">
              <w:rPr>
                <w:rFonts w:cstheme="minorHAnsi"/>
              </w:rPr>
              <w:t>. Different factors will impact on different aspects of growth and</w:t>
            </w:r>
          </w:p>
          <w:p w14:paraId="4D7563B5" w14:textId="53714BE0" w:rsidR="00FB08D3" w:rsidRPr="00FB08D3" w:rsidRDefault="00FB08D3" w:rsidP="00FB08D3">
            <w:pPr>
              <w:rPr>
                <w:rFonts w:cstheme="minorHAnsi"/>
              </w:rPr>
            </w:pPr>
            <w:proofErr w:type="gramStart"/>
            <w:r w:rsidRPr="00FB08D3">
              <w:rPr>
                <w:rFonts w:cstheme="minorHAnsi"/>
              </w:rPr>
              <w:t>development</w:t>
            </w:r>
            <w:proofErr w:type="gramEnd"/>
            <w:r w:rsidRPr="00FB08D3">
              <w:rPr>
                <w:rFonts w:cstheme="minorHAnsi"/>
              </w:rPr>
              <w:t>.</w:t>
            </w:r>
          </w:p>
          <w:p w14:paraId="2F6C613E" w14:textId="77777777" w:rsidR="00FB08D3" w:rsidRPr="00FB08D3" w:rsidRDefault="00FB08D3" w:rsidP="00FB08D3">
            <w:pPr>
              <w:rPr>
                <w:rFonts w:cstheme="minorHAnsi"/>
              </w:rPr>
            </w:pPr>
          </w:p>
          <w:p w14:paraId="55CED0D1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7A2DBAF0" w14:textId="6D50DB46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Key vocabulary:</w:t>
            </w:r>
          </w:p>
          <w:p w14:paraId="51F8FD92" w14:textId="77777777" w:rsidR="00B978BF" w:rsidRDefault="00B978BF">
            <w:pPr>
              <w:rPr>
                <w:rFonts w:asciiTheme="majorHAnsi" w:hAnsiTheme="majorHAnsi" w:cstheme="majorHAnsi"/>
                <w:b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B978BF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</w:pPr>
                  <w:r w:rsidRPr="00B978BF">
                    <w:rPr>
                      <w:rFonts w:asciiTheme="majorHAnsi" w:hAnsiTheme="majorHAnsi" w:cstheme="majorHAnsi"/>
                      <w:b/>
                      <w:color w:val="FFFFFF" w:themeColor="background1"/>
                    </w:rPr>
                    <w:t>Tier 3</w:t>
                  </w:r>
                </w:p>
              </w:tc>
            </w:tr>
            <w:tr w:rsidR="00B978BF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1AE15BD2" w:rsidR="00B978BF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Infancy</w:t>
                  </w:r>
                </w:p>
                <w:p w14:paraId="528C35F8" w14:textId="5FFDA7AE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Early childhood</w:t>
                  </w:r>
                </w:p>
                <w:p w14:paraId="2116A444" w14:textId="31FA8DA9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Adolescence</w:t>
                  </w:r>
                </w:p>
                <w:p w14:paraId="74195BBE" w14:textId="6BF47168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Early Adulthood</w:t>
                  </w:r>
                </w:p>
                <w:p w14:paraId="1BAF81DE" w14:textId="408B9272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Middle Adulthood</w:t>
                  </w:r>
                </w:p>
                <w:p w14:paraId="457DE8D8" w14:textId="73325624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Later Adulthood</w:t>
                  </w:r>
                </w:p>
                <w:p w14:paraId="6D1F9112" w14:textId="508E4E33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Growth</w:t>
                  </w:r>
                </w:p>
                <w:p w14:paraId="773F7010" w14:textId="77777777" w:rsidR="00BE6CC9" w:rsidRDefault="00BE6CC9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26C6DCB2" w14:textId="2707F49A" w:rsidR="001624EF" w:rsidRDefault="001624E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5AC92F8F" w14:textId="77777777" w:rsidR="00B978BF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Relationship changes </w:t>
                  </w:r>
                </w:p>
                <w:p w14:paraId="6619A1A3" w14:textId="77777777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 xml:space="preserve">Physical </w:t>
                  </w:r>
                </w:p>
                <w:p w14:paraId="562EBA2F" w14:textId="77777777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Intellectual</w:t>
                  </w:r>
                </w:p>
                <w:p w14:paraId="265FA35D" w14:textId="77777777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Emotional</w:t>
                  </w:r>
                </w:p>
                <w:p w14:paraId="360D6970" w14:textId="5F53C3F9" w:rsidR="006D021C" w:rsidRDefault="006D021C">
                  <w:pPr>
                    <w:rPr>
                      <w:rFonts w:asciiTheme="majorHAnsi" w:hAnsiTheme="majorHAnsi" w:cstheme="majorHAnsi"/>
                      <w:b/>
                    </w:rPr>
                  </w:pPr>
                  <w:r>
                    <w:rPr>
                      <w:rFonts w:asciiTheme="majorHAnsi" w:hAnsiTheme="majorHAnsi" w:cstheme="majorHAnsi"/>
                      <w:b/>
                    </w:rPr>
                    <w:t>Social</w:t>
                  </w:r>
                  <w:bookmarkStart w:id="0" w:name="_GoBack"/>
                  <w:bookmarkEnd w:id="0"/>
                </w:p>
              </w:tc>
            </w:tr>
          </w:tbl>
          <w:p w14:paraId="420A7412" w14:textId="6F6093C1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928F55D" w:rsidR="008C5092" w:rsidRPr="008B437E" w:rsidRDefault="008C5092">
            <w:pPr>
              <w:rPr>
                <w:rFonts w:cstheme="minorHAnsi"/>
                <w:b/>
              </w:rPr>
            </w:pPr>
            <w:r w:rsidRPr="008B437E">
              <w:rPr>
                <w:rFonts w:cstheme="minorHAnsi"/>
                <w:b/>
              </w:rPr>
              <w:t>Key skills:</w:t>
            </w:r>
            <w:r w:rsidR="008F43BF" w:rsidRPr="008B437E">
              <w:rPr>
                <w:rFonts w:cstheme="minorHAnsi"/>
                <w:b/>
              </w:rPr>
              <w:t xml:space="preserve"> </w:t>
            </w:r>
          </w:p>
          <w:p w14:paraId="59CB91E7" w14:textId="05262B63" w:rsidR="00FB08D3" w:rsidRPr="008B437E" w:rsidRDefault="008B437E" w:rsidP="00FB08D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8B437E">
              <w:rPr>
                <w:rFonts w:cstheme="minorHAnsi"/>
              </w:rPr>
              <w:t xml:space="preserve">Students </w:t>
            </w:r>
            <w:r w:rsidR="00FB08D3" w:rsidRPr="008B437E">
              <w:rPr>
                <w:rFonts w:cstheme="minorHAnsi"/>
              </w:rPr>
              <w:t>will develop transferable skills, such as written communication skills</w:t>
            </w:r>
            <w:r>
              <w:rPr>
                <w:rFonts w:cstheme="minorHAnsi"/>
              </w:rPr>
              <w:t>, research skills and specific note taking skills</w:t>
            </w:r>
            <w:r w:rsidR="00FB08D3" w:rsidRPr="008B437E">
              <w:rPr>
                <w:rFonts w:cstheme="minorHAnsi"/>
              </w:rPr>
              <w:t xml:space="preserve"> to support</w:t>
            </w:r>
            <w:r>
              <w:rPr>
                <w:rFonts w:cstheme="minorHAnsi"/>
              </w:rPr>
              <w:t xml:space="preserve"> their completion of the Pearson set assignment.</w:t>
            </w:r>
          </w:p>
          <w:p w14:paraId="1D9A5BD7" w14:textId="77777777" w:rsidR="008B437E" w:rsidRPr="008B437E" w:rsidRDefault="008B437E" w:rsidP="00FB08D3">
            <w:pPr>
              <w:rPr>
                <w:rFonts w:cstheme="minorHAnsi"/>
                <w:b/>
              </w:rPr>
            </w:pPr>
          </w:p>
          <w:p w14:paraId="59B629B0" w14:textId="77777777" w:rsidR="008C5092" w:rsidRPr="008B437E" w:rsidRDefault="008C5092">
            <w:pPr>
              <w:rPr>
                <w:rFonts w:cstheme="minorHAnsi"/>
              </w:rPr>
            </w:pPr>
          </w:p>
          <w:p w14:paraId="6079F31C" w14:textId="77777777" w:rsidR="008B437E" w:rsidRDefault="008C5092" w:rsidP="008B437E">
            <w:pPr>
              <w:rPr>
                <w:rFonts w:cstheme="minorHAnsi"/>
                <w:b/>
                <w:i/>
              </w:rPr>
            </w:pPr>
            <w:r w:rsidRPr="008B437E">
              <w:rPr>
                <w:rFonts w:cstheme="minorHAnsi"/>
                <w:b/>
                <w:i/>
              </w:rPr>
              <w:t>Know how to…</w:t>
            </w:r>
          </w:p>
          <w:p w14:paraId="0F247522" w14:textId="77777777" w:rsidR="008B437E" w:rsidRDefault="008B437E" w:rsidP="008B437E">
            <w:pPr>
              <w:rPr>
                <w:rFonts w:cstheme="minorHAnsi"/>
                <w:b/>
                <w:i/>
              </w:rPr>
            </w:pPr>
          </w:p>
          <w:p w14:paraId="667638C4" w14:textId="77777777" w:rsidR="008B437E" w:rsidRDefault="008B437E" w:rsidP="008B437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the Pearson Set Assignment within a set period of time using </w:t>
            </w:r>
          </w:p>
          <w:p w14:paraId="199F2174" w14:textId="77777777" w:rsidR="008B437E" w:rsidRPr="005566E5" w:rsidRDefault="008B437E" w:rsidP="008B437E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5566E5">
              <w:rPr>
                <w:rFonts w:eastAsia="TimesNewRomanPSMT" w:cstheme="minorHAnsi"/>
                <w:sz w:val="20"/>
                <w:szCs w:val="20"/>
              </w:rPr>
              <w:t xml:space="preserve">● </w:t>
            </w:r>
            <w:r w:rsidRPr="005566E5">
              <w:rPr>
                <w:rFonts w:eastAsia="TimesNewRomanPSMT" w:cstheme="minorHAnsi"/>
              </w:rPr>
              <w:t>case studies</w:t>
            </w:r>
          </w:p>
          <w:p w14:paraId="08D32D72" w14:textId="77777777" w:rsidR="008B437E" w:rsidRPr="005566E5" w:rsidRDefault="008B437E" w:rsidP="008B437E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5566E5">
              <w:rPr>
                <w:rFonts w:eastAsia="TimesNewRomanPSMT" w:cstheme="minorHAnsi"/>
                <w:sz w:val="20"/>
                <w:szCs w:val="20"/>
              </w:rPr>
              <w:t xml:space="preserve">● </w:t>
            </w:r>
            <w:r w:rsidRPr="005566E5">
              <w:rPr>
                <w:rFonts w:eastAsia="TimesNewRomanPSMT" w:cstheme="minorHAnsi"/>
              </w:rPr>
              <w:t>notes made during any face-to-face teaching</w:t>
            </w:r>
          </w:p>
          <w:p w14:paraId="48A6E5C9" w14:textId="61B2B0F6" w:rsidR="008B437E" w:rsidRPr="005566E5" w:rsidRDefault="008B437E" w:rsidP="008B437E">
            <w:pPr>
              <w:autoSpaceDE w:val="0"/>
              <w:autoSpaceDN w:val="0"/>
              <w:adjustRightInd w:val="0"/>
              <w:rPr>
                <w:rFonts w:eastAsia="TimesNewRomanPSMT" w:cstheme="minorHAnsi"/>
              </w:rPr>
            </w:pPr>
            <w:r w:rsidRPr="005566E5">
              <w:rPr>
                <w:rFonts w:eastAsia="TimesNewRomanPSMT" w:cstheme="minorHAnsi"/>
                <w:sz w:val="20"/>
                <w:szCs w:val="20"/>
              </w:rPr>
              <w:t xml:space="preserve">● </w:t>
            </w:r>
            <w:r w:rsidRPr="005566E5">
              <w:rPr>
                <w:rFonts w:eastAsia="TimesNewRomanPSMT" w:cstheme="minorHAnsi"/>
              </w:rPr>
              <w:t xml:space="preserve">notes made during </w:t>
            </w:r>
            <w:r w:rsidR="005566E5">
              <w:rPr>
                <w:rFonts w:eastAsia="TimesNewRomanPSMT" w:cstheme="minorHAnsi"/>
              </w:rPr>
              <w:t>primary research</w:t>
            </w:r>
          </w:p>
          <w:p w14:paraId="50B25518" w14:textId="77777777" w:rsidR="008B437E" w:rsidRDefault="008B437E" w:rsidP="008B437E">
            <w:pPr>
              <w:rPr>
                <w:rFonts w:eastAsia="TimesNewRomanPSMT" w:cstheme="minorHAnsi"/>
              </w:rPr>
            </w:pPr>
            <w:r w:rsidRPr="005566E5">
              <w:rPr>
                <w:rFonts w:eastAsia="TimesNewRomanPSMT" w:cstheme="minorHAnsi"/>
                <w:sz w:val="20"/>
                <w:szCs w:val="20"/>
              </w:rPr>
              <w:t xml:space="preserve">● </w:t>
            </w:r>
            <w:proofErr w:type="gramStart"/>
            <w:r w:rsidRPr="005566E5">
              <w:rPr>
                <w:rFonts w:eastAsia="TimesNewRomanPSMT" w:cstheme="minorHAnsi"/>
              </w:rPr>
              <w:t>relevant</w:t>
            </w:r>
            <w:proofErr w:type="gramEnd"/>
            <w:r w:rsidRPr="005566E5">
              <w:rPr>
                <w:rFonts w:eastAsia="TimesNewRomanPSMT" w:cstheme="minorHAnsi"/>
              </w:rPr>
              <w:t xml:space="preserve"> websites.</w:t>
            </w:r>
          </w:p>
          <w:p w14:paraId="52E40E91" w14:textId="77777777" w:rsidR="005566E5" w:rsidRDefault="005566E5" w:rsidP="008B437E">
            <w:pPr>
              <w:rPr>
                <w:rFonts w:eastAsia="TimesNewRomanPSMT" w:cstheme="minorHAnsi"/>
              </w:rPr>
            </w:pPr>
          </w:p>
          <w:p w14:paraId="79E15C41" w14:textId="77777777" w:rsidR="005566E5" w:rsidRDefault="005566E5" w:rsidP="008B437E">
            <w:pPr>
              <w:rPr>
                <w:rFonts w:eastAsia="TimesNewRomanPSMT" w:cstheme="minorHAnsi"/>
              </w:rPr>
            </w:pPr>
            <w:r>
              <w:rPr>
                <w:rFonts w:eastAsia="TimesNewRomanPSMT" w:cstheme="minorHAnsi"/>
              </w:rPr>
              <w:t xml:space="preserve">Including </w:t>
            </w:r>
          </w:p>
          <w:p w14:paraId="283686EA" w14:textId="77777777" w:rsidR="005566E5" w:rsidRPr="003C41E1" w:rsidRDefault="005566E5" w:rsidP="005566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</w:rPr>
            </w:pPr>
            <w:r w:rsidRPr="003C41E1">
              <w:rPr>
                <w:rFonts w:cstheme="minorHAnsi"/>
                <w:b/>
                <w:bCs/>
                <w:sz w:val="20"/>
              </w:rPr>
              <w:t>A1 Human growth and development across life stages</w:t>
            </w:r>
          </w:p>
          <w:p w14:paraId="50E14570" w14:textId="77777777" w:rsidR="005566E5" w:rsidRPr="003C41E1" w:rsidRDefault="005566E5" w:rsidP="005566E5">
            <w:pPr>
              <w:rPr>
                <w:rFonts w:cstheme="minorHAnsi"/>
                <w:sz w:val="20"/>
              </w:rPr>
            </w:pPr>
            <w:r w:rsidRPr="003C41E1">
              <w:rPr>
                <w:rFonts w:eastAsia="TimesNewRomanPSMT" w:cstheme="minorHAnsi"/>
                <w:sz w:val="20"/>
              </w:rPr>
              <w:t xml:space="preserve">● </w:t>
            </w:r>
            <w:r w:rsidRPr="003C41E1">
              <w:rPr>
                <w:rFonts w:cstheme="minorHAnsi"/>
                <w:sz w:val="20"/>
              </w:rPr>
              <w:t>Life stages and their expected key characteristics in each of the PIES classifications</w:t>
            </w:r>
          </w:p>
          <w:p w14:paraId="6E77FC36" w14:textId="349B0F56" w:rsidR="005566E5" w:rsidRPr="003C41E1" w:rsidRDefault="00C11027" w:rsidP="005566E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3C41E1">
              <w:rPr>
                <w:rFonts w:ascii="Calibri" w:hAnsi="Calibri" w:cs="Calibri"/>
                <w:sz w:val="20"/>
              </w:rPr>
              <w:t>I</w:t>
            </w:r>
            <w:r w:rsidR="005566E5" w:rsidRPr="003C41E1">
              <w:rPr>
                <w:rFonts w:ascii="Calibri" w:hAnsi="Calibri" w:cs="Calibri"/>
                <w:sz w:val="20"/>
              </w:rPr>
              <w:t>nfancy (birth to 2 years):</w:t>
            </w:r>
          </w:p>
          <w:p w14:paraId="060F6D76" w14:textId="607223BF" w:rsidR="005566E5" w:rsidRPr="003C41E1" w:rsidRDefault="005566E5" w:rsidP="005566E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3C41E1">
              <w:rPr>
                <w:rFonts w:ascii="Calibri" w:hAnsi="Calibri" w:cs="Calibri"/>
                <w:sz w:val="20"/>
              </w:rPr>
              <w:t>Early childhood (3–8 years):</w:t>
            </w:r>
          </w:p>
          <w:p w14:paraId="0968C6C9" w14:textId="77777777" w:rsidR="005566E5" w:rsidRPr="003C41E1" w:rsidRDefault="005566E5" w:rsidP="005566E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3C41E1">
              <w:rPr>
                <w:rFonts w:ascii="Calibri" w:hAnsi="Calibri" w:cs="Calibri"/>
                <w:sz w:val="20"/>
              </w:rPr>
              <w:t>Adolescence (9-18years)</w:t>
            </w:r>
          </w:p>
          <w:p w14:paraId="6F8BB2CB" w14:textId="77777777" w:rsidR="005566E5" w:rsidRPr="003C41E1" w:rsidRDefault="005566E5" w:rsidP="005566E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3C41E1">
              <w:rPr>
                <w:rFonts w:ascii="Calibri" w:hAnsi="Calibri" w:cs="Calibri"/>
                <w:sz w:val="20"/>
              </w:rPr>
              <w:t>Early adulthood (19–</w:t>
            </w:r>
            <w:r w:rsidR="00C11027" w:rsidRPr="003C41E1">
              <w:rPr>
                <w:rFonts w:ascii="Calibri" w:hAnsi="Calibri" w:cs="Calibri"/>
                <w:sz w:val="20"/>
              </w:rPr>
              <w:t>45 years)</w:t>
            </w:r>
          </w:p>
          <w:p w14:paraId="0760BC56" w14:textId="77777777" w:rsidR="00C11027" w:rsidRPr="003C41E1" w:rsidRDefault="00C11027" w:rsidP="005566E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  <w:r w:rsidRPr="003C41E1">
              <w:rPr>
                <w:rFonts w:ascii="Calibri" w:hAnsi="Calibri" w:cs="Calibri"/>
                <w:sz w:val="20"/>
              </w:rPr>
              <w:t>Middle Adulthood (46-65 years)</w:t>
            </w:r>
          </w:p>
          <w:p w14:paraId="4D761B11" w14:textId="5A2CE523" w:rsidR="00C11027" w:rsidRPr="005566E5" w:rsidRDefault="00C11027" w:rsidP="005566E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C41E1">
              <w:rPr>
                <w:rFonts w:ascii="Calibri" w:hAnsi="Calibri" w:cs="Calibri"/>
                <w:sz w:val="20"/>
              </w:rPr>
              <w:t>Later Adulthood (65+ years)</w:t>
            </w: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198FA969" w:rsidR="008C5092" w:rsidRPr="00FB749C" w:rsidRDefault="003C41E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Careers days</w:t>
            </w:r>
          </w:p>
        </w:tc>
        <w:tc>
          <w:tcPr>
            <w:tcW w:w="5670" w:type="dxa"/>
          </w:tcPr>
          <w:p w14:paraId="4A00D608" w14:textId="5B869922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16B6C2FE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Skimming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7C635785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Scanning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A2193F0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Reading for gist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5351329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Highlighting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2CF5D8" w14:textId="77777777" w:rsidR="003C41E1" w:rsidRPr="003C41E1" w:rsidRDefault="003C41E1" w:rsidP="003C41E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3C41E1">
              <w:rPr>
                <w:rStyle w:val="normaltextrun"/>
                <w:rFonts w:ascii="Calibri" w:hAnsi="Calibri" w:cs="Calibri"/>
                <w:bCs/>
                <w:sz w:val="22"/>
                <w:szCs w:val="22"/>
              </w:rPr>
              <w:t>Reading aloud</w:t>
            </w:r>
            <w:r w:rsidRPr="003C41E1">
              <w:rPr>
                <w:rStyle w:val="normaltextrun"/>
                <w:rFonts w:ascii="Calibri" w:hAnsi="Calibri" w:cs="Calibri"/>
                <w:sz w:val="22"/>
                <w:szCs w:val="22"/>
              </w:rPr>
              <w:t> </w:t>
            </w:r>
            <w:r w:rsidRPr="003C41E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55AD902E" w14:textId="77777777" w:rsidR="003C41E1" w:rsidRDefault="003C41E1">
            <w:pPr>
              <w:rPr>
                <w:rFonts w:asciiTheme="majorHAnsi" w:hAnsiTheme="majorHAnsi" w:cstheme="majorHAnsi"/>
                <w:b/>
              </w:rPr>
            </w:pPr>
          </w:p>
          <w:p w14:paraId="5C9635A9" w14:textId="09956A1E" w:rsidR="00FB053D" w:rsidRDefault="00FB053D">
            <w:pPr>
              <w:rPr>
                <w:rFonts w:asciiTheme="majorHAnsi" w:hAnsiTheme="majorHAnsi" w:cstheme="majorHAnsi"/>
                <w:b/>
              </w:rPr>
            </w:pP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70B3D5CB" w14:textId="3F15CDC1" w:rsidR="00C11027" w:rsidRPr="00C11027" w:rsidRDefault="00C11027" w:rsidP="00C1102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Health and Social Care Act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454"/>
            </w:tblGrid>
            <w:tr w:rsidR="00C11027" w:rsidRPr="00C11027" w14:paraId="17A2BF95" w14:textId="77777777" w:rsidTr="00C11027">
              <w:trPr>
                <w:trHeight w:val="164"/>
              </w:trPr>
              <w:tc>
                <w:tcPr>
                  <w:tcW w:w="0" w:type="auto"/>
                </w:tcPr>
                <w:p w14:paraId="0FD0B9A6" w14:textId="77777777" w:rsidR="003C41E1" w:rsidRDefault="00EB45F0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</w:rPr>
                  </w:pPr>
                  <w:hyperlink r:id="rId8" w:history="1">
                    <w:r w:rsidR="00C11027" w:rsidRPr="00D52EB8">
                      <w:rPr>
                        <w:rStyle w:val="Hyperlink"/>
                        <w:rFonts w:cstheme="minorHAnsi"/>
                        <w:sz w:val="20"/>
                      </w:rPr>
                      <w:t>https://www.rcpch.ac.uk/resources/uk-who-growth-charts-0-4-years</w:t>
                    </w:r>
                  </w:hyperlink>
                </w:p>
                <w:p w14:paraId="673AD274" w14:textId="585D1FAC" w:rsidR="00C11027" w:rsidRDefault="00EB45F0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hyperlink r:id="rId9" w:history="1">
                    <w:r w:rsidR="003C41E1" w:rsidRPr="00D52EB8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https://www.verywellfamily.com/your-7-Mondayth-old-baby-development-and-milestones-4172912</w:t>
                    </w:r>
                  </w:hyperlink>
                </w:p>
                <w:p w14:paraId="397C8749" w14:textId="1B21AA40" w:rsidR="003C41E1" w:rsidRPr="003C41E1" w:rsidRDefault="00EB45F0" w:rsidP="003C4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hyperlink r:id="rId10" w:history="1">
                    <w:r w:rsidR="003C41E1" w:rsidRPr="003C41E1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https://www.verywellfamily.com/your-11-Mondayth-old-baby-development-and-milestones-4172881</w:t>
                    </w:r>
                  </w:hyperlink>
                </w:p>
                <w:p w14:paraId="170223D3" w14:textId="71A6EF1D" w:rsidR="003C41E1" w:rsidRDefault="00EB45F0" w:rsidP="003C4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hyperlink r:id="rId11" w:history="1">
                    <w:r w:rsidR="003C41E1" w:rsidRPr="00D52EB8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https://www.verywellfamily.com/toddler-milestones-4013768</w:t>
                    </w:r>
                  </w:hyperlink>
                </w:p>
                <w:p w14:paraId="7A520E17" w14:textId="77777777" w:rsidR="003C41E1" w:rsidRPr="003C41E1" w:rsidRDefault="003C41E1" w:rsidP="003C4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7FCFEBE0" w14:textId="77777777" w:rsidR="003C41E1" w:rsidRPr="003C41E1" w:rsidRDefault="003C41E1" w:rsidP="003C41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</w:pPr>
                </w:p>
                <w:p w14:paraId="0794E0DB" w14:textId="77777777" w:rsidR="003C41E1" w:rsidRDefault="003C41E1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  <w:p w14:paraId="14DD408F" w14:textId="77777777" w:rsidR="003C41E1" w:rsidRPr="00C11027" w:rsidRDefault="003C41E1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</w:rPr>
                  </w:pPr>
                </w:p>
                <w:p w14:paraId="40699DE4" w14:textId="38AA09F8" w:rsidR="00C11027" w:rsidRPr="00C11027" w:rsidRDefault="00C11027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</w:rPr>
                  </w:pPr>
                  <w:r>
                    <w:rPr>
                      <w:rFonts w:cstheme="minorHAnsi"/>
                      <w:color w:val="000000"/>
                      <w:sz w:val="20"/>
                    </w:rPr>
                    <w:t xml:space="preserve"> </w:t>
                  </w:r>
                </w:p>
                <w:p w14:paraId="3E1DC887" w14:textId="69BF003A" w:rsidR="00C11027" w:rsidRPr="00C11027" w:rsidRDefault="00C11027" w:rsidP="00C1102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071CDAFC" w14:textId="77777777" w:rsidR="00C11027" w:rsidRPr="00FB749C" w:rsidRDefault="00C11027">
            <w:pPr>
              <w:rPr>
                <w:rFonts w:asciiTheme="majorHAnsi" w:hAnsiTheme="majorHAnsi" w:cstheme="majorHAnsi"/>
              </w:rPr>
            </w:pP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D69A9"/>
    <w:multiLevelType w:val="hybridMultilevel"/>
    <w:tmpl w:val="01AA2B0C"/>
    <w:lvl w:ilvl="0" w:tplc="DC74D6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E7748C"/>
    <w:multiLevelType w:val="hybridMultilevel"/>
    <w:tmpl w:val="FDEC0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F5CA9"/>
    <w:multiLevelType w:val="hybridMultilevel"/>
    <w:tmpl w:val="6A70C060"/>
    <w:lvl w:ilvl="0" w:tplc="0734BD5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1624EF"/>
    <w:rsid w:val="00242B8E"/>
    <w:rsid w:val="002C2E99"/>
    <w:rsid w:val="003C41E1"/>
    <w:rsid w:val="004A30DD"/>
    <w:rsid w:val="005566E5"/>
    <w:rsid w:val="006D021C"/>
    <w:rsid w:val="006F6A1E"/>
    <w:rsid w:val="008B437E"/>
    <w:rsid w:val="008C5092"/>
    <w:rsid w:val="008F43BF"/>
    <w:rsid w:val="00A9066A"/>
    <w:rsid w:val="00B978BF"/>
    <w:rsid w:val="00BE6CC9"/>
    <w:rsid w:val="00C11027"/>
    <w:rsid w:val="00D12D6D"/>
    <w:rsid w:val="00D70F07"/>
    <w:rsid w:val="00EB45F0"/>
    <w:rsid w:val="00FB053D"/>
    <w:rsid w:val="00FB08D3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customStyle="1" w:styleId="Default">
    <w:name w:val="Default"/>
    <w:rsid w:val="00C110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102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C4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C41E1"/>
  </w:style>
  <w:style w:type="character" w:customStyle="1" w:styleId="eop">
    <w:name w:val="eop"/>
    <w:basedOn w:val="DefaultParagraphFont"/>
    <w:rsid w:val="003C4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pch.ac.uk/resources/uk-who-growth-charts-0-4-years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erywellfamily.com/toddler-milestones-4013768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verywellfamily.com/your-11-Mondayth-old-baby-development-and-milestones-417288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verywellfamily.com/your-7-Mondayth-old-baby-development-and-milestones-4172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86eb32c4-3dad-45d5-a9f3-4978cb784179"/>
    <ds:schemaRef ds:uri="ec36fff7-63ed-43ef-9e4f-2d37d750b7db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Sweeney, Rebecca</cp:lastModifiedBy>
  <cp:revision>4</cp:revision>
  <dcterms:created xsi:type="dcterms:W3CDTF">2022-09-11T19:58:00Z</dcterms:created>
  <dcterms:modified xsi:type="dcterms:W3CDTF">2022-09-26T10:05:00Z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