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7A829026" w:rsidR="008C5092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832B61">
              <w:rPr>
                <w:rFonts w:asciiTheme="majorHAnsi" w:hAnsiTheme="majorHAnsi" w:cstheme="majorHAnsi"/>
                <w:sz w:val="48"/>
              </w:rPr>
              <w:t>1</w:t>
            </w:r>
            <w:r w:rsidR="001F7596">
              <w:rPr>
                <w:rFonts w:asciiTheme="majorHAnsi" w:hAnsiTheme="majorHAnsi" w:cstheme="majorHAnsi"/>
                <w:sz w:val="48"/>
              </w:rPr>
              <w:t>1</w:t>
            </w:r>
            <w:r w:rsidR="0051608B">
              <w:rPr>
                <w:rFonts w:asciiTheme="majorHAnsi" w:hAnsiTheme="majorHAnsi" w:cstheme="majorHAnsi"/>
                <w:sz w:val="48"/>
              </w:rPr>
              <w:t xml:space="preserve"> – </w:t>
            </w:r>
            <w:r w:rsidR="000B2825">
              <w:rPr>
                <w:rFonts w:asciiTheme="majorHAnsi" w:hAnsiTheme="majorHAnsi" w:cstheme="majorHAnsi"/>
                <w:sz w:val="48"/>
              </w:rPr>
              <w:t>Higher</w:t>
            </w:r>
            <w:r w:rsidR="0051608B">
              <w:rPr>
                <w:rFonts w:asciiTheme="majorHAnsi" w:hAnsiTheme="majorHAnsi" w:cstheme="majorHAnsi"/>
                <w:sz w:val="48"/>
              </w:rPr>
              <w:t xml:space="preserve"> Tier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4EE70FA8" w:rsidR="00FB749C" w:rsidRDefault="00FB749C" w:rsidP="00FB749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Unit </w:t>
            </w:r>
            <w:r w:rsidR="00704701">
              <w:rPr>
                <w:rFonts w:asciiTheme="majorHAnsi" w:hAnsiTheme="majorHAnsi" w:cstheme="majorHAnsi"/>
                <w:b/>
                <w:sz w:val="28"/>
              </w:rPr>
              <w:t xml:space="preserve">19 – </w:t>
            </w:r>
            <w:r w:rsidR="000B2825">
              <w:rPr>
                <w:rFonts w:asciiTheme="majorHAnsi" w:hAnsiTheme="majorHAnsi" w:cstheme="majorHAnsi"/>
                <w:b/>
                <w:sz w:val="28"/>
              </w:rPr>
              <w:t>Vectors and Geometric Proof</w:t>
            </w:r>
          </w:p>
          <w:p w14:paraId="6A9A5EBF" w14:textId="77777777" w:rsidR="004840F4" w:rsidRPr="00FB749C" w:rsidRDefault="004840F4" w:rsidP="00FB749C">
            <w:pPr>
              <w:rPr>
                <w:rFonts w:asciiTheme="majorHAnsi" w:hAnsiTheme="majorHAnsi" w:cstheme="majorHAnsi"/>
                <w:sz w:val="28"/>
              </w:rPr>
            </w:pPr>
          </w:p>
          <w:p w14:paraId="2BCB5A8E" w14:textId="47F44F17" w:rsidR="00FB749C" w:rsidRPr="004840F4" w:rsidRDefault="00FB749C" w:rsidP="004840F4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11D9D8E8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6D62E796" w14:textId="77777777" w:rsidR="000E62F0" w:rsidRPr="00FB749C" w:rsidRDefault="000E62F0">
            <w:pPr>
              <w:rPr>
                <w:rFonts w:asciiTheme="majorHAnsi" w:hAnsiTheme="majorHAnsi" w:cstheme="majorHAnsi"/>
                <w:b/>
              </w:rPr>
            </w:pPr>
          </w:p>
          <w:p w14:paraId="77F111D7" w14:textId="70C0D984" w:rsidR="00F55364" w:rsidRPr="000E62F0" w:rsidRDefault="00F55364" w:rsidP="00F55364">
            <w:p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 xml:space="preserve">Students will build on their knowledge from </w:t>
            </w:r>
            <w:r w:rsidR="00CB42CA">
              <w:rPr>
                <w:rFonts w:asciiTheme="majorHAnsi" w:hAnsiTheme="majorHAnsi" w:cstheme="majorHAnsi"/>
              </w:rPr>
              <w:t>KS3 and year 10</w:t>
            </w:r>
            <w:r w:rsidRPr="000E62F0">
              <w:rPr>
                <w:rFonts w:asciiTheme="majorHAnsi" w:hAnsiTheme="majorHAnsi" w:cstheme="majorHAnsi"/>
              </w:rPr>
              <w:t xml:space="preserve"> in </w:t>
            </w:r>
            <w:r w:rsidR="00CB42CA">
              <w:rPr>
                <w:rFonts w:asciiTheme="majorHAnsi" w:hAnsiTheme="majorHAnsi" w:cstheme="majorHAnsi"/>
              </w:rPr>
              <w:t xml:space="preserve">dealing with </w:t>
            </w:r>
            <w:r w:rsidR="00ED4F15">
              <w:rPr>
                <w:rFonts w:asciiTheme="majorHAnsi" w:hAnsiTheme="majorHAnsi" w:cstheme="majorHAnsi"/>
              </w:rPr>
              <w:t>geometric constructs and apply</w:t>
            </w:r>
            <w:r w:rsidR="00CB42CA">
              <w:rPr>
                <w:rFonts w:asciiTheme="majorHAnsi" w:hAnsiTheme="majorHAnsi" w:cstheme="majorHAnsi"/>
              </w:rPr>
              <w:t xml:space="preserve"> </w:t>
            </w:r>
            <w:r w:rsidR="00F12F37">
              <w:rPr>
                <w:rFonts w:asciiTheme="majorHAnsi" w:hAnsiTheme="majorHAnsi" w:cstheme="majorHAnsi"/>
              </w:rPr>
              <w:t>vectors</w:t>
            </w:r>
            <w:r w:rsidR="00ED4F15">
              <w:rPr>
                <w:rFonts w:asciiTheme="majorHAnsi" w:hAnsiTheme="majorHAnsi" w:cstheme="majorHAnsi"/>
              </w:rPr>
              <w:t xml:space="preserve"> and vector notation</w:t>
            </w:r>
            <w:r w:rsidR="009916C5">
              <w:rPr>
                <w:rFonts w:asciiTheme="majorHAnsi" w:hAnsiTheme="majorHAnsi" w:cstheme="majorHAnsi"/>
              </w:rPr>
              <w:t xml:space="preserve"> to solve geometric problems</w:t>
            </w:r>
          </w:p>
          <w:p w14:paraId="35076174" w14:textId="77325F5A" w:rsidR="000E62F0" w:rsidRPr="000E62F0" w:rsidRDefault="000E62F0">
            <w:pPr>
              <w:rPr>
                <w:rFonts w:asciiTheme="majorHAnsi" w:hAnsiTheme="majorHAnsi" w:cstheme="majorHAnsi"/>
              </w:rPr>
            </w:pPr>
          </w:p>
          <w:p w14:paraId="674BD07C" w14:textId="033F53E2" w:rsidR="00D334AE" w:rsidRDefault="00AA5A9A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Vectors and vector notation</w:t>
            </w:r>
          </w:p>
          <w:p w14:paraId="2F81AE9D" w14:textId="4AE82B78" w:rsidR="00AA5A9A" w:rsidRDefault="00AA5A9A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Vector arithmetic</w:t>
            </w:r>
          </w:p>
          <w:p w14:paraId="47D87ED9" w14:textId="63B2E22C" w:rsidR="00AA5A9A" w:rsidRDefault="00AA5A9A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Further vector arithmetic</w:t>
            </w:r>
          </w:p>
          <w:p w14:paraId="609BA599" w14:textId="4D2FBE6F" w:rsidR="00AA5A9A" w:rsidRDefault="006462A2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Parallel vectors and collinear points</w:t>
            </w:r>
          </w:p>
          <w:p w14:paraId="3BA9755A" w14:textId="4883792E" w:rsidR="006462A2" w:rsidRDefault="006462A2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Solving geometric problems</w:t>
            </w:r>
          </w:p>
          <w:p w14:paraId="76CCB68B" w14:textId="0473D5EF" w:rsidR="006462A2" w:rsidRDefault="006462A2" w:rsidP="006462A2">
            <w:pPr>
              <w:rPr>
                <w:rFonts w:asciiTheme="majorHAnsi" w:hAnsiTheme="majorHAnsi" w:cstheme="majorHAnsi"/>
              </w:rPr>
            </w:pPr>
          </w:p>
          <w:p w14:paraId="6AE2F5B5" w14:textId="1E7BD909" w:rsidR="006462A2" w:rsidRPr="006462A2" w:rsidRDefault="006462A2" w:rsidP="006462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addition to continued study within the scheme of work, year 11 students will </w:t>
            </w:r>
            <w:r w:rsidR="00C37582">
              <w:rPr>
                <w:rFonts w:asciiTheme="majorHAnsi" w:hAnsiTheme="majorHAnsi" w:cstheme="majorHAnsi"/>
              </w:rPr>
              <w:t xml:space="preserve">complete regular GCSE practice papers and use analysis of those results to inform </w:t>
            </w:r>
            <w:r w:rsidR="00552E89">
              <w:rPr>
                <w:rFonts w:asciiTheme="majorHAnsi" w:hAnsiTheme="majorHAnsi" w:cstheme="majorHAnsi"/>
              </w:rPr>
              <w:t xml:space="preserve">revision of prior knowledge, tailored to the </w:t>
            </w:r>
            <w:r w:rsidR="007901B3">
              <w:rPr>
                <w:rFonts w:asciiTheme="majorHAnsi" w:hAnsiTheme="majorHAnsi" w:cstheme="majorHAnsi"/>
              </w:rPr>
              <w:t xml:space="preserve">individual needs of different classes and </w:t>
            </w:r>
            <w:r w:rsidR="00255AA0">
              <w:rPr>
                <w:rFonts w:asciiTheme="majorHAnsi" w:hAnsiTheme="majorHAnsi" w:cstheme="majorHAnsi"/>
              </w:rPr>
              <w:t>students.</w:t>
            </w:r>
          </w:p>
          <w:p w14:paraId="63508655" w14:textId="7C0342F9" w:rsidR="0098082C" w:rsidRPr="00FB749C" w:rsidRDefault="0098082C" w:rsidP="00E37F75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00C0450C">
        <w:trPr>
          <w:trHeight w:val="4094"/>
        </w:trPr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504A71" w:rsidRDefault="008C5092" w:rsidP="00D46651">
            <w:pPr>
              <w:ind w:left="306" w:hanging="284"/>
              <w:rPr>
                <w:rFonts w:asciiTheme="majorHAnsi" w:hAnsiTheme="majorHAnsi" w:cstheme="majorHAnsi"/>
              </w:rPr>
            </w:pPr>
            <w:r w:rsidRPr="00504A71">
              <w:rPr>
                <w:rFonts w:asciiTheme="majorHAnsi" w:hAnsiTheme="majorHAnsi" w:cstheme="majorHAnsi"/>
                <w:b/>
              </w:rPr>
              <w:t>Key</w:t>
            </w:r>
            <w:r w:rsidRPr="00504A71">
              <w:rPr>
                <w:rFonts w:asciiTheme="majorHAnsi" w:hAnsiTheme="majorHAnsi" w:cstheme="majorHAnsi"/>
              </w:rPr>
              <w:t xml:space="preserve"> </w:t>
            </w:r>
            <w:r w:rsidRPr="00504A71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77777777" w:rsidR="008C5092" w:rsidRPr="00504A71" w:rsidRDefault="008C5092" w:rsidP="00D46651">
            <w:pPr>
              <w:ind w:left="306" w:hanging="284"/>
              <w:rPr>
                <w:rFonts w:asciiTheme="majorHAnsi" w:hAnsiTheme="majorHAnsi" w:cstheme="majorHAnsi"/>
              </w:rPr>
            </w:pPr>
          </w:p>
          <w:p w14:paraId="76019579" w14:textId="433C593B" w:rsidR="0092019B" w:rsidRPr="0092019B" w:rsidRDefault="0092019B" w:rsidP="0092019B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92019B">
              <w:rPr>
                <w:rFonts w:asciiTheme="majorHAnsi" w:hAnsiTheme="majorHAnsi" w:cstheme="majorHAnsi"/>
              </w:rPr>
              <w:t>Add and subtract vectors algebraically and use column vectors.</w:t>
            </w:r>
          </w:p>
          <w:p w14:paraId="23B19F54" w14:textId="27B6FBAC" w:rsidR="004430B6" w:rsidRPr="0092019B" w:rsidRDefault="0092019B" w:rsidP="0092019B">
            <w:pPr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/>
              </w:rPr>
            </w:pPr>
            <w:r w:rsidRPr="0092019B">
              <w:rPr>
                <w:rFonts w:asciiTheme="majorHAnsi" w:hAnsiTheme="majorHAnsi" w:cstheme="majorHAnsi"/>
              </w:rPr>
              <w:t>Solve geometric problems and produce proofs.</w:t>
            </w:r>
          </w:p>
          <w:p w14:paraId="68FE3019" w14:textId="0C18EDBD" w:rsidR="0092019B" w:rsidRPr="0092019B" w:rsidRDefault="0092019B" w:rsidP="0092019B">
            <w:pPr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92019B">
              <w:rPr>
                <w:rFonts w:asciiTheme="majorHAnsi" w:hAnsiTheme="majorHAnsi" w:cstheme="majorHAnsi"/>
                <w:bCs/>
              </w:rPr>
              <w:t>“Show that”-type questions are an ideal opportunity for students to provide a clear logical chain of reasoning providing links with other areas of mathematics, in particular algebra.</w:t>
            </w:r>
          </w:p>
          <w:p w14:paraId="31E1BEC4" w14:textId="7A882B16" w:rsidR="0092019B" w:rsidRPr="0092019B" w:rsidRDefault="0092019B" w:rsidP="0092019B">
            <w:pPr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92019B">
              <w:rPr>
                <w:rFonts w:asciiTheme="majorHAnsi" w:hAnsiTheme="majorHAnsi" w:cstheme="majorHAnsi"/>
                <w:bCs/>
              </w:rPr>
              <w:t>Find the area of a parallelogram defined by given vectors.</w:t>
            </w:r>
          </w:p>
          <w:p w14:paraId="66E2D94B" w14:textId="77777777" w:rsidR="0092019B" w:rsidRPr="004430B6" w:rsidRDefault="0092019B" w:rsidP="0092019B">
            <w:pPr>
              <w:ind w:left="306"/>
              <w:rPr>
                <w:rFonts w:asciiTheme="majorHAnsi" w:hAnsiTheme="majorHAnsi" w:cstheme="majorHAnsi"/>
                <w:b/>
              </w:rPr>
            </w:pPr>
          </w:p>
          <w:p w14:paraId="5BABA10D" w14:textId="4FD348D8" w:rsidR="00510B11" w:rsidRPr="00504A71" w:rsidRDefault="00510B11" w:rsidP="00510B11">
            <w:pPr>
              <w:ind w:left="323" w:hanging="283"/>
              <w:rPr>
                <w:rFonts w:asciiTheme="majorHAnsi" w:hAnsiTheme="majorHAnsi" w:cstheme="majorHAnsi"/>
                <w:b/>
              </w:rPr>
            </w:pPr>
            <w:r w:rsidRPr="00504A71">
              <w:rPr>
                <w:rFonts w:asciiTheme="majorHAnsi" w:hAnsiTheme="majorHAnsi" w:cstheme="majorHAnsi"/>
                <w:b/>
              </w:rPr>
              <w:t>Key vocabulary:</w:t>
            </w:r>
          </w:p>
          <w:p w14:paraId="624E479D" w14:textId="77777777" w:rsidR="00510B11" w:rsidRPr="00504A71" w:rsidRDefault="00510B11" w:rsidP="00510B11">
            <w:pPr>
              <w:ind w:left="323" w:hanging="283"/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510B11" w:rsidRPr="00504A71" w14:paraId="771D0636" w14:textId="77777777" w:rsidTr="009E51C5">
              <w:tc>
                <w:tcPr>
                  <w:tcW w:w="2578" w:type="dxa"/>
                  <w:shd w:val="clear" w:color="auto" w:fill="2E74B5" w:themeFill="accent1" w:themeFillShade="BF"/>
                </w:tcPr>
                <w:p w14:paraId="701E2E58" w14:textId="77777777" w:rsidR="00510B11" w:rsidRPr="00D6619B" w:rsidRDefault="00510B11" w:rsidP="00510B11">
                  <w:pPr>
                    <w:ind w:left="323" w:hanging="283"/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50E4DDC7" w14:textId="77777777" w:rsidR="00510B11" w:rsidRPr="00D6619B" w:rsidRDefault="00510B11" w:rsidP="00510B11">
                  <w:pPr>
                    <w:ind w:left="323" w:hanging="283"/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3</w:t>
                  </w:r>
                </w:p>
              </w:tc>
            </w:tr>
            <w:tr w:rsidR="00510B11" w:rsidRPr="00504A71" w14:paraId="10263DB9" w14:textId="77777777" w:rsidTr="009E51C5">
              <w:tc>
                <w:tcPr>
                  <w:tcW w:w="2578" w:type="dxa"/>
                  <w:shd w:val="clear" w:color="auto" w:fill="auto"/>
                </w:tcPr>
                <w:p w14:paraId="77A66D7F" w14:textId="77777777" w:rsidR="00FC12E7" w:rsidRDefault="00FC12E7" w:rsidP="00FC12E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D</w:t>
                  </w:r>
                  <w:r w:rsidRPr="00FC12E7">
                    <w:rPr>
                      <w:rFonts w:asciiTheme="majorHAnsi" w:hAnsiTheme="majorHAnsi" w:cstheme="majorHAnsi"/>
                      <w:bCs/>
                    </w:rPr>
                    <w:t>irection</w:t>
                  </w:r>
                </w:p>
                <w:p w14:paraId="6863570B" w14:textId="77777777" w:rsidR="00FC12E7" w:rsidRDefault="00FC12E7" w:rsidP="00FC12E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M</w:t>
                  </w:r>
                  <w:r w:rsidRPr="00FC12E7">
                    <w:rPr>
                      <w:rFonts w:asciiTheme="majorHAnsi" w:hAnsiTheme="majorHAnsi" w:cstheme="majorHAnsi"/>
                      <w:bCs/>
                    </w:rPr>
                    <w:t>agnitude</w:t>
                  </w:r>
                </w:p>
                <w:p w14:paraId="5B0F0C58" w14:textId="1041ED5D" w:rsidR="00FC12E7" w:rsidRDefault="00FC12E7" w:rsidP="00FC12E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M</w:t>
                  </w:r>
                  <w:r w:rsidRPr="00FC12E7">
                    <w:rPr>
                      <w:rFonts w:asciiTheme="majorHAnsi" w:hAnsiTheme="majorHAnsi" w:cstheme="majorHAnsi"/>
                      <w:bCs/>
                    </w:rPr>
                    <w:t>ultiple</w:t>
                  </w:r>
                </w:p>
                <w:p w14:paraId="4C3BBA03" w14:textId="4B789BD7" w:rsidR="00255AA0" w:rsidRDefault="00255AA0" w:rsidP="00FC12E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Proof</w:t>
                  </w:r>
                </w:p>
                <w:p w14:paraId="7D8F9974" w14:textId="4BFE2543" w:rsidR="008602FB" w:rsidRPr="00750F5A" w:rsidRDefault="00FC12E7" w:rsidP="00750F5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R</w:t>
                  </w:r>
                  <w:r w:rsidRPr="00FC12E7">
                    <w:rPr>
                      <w:rFonts w:asciiTheme="majorHAnsi" w:hAnsiTheme="majorHAnsi" w:cstheme="majorHAnsi"/>
                      <w:bCs/>
                    </w:rPr>
                    <w:t>atio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734DE5B" w14:textId="77777777" w:rsidR="006A26C4" w:rsidRDefault="006A26C4" w:rsidP="006A26C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 w:rsidRPr="00FC12E7">
                    <w:rPr>
                      <w:rFonts w:asciiTheme="majorHAnsi" w:hAnsiTheme="majorHAnsi" w:cstheme="majorHAnsi"/>
                      <w:bCs/>
                    </w:rPr>
                    <w:t>Vector</w:t>
                  </w:r>
                </w:p>
                <w:p w14:paraId="0C5E7B8D" w14:textId="77777777" w:rsidR="006A26C4" w:rsidRDefault="006A26C4" w:rsidP="006A26C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</w:t>
                  </w:r>
                  <w:r w:rsidRPr="00FC12E7">
                    <w:rPr>
                      <w:rFonts w:asciiTheme="majorHAnsi" w:hAnsiTheme="majorHAnsi" w:cstheme="majorHAnsi"/>
                      <w:bCs/>
                    </w:rPr>
                    <w:t>calar</w:t>
                  </w:r>
                </w:p>
                <w:p w14:paraId="388C8AD9" w14:textId="77777777" w:rsidR="006A26C4" w:rsidRDefault="006A26C4" w:rsidP="006A26C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Pr="00FC12E7">
                    <w:rPr>
                      <w:rFonts w:asciiTheme="majorHAnsi" w:hAnsiTheme="majorHAnsi" w:cstheme="majorHAnsi"/>
                      <w:bCs/>
                    </w:rPr>
                    <w:t>arallel</w:t>
                  </w:r>
                </w:p>
                <w:p w14:paraId="3DA2C0F8" w14:textId="77777777" w:rsidR="006A26C4" w:rsidRDefault="006A26C4" w:rsidP="006A26C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Pr="00FC12E7">
                    <w:rPr>
                      <w:rFonts w:asciiTheme="majorHAnsi" w:hAnsiTheme="majorHAnsi" w:cstheme="majorHAnsi"/>
                      <w:bCs/>
                    </w:rPr>
                    <w:t>ollinear</w:t>
                  </w:r>
                </w:p>
                <w:p w14:paraId="56AFB089" w14:textId="77777777" w:rsidR="006A26C4" w:rsidRDefault="006A26C4" w:rsidP="006A26C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Pr="00FC12E7">
                    <w:rPr>
                      <w:rFonts w:asciiTheme="majorHAnsi" w:hAnsiTheme="majorHAnsi" w:cstheme="majorHAnsi"/>
                      <w:bCs/>
                    </w:rPr>
                    <w:t>olumn vector</w:t>
                  </w:r>
                </w:p>
                <w:p w14:paraId="5B2AB31D" w14:textId="4E0A79FE" w:rsidR="00F351E6" w:rsidRPr="00750F5A" w:rsidRDefault="00F351E6" w:rsidP="00750F5A">
                  <w:pPr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</w:tbl>
          <w:p w14:paraId="5B2B5F20" w14:textId="77777777" w:rsidR="00510B11" w:rsidRDefault="00510B11" w:rsidP="00D46651">
            <w:pPr>
              <w:ind w:left="306" w:hanging="284"/>
              <w:rPr>
                <w:rFonts w:asciiTheme="majorHAnsi" w:hAnsiTheme="majorHAnsi" w:cstheme="majorHAnsi"/>
              </w:rPr>
            </w:pPr>
          </w:p>
          <w:p w14:paraId="420A7412" w14:textId="29ED4038" w:rsidR="00EB7EBE" w:rsidRPr="00504A71" w:rsidRDefault="00EB7EBE" w:rsidP="00EB7E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 w:rsidP="00227B3F">
            <w:pPr>
              <w:ind w:left="323" w:hanging="283"/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 w:rsidP="00227B3F">
            <w:pPr>
              <w:ind w:left="323" w:hanging="283"/>
              <w:rPr>
                <w:rFonts w:asciiTheme="majorHAnsi" w:hAnsiTheme="majorHAnsi" w:cstheme="majorHAnsi"/>
              </w:rPr>
            </w:pPr>
          </w:p>
          <w:p w14:paraId="137731F9" w14:textId="77777777" w:rsidR="003E1C48" w:rsidRPr="003E1C48" w:rsidRDefault="003E1C48" w:rsidP="003E1C4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3E1C48">
              <w:rPr>
                <w:rFonts w:asciiTheme="majorHAnsi" w:hAnsiTheme="majorHAnsi" w:cstheme="majorHAnsi"/>
              </w:rPr>
              <w:t>Understand and use vector notation, including column notation, and understand and interpret vectors as displacement in the plane with an associated direction.</w:t>
            </w:r>
          </w:p>
          <w:p w14:paraId="5EC4DD38" w14:textId="77777777" w:rsidR="003E1C48" w:rsidRPr="003E1C48" w:rsidRDefault="003E1C48" w:rsidP="003E1C4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3E1C48">
              <w:rPr>
                <w:rFonts w:asciiTheme="majorHAnsi" w:hAnsiTheme="majorHAnsi" w:cstheme="majorHAnsi"/>
              </w:rPr>
              <w:t>Understand that 2a is parallel to a and twice its length, and that a is parallel to −a in the opposite direction.</w:t>
            </w:r>
          </w:p>
          <w:p w14:paraId="41679D49" w14:textId="77777777" w:rsidR="003E1C48" w:rsidRPr="003E1C48" w:rsidRDefault="003E1C48" w:rsidP="003E1C4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3E1C48">
              <w:rPr>
                <w:rFonts w:asciiTheme="majorHAnsi" w:hAnsiTheme="majorHAnsi" w:cstheme="majorHAnsi"/>
              </w:rPr>
              <w:t>Represent vectors, combinations of vectors and scalar multiples in the plane pictorially.</w:t>
            </w:r>
          </w:p>
          <w:p w14:paraId="3F09E198" w14:textId="77777777" w:rsidR="003E1C48" w:rsidRPr="003E1C48" w:rsidRDefault="003E1C48" w:rsidP="003E1C4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3E1C48">
              <w:rPr>
                <w:rFonts w:asciiTheme="majorHAnsi" w:hAnsiTheme="majorHAnsi" w:cstheme="majorHAnsi"/>
              </w:rPr>
              <w:t>Calculate the sum of two vectors, the difference of two vectors and a scalar multiple of a vector using column vectors (including algebraic terms).</w:t>
            </w:r>
          </w:p>
          <w:p w14:paraId="79206985" w14:textId="77777777" w:rsidR="003E1C48" w:rsidRPr="003E1C48" w:rsidRDefault="003E1C48" w:rsidP="003E1C4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3E1C48">
              <w:rPr>
                <w:rFonts w:asciiTheme="majorHAnsi" w:hAnsiTheme="majorHAnsi" w:cstheme="majorHAnsi"/>
              </w:rPr>
              <w:t>Find the length of a vector using Pythagoras’ Theorem.</w:t>
            </w:r>
          </w:p>
          <w:p w14:paraId="6B7D0355" w14:textId="77777777" w:rsidR="003E1C48" w:rsidRPr="003E1C48" w:rsidRDefault="003E1C48" w:rsidP="003E1C4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3E1C48">
              <w:rPr>
                <w:rFonts w:asciiTheme="majorHAnsi" w:hAnsiTheme="majorHAnsi" w:cstheme="majorHAnsi"/>
              </w:rPr>
              <w:t>Calculate the resultant of two vectors.</w:t>
            </w:r>
          </w:p>
          <w:p w14:paraId="35F5C300" w14:textId="77777777" w:rsidR="003E1C48" w:rsidRPr="003E1C48" w:rsidRDefault="003E1C48" w:rsidP="003E1C4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3E1C48">
              <w:rPr>
                <w:rFonts w:asciiTheme="majorHAnsi" w:hAnsiTheme="majorHAnsi" w:cstheme="majorHAnsi"/>
              </w:rPr>
              <w:t xml:space="preserve">Solve geometric problems in 2D where vectors are divided </w:t>
            </w:r>
            <w:proofErr w:type="gramStart"/>
            <w:r w:rsidRPr="003E1C48">
              <w:rPr>
                <w:rFonts w:asciiTheme="majorHAnsi" w:hAnsiTheme="majorHAnsi" w:cstheme="majorHAnsi"/>
              </w:rPr>
              <w:t>in a given</w:t>
            </w:r>
            <w:proofErr w:type="gramEnd"/>
            <w:r w:rsidRPr="003E1C48">
              <w:rPr>
                <w:rFonts w:asciiTheme="majorHAnsi" w:hAnsiTheme="majorHAnsi" w:cstheme="majorHAnsi"/>
              </w:rPr>
              <w:t xml:space="preserve"> ratio.</w:t>
            </w:r>
          </w:p>
          <w:p w14:paraId="2BC460B3" w14:textId="304698DD" w:rsidR="00224911" w:rsidRDefault="003E1C48" w:rsidP="003E1C4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3E1C48">
              <w:rPr>
                <w:rFonts w:asciiTheme="majorHAnsi" w:hAnsiTheme="majorHAnsi" w:cstheme="majorHAnsi"/>
              </w:rPr>
              <w:t xml:space="preserve">Produce geometrical proofs to prove points are collinear and vectors/lines are </w:t>
            </w:r>
            <w:proofErr w:type="gramStart"/>
            <w:r w:rsidRPr="003E1C48">
              <w:rPr>
                <w:rFonts w:asciiTheme="majorHAnsi" w:hAnsiTheme="majorHAnsi" w:cstheme="majorHAnsi"/>
              </w:rPr>
              <w:t>parallel.</w:t>
            </w:r>
            <w:r w:rsidR="00224911" w:rsidRPr="00224911">
              <w:rPr>
                <w:rFonts w:asciiTheme="majorHAnsi" w:hAnsiTheme="majorHAnsi" w:cstheme="majorHAnsi"/>
              </w:rPr>
              <w:t>.</w:t>
            </w:r>
            <w:proofErr w:type="gramEnd"/>
          </w:p>
          <w:p w14:paraId="08B01C74" w14:textId="77777777" w:rsidR="00217A32" w:rsidRDefault="00217A32" w:rsidP="003A3426">
            <w:pPr>
              <w:pStyle w:val="ListParagraph"/>
              <w:ind w:left="323"/>
              <w:rPr>
                <w:rFonts w:asciiTheme="majorHAnsi" w:hAnsiTheme="majorHAnsi" w:cstheme="majorHAnsi"/>
              </w:rPr>
            </w:pPr>
          </w:p>
          <w:p w14:paraId="29FC3B39" w14:textId="77777777" w:rsidR="00217A32" w:rsidRDefault="00217A32" w:rsidP="003A3426">
            <w:pPr>
              <w:pStyle w:val="ListParagraph"/>
              <w:ind w:left="323"/>
              <w:rPr>
                <w:rFonts w:asciiTheme="majorHAnsi" w:hAnsiTheme="majorHAnsi" w:cstheme="majorHAnsi"/>
              </w:rPr>
            </w:pPr>
          </w:p>
          <w:p w14:paraId="4D761B11" w14:textId="2C86226B" w:rsidR="00217A32" w:rsidRPr="00217A32" w:rsidRDefault="00217A32" w:rsidP="00217A3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1E8F288F" w14:textId="68BBF574" w:rsidR="004D2CF3" w:rsidRPr="00217A32" w:rsidRDefault="008C5092">
            <w:pPr>
              <w:rPr>
                <w:rFonts w:asciiTheme="majorHAnsi" w:hAnsiTheme="majorHAnsi" w:cstheme="majorHAnsi"/>
                <w:bCs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251F7A">
              <w:rPr>
                <w:rFonts w:asciiTheme="majorHAnsi" w:hAnsiTheme="majorHAnsi" w:cstheme="majorHAnsi"/>
                <w:bCs/>
              </w:rPr>
              <w:t xml:space="preserve">Vector </w:t>
            </w:r>
            <w:r w:rsidR="00AB7E1C">
              <w:rPr>
                <w:rFonts w:asciiTheme="majorHAnsi" w:hAnsiTheme="majorHAnsi" w:cstheme="majorHAnsi"/>
                <w:bCs/>
              </w:rPr>
              <w:t xml:space="preserve">arithmetic underpins the advanced calculations required for complex geometrical processing such as programming of CNC or robotic </w:t>
            </w:r>
            <w:r w:rsidR="00BB7148">
              <w:rPr>
                <w:rFonts w:asciiTheme="majorHAnsi" w:hAnsiTheme="majorHAnsi" w:cstheme="majorHAnsi"/>
                <w:bCs/>
              </w:rPr>
              <w:t xml:space="preserve">machines in technology, or the physics engines used </w:t>
            </w:r>
            <w:r w:rsidR="0017141C">
              <w:rPr>
                <w:rFonts w:asciiTheme="majorHAnsi" w:hAnsiTheme="majorHAnsi" w:cstheme="majorHAnsi"/>
                <w:bCs/>
              </w:rPr>
              <w:t>in simulations such as flight simulators and computer game</w:t>
            </w:r>
            <w:r w:rsidR="000B2825">
              <w:rPr>
                <w:rFonts w:asciiTheme="majorHAnsi" w:hAnsiTheme="majorHAnsi" w:cstheme="majorHAnsi"/>
                <w:bCs/>
              </w:rPr>
              <w:t>s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1D1BC565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reading skills taught and key texts:</w:t>
            </w:r>
          </w:p>
          <w:p w14:paraId="26BE83B7" w14:textId="77777777" w:rsidR="00095CED" w:rsidRDefault="00095CED" w:rsidP="00095CE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Clarify – identify key vocabulary in questions and be fluent in understanding the meanings</w:t>
            </w:r>
          </w:p>
          <w:p w14:paraId="75CFC830" w14:textId="77777777" w:rsidR="00095CED" w:rsidRDefault="00095CED" w:rsidP="00095CE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Question – from a worded question, what Maths is required to be done in order to get a solution?</w:t>
            </w: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5541016C" w:rsidR="008C5092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5241E4E4" w14:textId="77777777" w:rsidR="00D6619B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Encourage practice and consolidation through completion of homework, </w:t>
            </w:r>
            <w:proofErr w:type="spellStart"/>
            <w:r>
              <w:rPr>
                <w:rFonts w:asciiTheme="majorHAnsi" w:hAnsiTheme="majorHAnsi" w:cstheme="majorHAnsi"/>
              </w:rPr>
              <w:t>TTRockStars</w:t>
            </w:r>
            <w:proofErr w:type="spellEnd"/>
            <w:r>
              <w:rPr>
                <w:rFonts w:asciiTheme="majorHAnsi" w:hAnsiTheme="majorHAnsi" w:cstheme="majorHAnsi"/>
              </w:rPr>
              <w:t xml:space="preserve"> and using other online learning platforms</w:t>
            </w:r>
          </w:p>
          <w:p w14:paraId="39E060AE" w14:textId="2ECFBA55" w:rsidR="00D6619B" w:rsidRPr="00FB749C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them to practice their mathematical skills in a variety of everyday situations wherever the opportunity arises.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CA0"/>
    <w:multiLevelType w:val="hybridMultilevel"/>
    <w:tmpl w:val="E7CC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B9B"/>
    <w:multiLevelType w:val="hybridMultilevel"/>
    <w:tmpl w:val="126C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7EF4"/>
    <w:multiLevelType w:val="multilevel"/>
    <w:tmpl w:val="5A722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CA30B2"/>
    <w:multiLevelType w:val="hybridMultilevel"/>
    <w:tmpl w:val="AAA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133C"/>
    <w:multiLevelType w:val="multilevel"/>
    <w:tmpl w:val="4D2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C77FAB"/>
    <w:multiLevelType w:val="multilevel"/>
    <w:tmpl w:val="478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8411D2"/>
    <w:multiLevelType w:val="multilevel"/>
    <w:tmpl w:val="9BF0D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5B74A9A"/>
    <w:multiLevelType w:val="hybridMultilevel"/>
    <w:tmpl w:val="074E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44D8"/>
    <w:multiLevelType w:val="hybridMultilevel"/>
    <w:tmpl w:val="B58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0F4D"/>
    <w:multiLevelType w:val="multilevel"/>
    <w:tmpl w:val="53C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24E50"/>
    <w:multiLevelType w:val="multilevel"/>
    <w:tmpl w:val="16A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8400CB"/>
    <w:multiLevelType w:val="hybridMultilevel"/>
    <w:tmpl w:val="1772EAA2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7DD5181D"/>
    <w:multiLevelType w:val="multilevel"/>
    <w:tmpl w:val="A39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007E7"/>
    <w:rsid w:val="0000551D"/>
    <w:rsid w:val="00006888"/>
    <w:rsid w:val="00033081"/>
    <w:rsid w:val="00035689"/>
    <w:rsid w:val="000606DD"/>
    <w:rsid w:val="00095CED"/>
    <w:rsid w:val="00096D42"/>
    <w:rsid w:val="000A2A98"/>
    <w:rsid w:val="000A3E09"/>
    <w:rsid w:val="000B2825"/>
    <w:rsid w:val="000E62F0"/>
    <w:rsid w:val="00106899"/>
    <w:rsid w:val="00136235"/>
    <w:rsid w:val="0015700E"/>
    <w:rsid w:val="001624EF"/>
    <w:rsid w:val="001645B3"/>
    <w:rsid w:val="0017141C"/>
    <w:rsid w:val="001836E6"/>
    <w:rsid w:val="001B3FA3"/>
    <w:rsid w:val="001C2073"/>
    <w:rsid w:val="001D0FCB"/>
    <w:rsid w:val="001D658C"/>
    <w:rsid w:val="001D78BF"/>
    <w:rsid w:val="001E049E"/>
    <w:rsid w:val="001E3779"/>
    <w:rsid w:val="001F7596"/>
    <w:rsid w:val="00217A32"/>
    <w:rsid w:val="00224911"/>
    <w:rsid w:val="00227B3F"/>
    <w:rsid w:val="00242B8E"/>
    <w:rsid w:val="00247C9C"/>
    <w:rsid w:val="00250470"/>
    <w:rsid w:val="00251F7A"/>
    <w:rsid w:val="00255AA0"/>
    <w:rsid w:val="002706F0"/>
    <w:rsid w:val="0028185F"/>
    <w:rsid w:val="00290D0F"/>
    <w:rsid w:val="002F1A4B"/>
    <w:rsid w:val="00305372"/>
    <w:rsid w:val="003056A9"/>
    <w:rsid w:val="00330805"/>
    <w:rsid w:val="00343518"/>
    <w:rsid w:val="003579EE"/>
    <w:rsid w:val="003870B1"/>
    <w:rsid w:val="00396AD4"/>
    <w:rsid w:val="003A0A1A"/>
    <w:rsid w:val="003A3426"/>
    <w:rsid w:val="003B4882"/>
    <w:rsid w:val="003E1C48"/>
    <w:rsid w:val="0041589B"/>
    <w:rsid w:val="004430B6"/>
    <w:rsid w:val="004453D7"/>
    <w:rsid w:val="004634EB"/>
    <w:rsid w:val="004840F4"/>
    <w:rsid w:val="004B20C0"/>
    <w:rsid w:val="004C6EEA"/>
    <w:rsid w:val="004D2CF3"/>
    <w:rsid w:val="00504A71"/>
    <w:rsid w:val="00510B11"/>
    <w:rsid w:val="0051608B"/>
    <w:rsid w:val="00552E89"/>
    <w:rsid w:val="00556EC6"/>
    <w:rsid w:val="005B16B3"/>
    <w:rsid w:val="005C6FFA"/>
    <w:rsid w:val="006462A2"/>
    <w:rsid w:val="006746F3"/>
    <w:rsid w:val="006A26C4"/>
    <w:rsid w:val="00704701"/>
    <w:rsid w:val="0070631D"/>
    <w:rsid w:val="007351BF"/>
    <w:rsid w:val="00750F5A"/>
    <w:rsid w:val="00772284"/>
    <w:rsid w:val="007901B3"/>
    <w:rsid w:val="007C3C64"/>
    <w:rsid w:val="007E0739"/>
    <w:rsid w:val="00813926"/>
    <w:rsid w:val="008312DB"/>
    <w:rsid w:val="00832B61"/>
    <w:rsid w:val="008602FB"/>
    <w:rsid w:val="0086756C"/>
    <w:rsid w:val="008C5092"/>
    <w:rsid w:val="008E086B"/>
    <w:rsid w:val="008E7BBF"/>
    <w:rsid w:val="008F43BF"/>
    <w:rsid w:val="0092019B"/>
    <w:rsid w:val="00920A1C"/>
    <w:rsid w:val="00953CB9"/>
    <w:rsid w:val="00972141"/>
    <w:rsid w:val="0098082C"/>
    <w:rsid w:val="009916C5"/>
    <w:rsid w:val="009B255D"/>
    <w:rsid w:val="00A06FFC"/>
    <w:rsid w:val="00A262E6"/>
    <w:rsid w:val="00A70280"/>
    <w:rsid w:val="00A7189E"/>
    <w:rsid w:val="00AA0000"/>
    <w:rsid w:val="00AA5A9A"/>
    <w:rsid w:val="00AB7E1C"/>
    <w:rsid w:val="00AD2E15"/>
    <w:rsid w:val="00B1506B"/>
    <w:rsid w:val="00B30D9D"/>
    <w:rsid w:val="00B4223C"/>
    <w:rsid w:val="00B42D3C"/>
    <w:rsid w:val="00B724F4"/>
    <w:rsid w:val="00B85013"/>
    <w:rsid w:val="00B978BF"/>
    <w:rsid w:val="00BA1067"/>
    <w:rsid w:val="00BB085E"/>
    <w:rsid w:val="00BB7148"/>
    <w:rsid w:val="00BE059D"/>
    <w:rsid w:val="00BE6CC9"/>
    <w:rsid w:val="00BE7F7D"/>
    <w:rsid w:val="00C0450C"/>
    <w:rsid w:val="00C1356B"/>
    <w:rsid w:val="00C33A86"/>
    <w:rsid w:val="00C37582"/>
    <w:rsid w:val="00C62353"/>
    <w:rsid w:val="00CB42CA"/>
    <w:rsid w:val="00CB783E"/>
    <w:rsid w:val="00CD52F0"/>
    <w:rsid w:val="00D12574"/>
    <w:rsid w:val="00D12D6D"/>
    <w:rsid w:val="00D334AE"/>
    <w:rsid w:val="00D46651"/>
    <w:rsid w:val="00D6619B"/>
    <w:rsid w:val="00D73BA0"/>
    <w:rsid w:val="00D76861"/>
    <w:rsid w:val="00D91452"/>
    <w:rsid w:val="00DB051F"/>
    <w:rsid w:val="00DC1889"/>
    <w:rsid w:val="00DD6063"/>
    <w:rsid w:val="00DF5800"/>
    <w:rsid w:val="00E25397"/>
    <w:rsid w:val="00E37F75"/>
    <w:rsid w:val="00E5225D"/>
    <w:rsid w:val="00E755EB"/>
    <w:rsid w:val="00EA4839"/>
    <w:rsid w:val="00EB4470"/>
    <w:rsid w:val="00EB7EBE"/>
    <w:rsid w:val="00ED4F15"/>
    <w:rsid w:val="00F121E0"/>
    <w:rsid w:val="00F12F37"/>
    <w:rsid w:val="00F1591E"/>
    <w:rsid w:val="00F279B1"/>
    <w:rsid w:val="00F351E6"/>
    <w:rsid w:val="00F55364"/>
    <w:rsid w:val="00F658B0"/>
    <w:rsid w:val="00FA618B"/>
    <w:rsid w:val="00FB053D"/>
    <w:rsid w:val="00FB749C"/>
    <w:rsid w:val="00FC12E7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ragraph">
    <w:name w:val="paragraph"/>
    <w:basedOn w:val="Normal"/>
    <w:rsid w:val="0050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4A71"/>
  </w:style>
  <w:style w:type="character" w:customStyle="1" w:styleId="eop">
    <w:name w:val="eop"/>
    <w:basedOn w:val="DefaultParagraphFont"/>
    <w:rsid w:val="00504A71"/>
  </w:style>
  <w:style w:type="character" w:customStyle="1" w:styleId="scxw255519768">
    <w:name w:val="scxw255519768"/>
    <w:basedOn w:val="DefaultParagraphFont"/>
    <w:rsid w:val="00504A71"/>
  </w:style>
  <w:style w:type="character" w:styleId="PlaceholderText">
    <w:name w:val="Placeholder Text"/>
    <w:basedOn w:val="DefaultParagraphFont"/>
    <w:uiPriority w:val="99"/>
    <w:semiHidden/>
    <w:rsid w:val="00920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Paul Carr</cp:lastModifiedBy>
  <cp:revision>123</cp:revision>
  <dcterms:created xsi:type="dcterms:W3CDTF">2022-07-22T09:57:00Z</dcterms:created>
  <dcterms:modified xsi:type="dcterms:W3CDTF">2022-09-05T06:46:00Z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