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2E230FC9" w:rsidR="008C5092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504A71">
              <w:rPr>
                <w:rFonts w:asciiTheme="majorHAnsi" w:hAnsiTheme="majorHAnsi" w:cstheme="majorHAnsi"/>
                <w:sz w:val="48"/>
              </w:rPr>
              <w:t>7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6C40727E" w:rsidR="00FB749C" w:rsidRDefault="00FB749C" w:rsidP="00FB749C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504A71">
              <w:rPr>
                <w:rFonts w:asciiTheme="majorHAnsi" w:hAnsiTheme="majorHAnsi" w:cstheme="majorHAnsi"/>
                <w:b/>
                <w:sz w:val="28"/>
              </w:rPr>
              <w:t xml:space="preserve">Unit </w:t>
            </w:r>
            <w:r w:rsidR="00823532">
              <w:rPr>
                <w:rFonts w:asciiTheme="majorHAnsi" w:hAnsiTheme="majorHAnsi" w:cstheme="majorHAnsi"/>
                <w:b/>
                <w:sz w:val="28"/>
              </w:rPr>
              <w:t>7</w:t>
            </w:r>
            <w:r w:rsidR="00176A51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504A71">
              <w:rPr>
                <w:rFonts w:asciiTheme="majorHAnsi" w:hAnsiTheme="majorHAnsi" w:cstheme="majorHAnsi"/>
                <w:b/>
                <w:sz w:val="28"/>
              </w:rPr>
              <w:t xml:space="preserve">– </w:t>
            </w:r>
            <w:r w:rsidR="00823532">
              <w:rPr>
                <w:rFonts w:asciiTheme="majorHAnsi" w:hAnsiTheme="majorHAnsi" w:cstheme="majorHAnsi"/>
                <w:b/>
                <w:sz w:val="28"/>
              </w:rPr>
              <w:t>Ratio and Proportion</w:t>
            </w:r>
          </w:p>
          <w:p w14:paraId="6A9A5EBF" w14:textId="77777777" w:rsidR="004840F4" w:rsidRPr="00FB749C" w:rsidRDefault="004840F4" w:rsidP="00FB749C">
            <w:pPr>
              <w:rPr>
                <w:rFonts w:asciiTheme="majorHAnsi" w:hAnsiTheme="majorHAnsi" w:cstheme="majorHAnsi"/>
                <w:sz w:val="28"/>
              </w:rPr>
            </w:pPr>
          </w:p>
          <w:p w14:paraId="2BCB5A8E" w14:textId="18D54E2B" w:rsidR="00FB749C" w:rsidRPr="004840F4" w:rsidRDefault="00FB749C" w:rsidP="004840F4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="00685E10">
              <w:rPr>
                <w:rFonts w:asciiTheme="majorHAnsi" w:hAnsiTheme="majorHAnsi" w:cstheme="majorHAnsi"/>
                <w:sz w:val="28"/>
              </w:rPr>
              <w:t xml:space="preserve">Spring </w:t>
            </w:r>
            <w:r w:rsidR="00176A51">
              <w:rPr>
                <w:rFonts w:asciiTheme="majorHAnsi" w:hAnsiTheme="majorHAnsi" w:cstheme="majorHAnsi"/>
                <w:sz w:val="28"/>
              </w:rPr>
              <w:t>2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11D9D8E8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6D62E796" w14:textId="77777777" w:rsidR="000E62F0" w:rsidRPr="00FB749C" w:rsidRDefault="000E62F0">
            <w:pPr>
              <w:rPr>
                <w:rFonts w:asciiTheme="majorHAnsi" w:hAnsiTheme="majorHAnsi" w:cstheme="majorHAnsi"/>
                <w:b/>
              </w:rPr>
            </w:pPr>
          </w:p>
          <w:p w14:paraId="3CB34F93" w14:textId="1D8C2915" w:rsidR="00D12D6D" w:rsidRPr="000E62F0" w:rsidRDefault="000E62F0">
            <w:pPr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 xml:space="preserve">Students will </w:t>
            </w:r>
            <w:r w:rsidR="00A159C3">
              <w:rPr>
                <w:rFonts w:asciiTheme="majorHAnsi" w:hAnsiTheme="majorHAnsi" w:cstheme="majorHAnsi"/>
              </w:rPr>
              <w:t>build on t</w:t>
            </w:r>
            <w:r w:rsidR="00176A51">
              <w:rPr>
                <w:rFonts w:asciiTheme="majorHAnsi" w:hAnsiTheme="majorHAnsi" w:cstheme="majorHAnsi"/>
              </w:rPr>
              <w:t xml:space="preserve">he </w:t>
            </w:r>
            <w:r w:rsidR="00823532">
              <w:rPr>
                <w:rFonts w:asciiTheme="majorHAnsi" w:hAnsiTheme="majorHAnsi" w:cstheme="majorHAnsi"/>
              </w:rPr>
              <w:t>ratio</w:t>
            </w:r>
            <w:r w:rsidR="00A159C3">
              <w:rPr>
                <w:rFonts w:asciiTheme="majorHAnsi" w:hAnsiTheme="majorHAnsi" w:cstheme="majorHAnsi"/>
              </w:rPr>
              <w:t xml:space="preserve"> skills introduced in KS2</w:t>
            </w:r>
            <w:r w:rsidR="00823532">
              <w:rPr>
                <w:rFonts w:asciiTheme="majorHAnsi" w:hAnsiTheme="majorHAnsi" w:cstheme="majorHAnsi"/>
              </w:rPr>
              <w:t>, and the Fractions and Percentages work covered in Unit 5</w:t>
            </w:r>
            <w:r w:rsidR="00A159C3">
              <w:rPr>
                <w:rFonts w:asciiTheme="majorHAnsi" w:hAnsiTheme="majorHAnsi" w:cstheme="majorHAnsi"/>
              </w:rPr>
              <w:t xml:space="preserve"> </w:t>
            </w:r>
            <w:r w:rsidR="00ED5D74">
              <w:rPr>
                <w:rFonts w:asciiTheme="majorHAnsi" w:hAnsiTheme="majorHAnsi" w:cstheme="majorHAnsi"/>
              </w:rPr>
              <w:t xml:space="preserve">to further improve their understanding of how to use and apply </w:t>
            </w:r>
            <w:r w:rsidR="00823532">
              <w:rPr>
                <w:rFonts w:asciiTheme="majorHAnsi" w:hAnsiTheme="majorHAnsi" w:cstheme="majorHAnsi"/>
              </w:rPr>
              <w:t>ratio</w:t>
            </w:r>
            <w:r w:rsidR="00ED5D74">
              <w:rPr>
                <w:rFonts w:asciiTheme="majorHAnsi" w:hAnsiTheme="majorHAnsi" w:cstheme="majorHAnsi"/>
              </w:rPr>
              <w:t xml:space="preserve">, </w:t>
            </w:r>
            <w:r w:rsidR="00823532">
              <w:rPr>
                <w:rFonts w:asciiTheme="majorHAnsi" w:hAnsiTheme="majorHAnsi" w:cstheme="majorHAnsi"/>
              </w:rPr>
              <w:t>set up ratios and simplify them, share in a ratio (in various contexts</w:t>
            </w:r>
            <w:proofErr w:type="gramStart"/>
            <w:r w:rsidR="00823532">
              <w:rPr>
                <w:rFonts w:asciiTheme="majorHAnsi" w:hAnsiTheme="majorHAnsi" w:cstheme="majorHAnsi"/>
              </w:rPr>
              <w:t>)</w:t>
            </w:r>
            <w:proofErr w:type="gramEnd"/>
            <w:r w:rsidR="00823532">
              <w:rPr>
                <w:rFonts w:asciiTheme="majorHAnsi" w:hAnsiTheme="majorHAnsi" w:cstheme="majorHAnsi"/>
              </w:rPr>
              <w:t xml:space="preserve"> and understand basic proportion</w:t>
            </w:r>
            <w:r w:rsidR="002968DE">
              <w:rPr>
                <w:rFonts w:asciiTheme="majorHAnsi" w:hAnsiTheme="majorHAnsi" w:cstheme="majorHAnsi"/>
              </w:rPr>
              <w:t>.</w:t>
            </w:r>
          </w:p>
          <w:p w14:paraId="35076174" w14:textId="77325F5A" w:rsidR="000E62F0" w:rsidRPr="000E62F0" w:rsidRDefault="000E62F0">
            <w:pPr>
              <w:rPr>
                <w:rFonts w:asciiTheme="majorHAnsi" w:hAnsiTheme="majorHAnsi" w:cstheme="majorHAnsi"/>
              </w:rPr>
            </w:pPr>
          </w:p>
          <w:p w14:paraId="4E8B2119" w14:textId="46776256" w:rsidR="00DB6F8D" w:rsidRDefault="00823532" w:rsidP="00DB6F8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Direct proportion</w:t>
            </w:r>
          </w:p>
          <w:p w14:paraId="6D0450EF" w14:textId="03AE95DB" w:rsidR="00823532" w:rsidRDefault="00823532" w:rsidP="00DB6F8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Writing ratios</w:t>
            </w:r>
          </w:p>
          <w:p w14:paraId="5BB7B5EB" w14:textId="563C3351" w:rsidR="00823532" w:rsidRDefault="00823532" w:rsidP="00DB6F8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Using ratios</w:t>
            </w:r>
          </w:p>
          <w:p w14:paraId="5E899E57" w14:textId="7A61757D" w:rsidR="00823532" w:rsidRDefault="00823532" w:rsidP="00DB6F8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Ratios, </w:t>
            </w:r>
            <w:proofErr w:type="gramStart"/>
            <w:r>
              <w:rPr>
                <w:rFonts w:asciiTheme="majorHAnsi" w:hAnsiTheme="majorHAnsi" w:cstheme="majorHAnsi"/>
              </w:rPr>
              <w:t>proportions</w:t>
            </w:r>
            <w:proofErr w:type="gramEnd"/>
            <w:r>
              <w:rPr>
                <w:rFonts w:asciiTheme="majorHAnsi" w:hAnsiTheme="majorHAnsi" w:cstheme="majorHAnsi"/>
              </w:rPr>
              <w:t xml:space="preserve"> and fractions</w:t>
            </w:r>
          </w:p>
          <w:p w14:paraId="07E5332D" w14:textId="0C45C26C" w:rsidR="00823532" w:rsidRDefault="00823532" w:rsidP="00DB6F8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Proportions and percentages</w:t>
            </w:r>
          </w:p>
          <w:p w14:paraId="63508655" w14:textId="7C0342F9" w:rsidR="0098082C" w:rsidRPr="00FB749C" w:rsidRDefault="0098082C" w:rsidP="00176A51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00176A51">
        <w:trPr>
          <w:trHeight w:val="699"/>
        </w:trPr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504A71" w:rsidRDefault="008C5092" w:rsidP="00044776">
            <w:pPr>
              <w:ind w:left="306" w:hanging="284"/>
              <w:rPr>
                <w:rFonts w:asciiTheme="majorHAnsi" w:hAnsiTheme="majorHAnsi" w:cstheme="majorHAnsi"/>
              </w:rPr>
            </w:pPr>
            <w:r w:rsidRPr="00504A71">
              <w:rPr>
                <w:rFonts w:asciiTheme="majorHAnsi" w:hAnsiTheme="majorHAnsi" w:cstheme="majorHAnsi"/>
                <w:b/>
              </w:rPr>
              <w:t>Key</w:t>
            </w:r>
            <w:r w:rsidRPr="00504A71">
              <w:rPr>
                <w:rFonts w:asciiTheme="majorHAnsi" w:hAnsiTheme="majorHAnsi" w:cstheme="majorHAnsi"/>
              </w:rPr>
              <w:t xml:space="preserve"> </w:t>
            </w:r>
            <w:r w:rsidRPr="00504A71">
              <w:rPr>
                <w:rFonts w:asciiTheme="majorHAnsi" w:hAnsiTheme="majorHAnsi" w:cstheme="majorHAnsi"/>
                <w:b/>
              </w:rPr>
              <w:t>knowledge:</w:t>
            </w:r>
          </w:p>
          <w:p w14:paraId="0D1EEE19" w14:textId="77777777" w:rsidR="00823532" w:rsidRPr="00823532" w:rsidRDefault="00823532" w:rsidP="0082353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3532">
              <w:rPr>
                <w:rFonts w:asciiTheme="majorHAnsi" w:hAnsiTheme="majorHAnsi" w:cstheme="majorHAnsi"/>
              </w:rPr>
              <w:t>When two quantities are in direct proportion, as one increases or decreases, the other increases or decreases at the same rate.</w:t>
            </w:r>
          </w:p>
          <w:p w14:paraId="76A0E2EF" w14:textId="77777777" w:rsidR="00823532" w:rsidRPr="00823532" w:rsidRDefault="00823532" w:rsidP="0082353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3532">
              <w:rPr>
                <w:rFonts w:asciiTheme="majorHAnsi" w:hAnsiTheme="majorHAnsi" w:cstheme="majorHAnsi"/>
              </w:rPr>
              <w:t>This means that when one quantity is zero, so is the other; when one doubles, so does the other; when one is multiplied by 3, so is the other, etc.</w:t>
            </w:r>
          </w:p>
          <w:p w14:paraId="7314B156" w14:textId="77777777" w:rsidR="00176A51" w:rsidRDefault="00823532" w:rsidP="0082353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23532">
              <w:rPr>
                <w:rFonts w:asciiTheme="majorHAnsi" w:hAnsiTheme="majorHAnsi" w:cstheme="majorHAnsi"/>
              </w:rPr>
              <w:t>In the unitary method, you find the value of one item before finding the value of more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31AD8E10" w14:textId="77777777" w:rsidR="00823532" w:rsidRPr="00823532" w:rsidRDefault="00823532" w:rsidP="0082353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3532">
              <w:rPr>
                <w:rFonts w:asciiTheme="majorHAnsi" w:hAnsiTheme="majorHAnsi" w:cstheme="majorHAnsi"/>
              </w:rPr>
              <w:t>A ratio is a way of comparing two or more quantities.</w:t>
            </w:r>
          </w:p>
          <w:p w14:paraId="6A2FD5F3" w14:textId="77777777" w:rsidR="00823532" w:rsidRPr="00823532" w:rsidRDefault="00823532" w:rsidP="0082353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3532">
              <w:rPr>
                <w:rFonts w:asciiTheme="majorHAnsi" w:hAnsiTheme="majorHAnsi" w:cstheme="majorHAnsi"/>
              </w:rPr>
              <w:t>Ratios are written as numbers separated by a colon ‘:’</w:t>
            </w:r>
          </w:p>
          <w:p w14:paraId="41DD20AC" w14:textId="3DFE7DDF" w:rsidR="00823532" w:rsidRPr="00823532" w:rsidRDefault="00823532" w:rsidP="00DF49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3532">
              <w:rPr>
                <w:rFonts w:asciiTheme="majorHAnsi" w:hAnsiTheme="majorHAnsi" w:cstheme="majorHAnsi"/>
              </w:rPr>
              <w:t xml:space="preserve">For example, </w:t>
            </w:r>
            <w:r w:rsidRPr="00823532">
              <w:rPr>
                <w:rFonts w:asciiTheme="majorHAnsi" w:hAnsiTheme="majorHAnsi" w:cstheme="majorHAnsi"/>
              </w:rPr>
              <w:t xml:space="preserve">if </w:t>
            </w:r>
            <w:r w:rsidRPr="00823532">
              <w:rPr>
                <w:rFonts w:asciiTheme="majorHAnsi" w:hAnsiTheme="majorHAnsi" w:cstheme="majorHAnsi"/>
              </w:rPr>
              <w:t xml:space="preserve">in </w:t>
            </w:r>
            <w:r w:rsidRPr="00823532">
              <w:rPr>
                <w:rFonts w:asciiTheme="majorHAnsi" w:hAnsiTheme="majorHAnsi" w:cstheme="majorHAnsi"/>
              </w:rPr>
              <w:t>a</w:t>
            </w:r>
            <w:r w:rsidRPr="00823532">
              <w:rPr>
                <w:rFonts w:asciiTheme="majorHAnsi" w:hAnsiTheme="majorHAnsi" w:cstheme="majorHAnsi"/>
              </w:rPr>
              <w:t xml:space="preserve"> tile pattern there are 2 blue tiles for 1 red tile</w:t>
            </w:r>
            <w:r w:rsidRPr="00823532">
              <w:rPr>
                <w:rFonts w:asciiTheme="majorHAnsi" w:hAnsiTheme="majorHAnsi" w:cstheme="majorHAnsi"/>
              </w:rPr>
              <w:t>, t</w:t>
            </w:r>
            <w:r w:rsidRPr="00823532">
              <w:rPr>
                <w:rFonts w:asciiTheme="majorHAnsi" w:hAnsiTheme="majorHAnsi" w:cstheme="majorHAnsi"/>
              </w:rPr>
              <w:t>he ratio of blue tiles to red tiles is 2 : 1.</w:t>
            </w:r>
          </w:p>
          <w:p w14:paraId="20CFF753" w14:textId="77777777" w:rsidR="00823532" w:rsidRDefault="00823532" w:rsidP="0082353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23532">
              <w:rPr>
                <w:rFonts w:asciiTheme="majorHAnsi" w:hAnsiTheme="majorHAnsi" w:cstheme="majorHAnsi"/>
              </w:rPr>
              <w:t>You can make the numbers in a ratio as small as possible by simplifying. You simplify a ratio by dividing the numbers in the ratio by the highest common factor.</w:t>
            </w:r>
          </w:p>
          <w:p w14:paraId="21959614" w14:textId="77777777" w:rsidR="00823532" w:rsidRPr="00823532" w:rsidRDefault="00823532" w:rsidP="0082353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3532">
              <w:rPr>
                <w:rFonts w:asciiTheme="majorHAnsi" w:hAnsiTheme="majorHAnsi" w:cstheme="majorHAnsi"/>
              </w:rPr>
              <w:t>Multiplying all the numbers in a ratio by the same number gives an equivalent ratio.</w:t>
            </w:r>
          </w:p>
          <w:p w14:paraId="3E934B37" w14:textId="77777777" w:rsidR="00823532" w:rsidRDefault="00823532" w:rsidP="0082353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23532">
              <w:rPr>
                <w:rFonts w:asciiTheme="majorHAnsi" w:hAnsiTheme="majorHAnsi" w:cstheme="majorHAnsi"/>
              </w:rPr>
              <w:t>You can use ratios to convert between metric units</w:t>
            </w:r>
          </w:p>
          <w:p w14:paraId="2250749E" w14:textId="77777777" w:rsidR="00823532" w:rsidRPr="00823532" w:rsidRDefault="00823532" w:rsidP="0082353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3532">
              <w:rPr>
                <w:rFonts w:asciiTheme="majorHAnsi" w:hAnsiTheme="majorHAnsi" w:cstheme="majorHAnsi"/>
              </w:rPr>
              <w:t xml:space="preserve">A proportion compares a part with a whole. You can write a proportion as a fraction, a </w:t>
            </w:r>
            <w:proofErr w:type="gramStart"/>
            <w:r w:rsidRPr="00823532">
              <w:rPr>
                <w:rFonts w:asciiTheme="majorHAnsi" w:hAnsiTheme="majorHAnsi" w:cstheme="majorHAnsi"/>
              </w:rPr>
              <w:t>decimal</w:t>
            </w:r>
            <w:proofErr w:type="gramEnd"/>
            <w:r w:rsidRPr="00823532">
              <w:rPr>
                <w:rFonts w:asciiTheme="majorHAnsi" w:hAnsiTheme="majorHAnsi" w:cstheme="majorHAnsi"/>
              </w:rPr>
              <w:t xml:space="preserve"> or a percentage.</w:t>
            </w:r>
          </w:p>
          <w:p w14:paraId="1C9BBBFB" w14:textId="77777777" w:rsidR="00823532" w:rsidRDefault="00823532" w:rsidP="0082353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23532">
              <w:rPr>
                <w:rFonts w:asciiTheme="majorHAnsi" w:hAnsiTheme="majorHAnsi" w:cstheme="majorHAnsi"/>
              </w:rPr>
              <w:t>A ratio compares a part with a part. A proportion compares a part with a whole.</w:t>
            </w:r>
          </w:p>
          <w:p w14:paraId="3D6D4F07" w14:textId="77777777" w:rsidR="00823532" w:rsidRDefault="00823532" w:rsidP="0082353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23532">
              <w:rPr>
                <w:rFonts w:asciiTheme="majorHAnsi" w:hAnsiTheme="majorHAnsi" w:cstheme="majorHAnsi"/>
              </w:rPr>
              <w:t>You can compare proportions using percentages.</w:t>
            </w:r>
          </w:p>
          <w:p w14:paraId="1588733E" w14:textId="77777777" w:rsidR="00823532" w:rsidRDefault="00823532" w:rsidP="00823532">
            <w:pPr>
              <w:rPr>
                <w:rFonts w:asciiTheme="majorHAnsi" w:hAnsiTheme="majorHAnsi" w:cstheme="majorHAnsi"/>
              </w:rPr>
            </w:pPr>
          </w:p>
          <w:p w14:paraId="2B87777B" w14:textId="77777777" w:rsidR="00823532" w:rsidRDefault="00823532" w:rsidP="00823532">
            <w:pPr>
              <w:rPr>
                <w:rFonts w:asciiTheme="majorHAnsi" w:hAnsiTheme="majorHAnsi" w:cstheme="majorHAnsi"/>
              </w:rPr>
            </w:pPr>
          </w:p>
          <w:p w14:paraId="0E46B854" w14:textId="77777777" w:rsidR="00823532" w:rsidRDefault="00823532" w:rsidP="00823532">
            <w:pPr>
              <w:rPr>
                <w:rFonts w:asciiTheme="majorHAnsi" w:hAnsiTheme="majorHAnsi" w:cstheme="majorHAnsi"/>
              </w:rPr>
            </w:pPr>
          </w:p>
          <w:p w14:paraId="676EA0C1" w14:textId="77777777" w:rsidR="00823532" w:rsidRDefault="00823532" w:rsidP="00823532">
            <w:pPr>
              <w:rPr>
                <w:rFonts w:asciiTheme="majorHAnsi" w:hAnsiTheme="majorHAnsi" w:cstheme="majorHAnsi"/>
              </w:rPr>
            </w:pPr>
          </w:p>
          <w:p w14:paraId="716BF2B8" w14:textId="77777777" w:rsidR="00823532" w:rsidRDefault="00823532" w:rsidP="00823532">
            <w:pPr>
              <w:rPr>
                <w:rFonts w:asciiTheme="majorHAnsi" w:hAnsiTheme="majorHAnsi" w:cstheme="majorHAnsi"/>
              </w:rPr>
            </w:pPr>
          </w:p>
          <w:p w14:paraId="4B904C8A" w14:textId="77777777" w:rsidR="00823532" w:rsidRDefault="00823532" w:rsidP="00823532">
            <w:pPr>
              <w:rPr>
                <w:rFonts w:asciiTheme="majorHAnsi" w:hAnsiTheme="majorHAnsi" w:cstheme="majorHAnsi"/>
              </w:rPr>
            </w:pPr>
          </w:p>
          <w:p w14:paraId="7EFD4E35" w14:textId="77777777" w:rsidR="00823532" w:rsidRDefault="00823532" w:rsidP="00823532">
            <w:pPr>
              <w:rPr>
                <w:rFonts w:asciiTheme="majorHAnsi" w:hAnsiTheme="majorHAnsi" w:cstheme="majorHAnsi"/>
              </w:rPr>
            </w:pPr>
          </w:p>
          <w:p w14:paraId="7418465B" w14:textId="77777777" w:rsidR="00823532" w:rsidRDefault="00823532" w:rsidP="00823532">
            <w:pPr>
              <w:rPr>
                <w:rFonts w:asciiTheme="majorHAnsi" w:hAnsiTheme="majorHAnsi" w:cstheme="majorHAnsi"/>
              </w:rPr>
            </w:pPr>
          </w:p>
          <w:p w14:paraId="32CD3F05" w14:textId="77777777" w:rsidR="00823532" w:rsidRDefault="00823532" w:rsidP="00823532">
            <w:pPr>
              <w:rPr>
                <w:rFonts w:asciiTheme="majorHAnsi" w:hAnsiTheme="majorHAnsi" w:cstheme="majorHAnsi"/>
              </w:rPr>
            </w:pPr>
          </w:p>
          <w:p w14:paraId="420A7412" w14:textId="62500499" w:rsidR="00823532" w:rsidRPr="00823532" w:rsidRDefault="00823532" w:rsidP="008235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 w:rsidP="00044776">
            <w:pPr>
              <w:ind w:left="323" w:hanging="283"/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4245DB1" w14:textId="77777777" w:rsidR="00823532" w:rsidRPr="00823532" w:rsidRDefault="00823532" w:rsidP="008235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bCs/>
                <w:iCs/>
              </w:rPr>
            </w:pPr>
            <w:r w:rsidRPr="00823532">
              <w:rPr>
                <w:rFonts w:asciiTheme="majorHAnsi" w:hAnsiTheme="majorHAnsi" w:cstheme="majorHAnsi"/>
                <w:bCs/>
                <w:iCs/>
              </w:rPr>
              <w:t>Use direct proportion in simple contexts</w:t>
            </w:r>
          </w:p>
          <w:p w14:paraId="222B1E2A" w14:textId="77777777" w:rsidR="00823532" w:rsidRPr="00823532" w:rsidRDefault="00823532" w:rsidP="008235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bCs/>
                <w:iCs/>
              </w:rPr>
            </w:pPr>
            <w:r w:rsidRPr="00823532">
              <w:rPr>
                <w:rFonts w:asciiTheme="majorHAnsi" w:hAnsiTheme="majorHAnsi" w:cstheme="majorHAnsi"/>
                <w:bCs/>
                <w:iCs/>
              </w:rPr>
              <w:t>Solve simple problems involving direct proportion</w:t>
            </w:r>
          </w:p>
          <w:p w14:paraId="3A27767C" w14:textId="7754A6BE" w:rsidR="00176A51" w:rsidRPr="00823532" w:rsidRDefault="00823532" w:rsidP="00823532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 w:rsidRPr="00823532">
              <w:rPr>
                <w:rFonts w:asciiTheme="majorHAnsi" w:hAnsiTheme="majorHAnsi" w:cstheme="majorHAnsi"/>
                <w:bCs/>
                <w:iCs/>
              </w:rPr>
              <w:t>Use the unitary method to solve simple word problems involving direct proportion</w:t>
            </w:r>
          </w:p>
          <w:p w14:paraId="70C8E804" w14:textId="77777777" w:rsidR="00823532" w:rsidRPr="00823532" w:rsidRDefault="00823532" w:rsidP="0082353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823532">
              <w:rPr>
                <w:rFonts w:asciiTheme="majorHAnsi" w:hAnsiTheme="majorHAnsi" w:cstheme="majorHAnsi"/>
                <w:bCs/>
              </w:rPr>
              <w:t>Use ratio notation</w:t>
            </w:r>
          </w:p>
          <w:p w14:paraId="6679DD3C" w14:textId="77777777" w:rsidR="00823532" w:rsidRPr="00823532" w:rsidRDefault="00823532" w:rsidP="0082353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823532">
              <w:rPr>
                <w:rFonts w:asciiTheme="majorHAnsi" w:hAnsiTheme="majorHAnsi" w:cstheme="majorHAnsi"/>
                <w:bCs/>
              </w:rPr>
              <w:t>Reduce a ratio to its simplest form</w:t>
            </w:r>
          </w:p>
          <w:p w14:paraId="058DB925" w14:textId="013D5A3C" w:rsidR="00823532" w:rsidRPr="00823532" w:rsidRDefault="00823532" w:rsidP="00823532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 w:rsidRPr="00823532">
              <w:rPr>
                <w:rFonts w:asciiTheme="majorHAnsi" w:hAnsiTheme="majorHAnsi" w:cstheme="majorHAnsi"/>
                <w:bCs/>
              </w:rPr>
              <w:t>Reduce a three-part ratio to its simplest form by cancelling</w:t>
            </w:r>
          </w:p>
          <w:p w14:paraId="436437BC" w14:textId="77777777" w:rsidR="00823532" w:rsidRPr="00823532" w:rsidRDefault="00823532" w:rsidP="0082353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823532">
              <w:rPr>
                <w:rFonts w:asciiTheme="majorHAnsi" w:hAnsiTheme="majorHAnsi" w:cstheme="majorHAnsi"/>
                <w:bCs/>
              </w:rPr>
              <w:t>Find equivalent ratios</w:t>
            </w:r>
          </w:p>
          <w:p w14:paraId="76BAEF4D" w14:textId="77777777" w:rsidR="00823532" w:rsidRPr="00823532" w:rsidRDefault="00823532" w:rsidP="0082353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823532">
              <w:rPr>
                <w:rFonts w:asciiTheme="majorHAnsi" w:hAnsiTheme="majorHAnsi" w:cstheme="majorHAnsi"/>
                <w:bCs/>
              </w:rPr>
              <w:t xml:space="preserve">Divide a quantity into two parts </w:t>
            </w:r>
            <w:proofErr w:type="gramStart"/>
            <w:r w:rsidRPr="00823532">
              <w:rPr>
                <w:rFonts w:asciiTheme="majorHAnsi" w:hAnsiTheme="majorHAnsi" w:cstheme="majorHAnsi"/>
                <w:bCs/>
              </w:rPr>
              <w:t>in a given</w:t>
            </w:r>
            <w:proofErr w:type="gramEnd"/>
            <w:r w:rsidRPr="00823532">
              <w:rPr>
                <w:rFonts w:asciiTheme="majorHAnsi" w:hAnsiTheme="majorHAnsi" w:cstheme="majorHAnsi"/>
                <w:bCs/>
              </w:rPr>
              <w:t xml:space="preserve"> ratio</w:t>
            </w:r>
          </w:p>
          <w:p w14:paraId="7C7B4C2A" w14:textId="77777777" w:rsidR="00823532" w:rsidRPr="00823532" w:rsidRDefault="00823532" w:rsidP="0082353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823532">
              <w:rPr>
                <w:rFonts w:asciiTheme="majorHAnsi" w:hAnsiTheme="majorHAnsi" w:cstheme="majorHAnsi"/>
                <w:bCs/>
              </w:rPr>
              <w:t>Solve word problems involving ratio</w:t>
            </w:r>
          </w:p>
          <w:p w14:paraId="29BB6812" w14:textId="7CA1F8E2" w:rsidR="00823532" w:rsidRPr="00823532" w:rsidRDefault="00823532" w:rsidP="00823532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 w:rsidRPr="00823532">
              <w:rPr>
                <w:rFonts w:asciiTheme="majorHAnsi" w:hAnsiTheme="majorHAnsi" w:cstheme="majorHAnsi"/>
                <w:bCs/>
              </w:rPr>
              <w:t>Use ratios and measures</w:t>
            </w:r>
          </w:p>
          <w:p w14:paraId="127C4C30" w14:textId="77777777" w:rsidR="00823532" w:rsidRPr="00823532" w:rsidRDefault="00823532" w:rsidP="0082353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823532">
              <w:rPr>
                <w:rFonts w:asciiTheme="majorHAnsi" w:hAnsiTheme="majorHAnsi" w:cstheme="majorHAnsi"/>
                <w:bCs/>
              </w:rPr>
              <w:t>Use fractions to describe and compare proportions</w:t>
            </w:r>
          </w:p>
          <w:p w14:paraId="6CD5E286" w14:textId="456DBDC1" w:rsidR="00823532" w:rsidRPr="00823532" w:rsidRDefault="00823532" w:rsidP="00823532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 w:rsidRPr="00823532">
              <w:rPr>
                <w:rFonts w:asciiTheme="majorHAnsi" w:hAnsiTheme="majorHAnsi" w:cstheme="majorHAnsi"/>
                <w:bCs/>
              </w:rPr>
              <w:t xml:space="preserve">Understand and use the relationship between fractions, </w:t>
            </w:r>
            <w:proofErr w:type="gramStart"/>
            <w:r w:rsidRPr="00823532">
              <w:rPr>
                <w:rFonts w:asciiTheme="majorHAnsi" w:hAnsiTheme="majorHAnsi" w:cstheme="majorHAnsi"/>
                <w:bCs/>
              </w:rPr>
              <w:t>ratio</w:t>
            </w:r>
            <w:proofErr w:type="gramEnd"/>
            <w:r w:rsidRPr="00823532">
              <w:rPr>
                <w:rFonts w:asciiTheme="majorHAnsi" w:hAnsiTheme="majorHAnsi" w:cstheme="majorHAnsi"/>
                <w:bCs/>
              </w:rPr>
              <w:t xml:space="preserve"> and proportion</w:t>
            </w:r>
          </w:p>
          <w:p w14:paraId="3CBDAF2D" w14:textId="77777777" w:rsidR="00823532" w:rsidRPr="00823532" w:rsidRDefault="00823532" w:rsidP="0082353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823532">
              <w:rPr>
                <w:rFonts w:asciiTheme="majorHAnsi" w:hAnsiTheme="majorHAnsi" w:cstheme="majorHAnsi"/>
                <w:bCs/>
              </w:rPr>
              <w:t>Use percentages to describe proportions</w:t>
            </w:r>
          </w:p>
          <w:p w14:paraId="53F616A8" w14:textId="77777777" w:rsidR="00823532" w:rsidRPr="00823532" w:rsidRDefault="00823532" w:rsidP="0082353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823532">
              <w:rPr>
                <w:rFonts w:asciiTheme="majorHAnsi" w:hAnsiTheme="majorHAnsi" w:cstheme="majorHAnsi"/>
                <w:bCs/>
              </w:rPr>
              <w:t>Use percentages to compare simple proportions</w:t>
            </w:r>
          </w:p>
          <w:p w14:paraId="1E157E51" w14:textId="40D8836B" w:rsidR="00823532" w:rsidRPr="00823532" w:rsidRDefault="00823532" w:rsidP="00823532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 w:rsidRPr="00823532">
              <w:rPr>
                <w:rFonts w:asciiTheme="majorHAnsi" w:hAnsiTheme="majorHAnsi" w:cstheme="majorHAnsi"/>
                <w:bCs/>
              </w:rPr>
              <w:t xml:space="preserve">Understand and use the relationship between percentages, </w:t>
            </w:r>
            <w:proofErr w:type="gramStart"/>
            <w:r w:rsidRPr="00823532">
              <w:rPr>
                <w:rFonts w:asciiTheme="majorHAnsi" w:hAnsiTheme="majorHAnsi" w:cstheme="majorHAnsi"/>
                <w:bCs/>
              </w:rPr>
              <w:t>ratio</w:t>
            </w:r>
            <w:proofErr w:type="gramEnd"/>
            <w:r w:rsidRPr="00823532">
              <w:rPr>
                <w:rFonts w:asciiTheme="majorHAnsi" w:hAnsiTheme="majorHAnsi" w:cstheme="majorHAnsi"/>
                <w:bCs/>
              </w:rPr>
              <w:t xml:space="preserve"> and proportion</w:t>
            </w:r>
          </w:p>
          <w:p w14:paraId="4D367956" w14:textId="77777777" w:rsidR="00823532" w:rsidRDefault="00823532" w:rsidP="00823532">
            <w:pPr>
              <w:ind w:left="720"/>
              <w:rPr>
                <w:rFonts w:asciiTheme="majorHAnsi" w:hAnsiTheme="majorHAnsi" w:cstheme="majorHAnsi"/>
                <w:b/>
              </w:rPr>
            </w:pPr>
          </w:p>
          <w:p w14:paraId="0FD91DCB" w14:textId="307121B5" w:rsidR="00D6619B" w:rsidRPr="00504A71" w:rsidRDefault="00D6619B" w:rsidP="00044776">
            <w:pPr>
              <w:ind w:left="323" w:hanging="283"/>
              <w:rPr>
                <w:rFonts w:asciiTheme="majorHAnsi" w:hAnsiTheme="majorHAnsi" w:cstheme="majorHAnsi"/>
                <w:b/>
              </w:rPr>
            </w:pPr>
            <w:r w:rsidRPr="00504A71">
              <w:rPr>
                <w:rFonts w:asciiTheme="majorHAnsi" w:hAnsiTheme="majorHAnsi" w:cstheme="majorHAnsi"/>
                <w:b/>
              </w:rPr>
              <w:t>Key vocabulary:</w:t>
            </w:r>
          </w:p>
          <w:p w14:paraId="1758BE07" w14:textId="77777777" w:rsidR="00D6619B" w:rsidRPr="00504A71" w:rsidRDefault="00D6619B" w:rsidP="00044776">
            <w:pPr>
              <w:ind w:left="323" w:hanging="283"/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D6619B" w:rsidRPr="00504A71" w14:paraId="210F37B8" w14:textId="77777777" w:rsidTr="007C3D5E">
              <w:tc>
                <w:tcPr>
                  <w:tcW w:w="2578" w:type="dxa"/>
                  <w:shd w:val="clear" w:color="auto" w:fill="2E74B5" w:themeFill="accent1" w:themeFillShade="BF"/>
                </w:tcPr>
                <w:p w14:paraId="427EDEBF" w14:textId="77777777" w:rsidR="00D6619B" w:rsidRPr="00D6619B" w:rsidRDefault="00D6619B" w:rsidP="00044776">
                  <w:pPr>
                    <w:ind w:left="323" w:hanging="283"/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183414D0" w14:textId="77777777" w:rsidR="00D6619B" w:rsidRPr="00D6619B" w:rsidRDefault="00D6619B" w:rsidP="00044776">
                  <w:pPr>
                    <w:ind w:left="323" w:hanging="283"/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  <w:t>Tier 3</w:t>
                  </w:r>
                </w:p>
              </w:tc>
            </w:tr>
            <w:tr w:rsidR="00D6619B" w:rsidRPr="00504A71" w14:paraId="365D32C3" w14:textId="77777777" w:rsidTr="007C3D5E">
              <w:tc>
                <w:tcPr>
                  <w:tcW w:w="2578" w:type="dxa"/>
                  <w:shd w:val="clear" w:color="auto" w:fill="auto"/>
                </w:tcPr>
                <w:p w14:paraId="0B81975B" w14:textId="5B452EA1" w:rsidR="00BA5F50" w:rsidRDefault="00823532" w:rsidP="007112EF">
                  <w:pPr>
                    <w:pStyle w:val="ListParagraph"/>
                    <w:numPr>
                      <w:ilvl w:val="0"/>
                      <w:numId w:val="10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Quantity</w:t>
                  </w:r>
                </w:p>
                <w:p w14:paraId="081AC490" w14:textId="34B13468" w:rsidR="00823532" w:rsidRDefault="00823532" w:rsidP="007112EF">
                  <w:pPr>
                    <w:pStyle w:val="ListParagraph"/>
                    <w:numPr>
                      <w:ilvl w:val="0"/>
                      <w:numId w:val="10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Proportion</w:t>
                  </w:r>
                </w:p>
                <w:p w14:paraId="35ABA008" w14:textId="74DC99F8" w:rsidR="00C41563" w:rsidRDefault="00C41563" w:rsidP="007112EF">
                  <w:pPr>
                    <w:pStyle w:val="ListParagraph"/>
                    <w:numPr>
                      <w:ilvl w:val="0"/>
                      <w:numId w:val="10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Ratio</w:t>
                  </w:r>
                </w:p>
                <w:p w14:paraId="0345F186" w14:textId="1B0380BF" w:rsidR="00C41563" w:rsidRDefault="00C41563" w:rsidP="007112EF">
                  <w:pPr>
                    <w:pStyle w:val="ListParagraph"/>
                    <w:numPr>
                      <w:ilvl w:val="0"/>
                      <w:numId w:val="10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Equivalent</w:t>
                  </w:r>
                </w:p>
                <w:p w14:paraId="706EF21B" w14:textId="2D2973BF" w:rsidR="00C41563" w:rsidRDefault="00C41563" w:rsidP="007112EF">
                  <w:pPr>
                    <w:pStyle w:val="ListParagraph"/>
                    <w:numPr>
                      <w:ilvl w:val="0"/>
                      <w:numId w:val="10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Metric</w:t>
                  </w:r>
                </w:p>
                <w:p w14:paraId="2A4A2E2B" w14:textId="0094A294" w:rsidR="00C41563" w:rsidRDefault="00C41563" w:rsidP="007112EF">
                  <w:pPr>
                    <w:pStyle w:val="ListParagraph"/>
                    <w:numPr>
                      <w:ilvl w:val="0"/>
                      <w:numId w:val="10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Fraction</w:t>
                  </w:r>
                </w:p>
                <w:p w14:paraId="612DA5E3" w14:textId="0B4C3196" w:rsidR="00C41563" w:rsidRDefault="00C41563" w:rsidP="007112EF">
                  <w:pPr>
                    <w:pStyle w:val="ListParagraph"/>
                    <w:numPr>
                      <w:ilvl w:val="0"/>
                      <w:numId w:val="10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Percentage</w:t>
                  </w:r>
                </w:p>
                <w:p w14:paraId="5FD9649C" w14:textId="761129E8" w:rsidR="00BA5F50" w:rsidRPr="007112EF" w:rsidRDefault="00BA5F50" w:rsidP="00BA5F50">
                  <w:pPr>
                    <w:pStyle w:val="ListParagraph"/>
                    <w:ind w:left="344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4DC0CC0F" w14:textId="77777777" w:rsidR="00C41563" w:rsidRDefault="00C41563" w:rsidP="00C41563">
                  <w:pPr>
                    <w:pStyle w:val="ListParagraph"/>
                    <w:numPr>
                      <w:ilvl w:val="0"/>
                      <w:numId w:val="10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Direct proportion</w:t>
                  </w:r>
                </w:p>
                <w:p w14:paraId="78612CF8" w14:textId="77777777" w:rsidR="00C41563" w:rsidRDefault="00C41563" w:rsidP="00C41563">
                  <w:pPr>
                    <w:pStyle w:val="ListParagraph"/>
                    <w:numPr>
                      <w:ilvl w:val="0"/>
                      <w:numId w:val="10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Unitary</w:t>
                  </w:r>
                </w:p>
                <w:p w14:paraId="0C479EBA" w14:textId="77777777" w:rsidR="00C41563" w:rsidRDefault="00C41563" w:rsidP="00C41563">
                  <w:pPr>
                    <w:pStyle w:val="ListParagraph"/>
                    <w:numPr>
                      <w:ilvl w:val="0"/>
                      <w:numId w:val="10"/>
                    </w:numPr>
                    <w:ind w:left="344" w:hanging="284"/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Highest common factor (HCF)</w:t>
                  </w:r>
                </w:p>
                <w:p w14:paraId="31F59B8D" w14:textId="6326EBBA" w:rsidR="00AA0000" w:rsidRPr="00C41563" w:rsidRDefault="00AA0000" w:rsidP="00C41563">
                  <w:pPr>
                    <w:ind w:left="60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</w:tbl>
          <w:p w14:paraId="4D761B11" w14:textId="48B447C8" w:rsidR="000E62F0" w:rsidRPr="00FB749C" w:rsidRDefault="000E62F0" w:rsidP="00044776">
            <w:pPr>
              <w:ind w:left="323" w:hanging="283"/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1607F2F8" w14:textId="10891CD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23532">
              <w:rPr>
                <w:rFonts w:asciiTheme="majorHAnsi" w:hAnsiTheme="majorHAnsi" w:cstheme="majorHAnsi"/>
                <w:bCs/>
              </w:rPr>
              <w:t>Ratio and proportion have applications across many other subjects such as Chemistry, Physics, Engineering, Food Technology and Art</w:t>
            </w:r>
            <w:r w:rsidR="00823532" w:rsidRPr="00E269C6">
              <w:rPr>
                <w:rFonts w:asciiTheme="majorHAnsi" w:hAnsiTheme="majorHAnsi" w:cstheme="majorHAnsi"/>
                <w:bCs/>
              </w:rPr>
              <w:t xml:space="preserve">. </w:t>
            </w:r>
            <w:r w:rsidR="00823532">
              <w:rPr>
                <w:rFonts w:asciiTheme="majorHAnsi" w:hAnsiTheme="majorHAnsi" w:cstheme="majorHAnsi"/>
                <w:bCs/>
              </w:rPr>
              <w:t>The ability to proportion quantities is applicable across many areas of industry including medical applications, food preparation and automotive.</w:t>
            </w:r>
          </w:p>
        </w:tc>
        <w:tc>
          <w:tcPr>
            <w:tcW w:w="5670" w:type="dxa"/>
          </w:tcPr>
          <w:p w14:paraId="4A00D608" w14:textId="31A43702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reading skills taught and key texts:</w:t>
            </w:r>
          </w:p>
          <w:p w14:paraId="05EB3B5C" w14:textId="77777777" w:rsidR="00A56C46" w:rsidRDefault="00A56C46" w:rsidP="00A56C4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Clarify – identify key vocabulary in questions and be fluent in understanding the meanings</w:t>
            </w:r>
          </w:p>
          <w:p w14:paraId="2C50E169" w14:textId="77777777" w:rsidR="00A56C46" w:rsidRDefault="00A56C46" w:rsidP="00A56C4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Question – from a worded question, what Maths is required to be done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in order to</w:t>
            </w:r>
            <w:proofErr w:type="gramEnd"/>
            <w:r>
              <w:rPr>
                <w:rFonts w:asciiTheme="majorHAnsi" w:hAnsiTheme="majorHAnsi" w:cstheme="majorHAnsi"/>
                <w:bCs/>
              </w:rPr>
              <w:t xml:space="preserve"> get a solution?</w:t>
            </w:r>
          </w:p>
          <w:p w14:paraId="5C9635A9" w14:textId="09956A1E" w:rsidR="00FB053D" w:rsidRDefault="00FB053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5541016C" w:rsidR="008C5092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5241E4E4" w14:textId="3B6B2D8A" w:rsidR="00D6619B" w:rsidRDefault="00D6619B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Encourage practice and consolidation through completion of homework, </w:t>
            </w:r>
            <w:proofErr w:type="spellStart"/>
            <w:r w:rsidR="00B861E9">
              <w:rPr>
                <w:rFonts w:asciiTheme="majorHAnsi" w:hAnsiTheme="majorHAnsi" w:cstheme="majorHAnsi"/>
              </w:rPr>
              <w:t>SparxMaths</w:t>
            </w:r>
            <w:proofErr w:type="spellEnd"/>
            <w:r w:rsidR="00B861E9">
              <w:rPr>
                <w:rFonts w:asciiTheme="majorHAnsi" w:hAnsiTheme="majorHAnsi" w:cstheme="majorHAnsi"/>
              </w:rPr>
              <w:t xml:space="preserve"> </w:t>
            </w:r>
            <w:r w:rsidR="00930B45">
              <w:rPr>
                <w:rFonts w:asciiTheme="majorHAnsi" w:hAnsiTheme="majorHAnsi" w:cstheme="majorHAnsi"/>
              </w:rPr>
              <w:t>times tables</w:t>
            </w:r>
            <w:r>
              <w:rPr>
                <w:rFonts w:asciiTheme="majorHAnsi" w:hAnsiTheme="majorHAnsi" w:cstheme="majorHAnsi"/>
              </w:rPr>
              <w:t xml:space="preserve"> and using other online learning platforms</w:t>
            </w:r>
          </w:p>
          <w:p w14:paraId="39E060AE" w14:textId="2ECFBA55" w:rsidR="00D6619B" w:rsidRPr="00FB749C" w:rsidRDefault="00D6619B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Encourage them to practice their mathematical skills in a variety of everyday situations wherever the opportunity arises.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CA0"/>
    <w:multiLevelType w:val="hybridMultilevel"/>
    <w:tmpl w:val="E7CC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B9B"/>
    <w:multiLevelType w:val="hybridMultilevel"/>
    <w:tmpl w:val="126C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7EF4"/>
    <w:multiLevelType w:val="multilevel"/>
    <w:tmpl w:val="5A722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3CA30B2"/>
    <w:multiLevelType w:val="hybridMultilevel"/>
    <w:tmpl w:val="AAA0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133C"/>
    <w:multiLevelType w:val="multilevel"/>
    <w:tmpl w:val="4D2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C77FAB"/>
    <w:multiLevelType w:val="multilevel"/>
    <w:tmpl w:val="478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8411D2"/>
    <w:multiLevelType w:val="multilevel"/>
    <w:tmpl w:val="9BF0D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5B74A9A"/>
    <w:multiLevelType w:val="hybridMultilevel"/>
    <w:tmpl w:val="074E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444D8"/>
    <w:multiLevelType w:val="hybridMultilevel"/>
    <w:tmpl w:val="180E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50F4D"/>
    <w:multiLevelType w:val="multilevel"/>
    <w:tmpl w:val="53C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24E50"/>
    <w:multiLevelType w:val="multilevel"/>
    <w:tmpl w:val="16A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D5181D"/>
    <w:multiLevelType w:val="multilevel"/>
    <w:tmpl w:val="A39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8206048">
    <w:abstractNumId w:val="11"/>
  </w:num>
  <w:num w:numId="2" w16cid:durableId="591428575">
    <w:abstractNumId w:val="9"/>
  </w:num>
  <w:num w:numId="3" w16cid:durableId="2145463139">
    <w:abstractNumId w:val="4"/>
  </w:num>
  <w:num w:numId="4" w16cid:durableId="341667359">
    <w:abstractNumId w:val="2"/>
  </w:num>
  <w:num w:numId="5" w16cid:durableId="722101185">
    <w:abstractNumId w:val="5"/>
  </w:num>
  <w:num w:numId="6" w16cid:durableId="274480114">
    <w:abstractNumId w:val="6"/>
  </w:num>
  <w:num w:numId="7" w16cid:durableId="1651211131">
    <w:abstractNumId w:val="10"/>
  </w:num>
  <w:num w:numId="8" w16cid:durableId="597059459">
    <w:abstractNumId w:val="12"/>
  </w:num>
  <w:num w:numId="9" w16cid:durableId="1780952170">
    <w:abstractNumId w:val="13"/>
  </w:num>
  <w:num w:numId="10" w16cid:durableId="851531136">
    <w:abstractNumId w:val="8"/>
  </w:num>
  <w:num w:numId="11" w16cid:durableId="316998724">
    <w:abstractNumId w:val="0"/>
  </w:num>
  <w:num w:numId="12" w16cid:durableId="42795976">
    <w:abstractNumId w:val="7"/>
  </w:num>
  <w:num w:numId="13" w16cid:durableId="2090536960">
    <w:abstractNumId w:val="1"/>
  </w:num>
  <w:num w:numId="14" w16cid:durableId="26101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33081"/>
    <w:rsid w:val="00044776"/>
    <w:rsid w:val="000D1A6E"/>
    <w:rsid w:val="000E62F0"/>
    <w:rsid w:val="000F4B77"/>
    <w:rsid w:val="00136235"/>
    <w:rsid w:val="0015700E"/>
    <w:rsid w:val="001624EF"/>
    <w:rsid w:val="00167287"/>
    <w:rsid w:val="00176A51"/>
    <w:rsid w:val="00194A99"/>
    <w:rsid w:val="001D01F7"/>
    <w:rsid w:val="001D78BF"/>
    <w:rsid w:val="001F438B"/>
    <w:rsid w:val="00242B8E"/>
    <w:rsid w:val="0027757A"/>
    <w:rsid w:val="002968DE"/>
    <w:rsid w:val="00396AD4"/>
    <w:rsid w:val="003A0A1A"/>
    <w:rsid w:val="0041589B"/>
    <w:rsid w:val="004453D7"/>
    <w:rsid w:val="004634EB"/>
    <w:rsid w:val="004840F4"/>
    <w:rsid w:val="0048706E"/>
    <w:rsid w:val="004920A1"/>
    <w:rsid w:val="004D0766"/>
    <w:rsid w:val="00504A71"/>
    <w:rsid w:val="00522079"/>
    <w:rsid w:val="005677F9"/>
    <w:rsid w:val="005A495C"/>
    <w:rsid w:val="00685E10"/>
    <w:rsid w:val="007112EF"/>
    <w:rsid w:val="00712BE2"/>
    <w:rsid w:val="00712C98"/>
    <w:rsid w:val="007553B2"/>
    <w:rsid w:val="007C3C64"/>
    <w:rsid w:val="00823532"/>
    <w:rsid w:val="008379AA"/>
    <w:rsid w:val="00851836"/>
    <w:rsid w:val="008C5092"/>
    <w:rsid w:val="008F43BF"/>
    <w:rsid w:val="008F4C05"/>
    <w:rsid w:val="00930B45"/>
    <w:rsid w:val="0098082C"/>
    <w:rsid w:val="00A159C3"/>
    <w:rsid w:val="00A56C46"/>
    <w:rsid w:val="00A64216"/>
    <w:rsid w:val="00A92704"/>
    <w:rsid w:val="00AA0000"/>
    <w:rsid w:val="00AC4C13"/>
    <w:rsid w:val="00B03496"/>
    <w:rsid w:val="00B30D9D"/>
    <w:rsid w:val="00B733C3"/>
    <w:rsid w:val="00B861E9"/>
    <w:rsid w:val="00B92659"/>
    <w:rsid w:val="00B978BF"/>
    <w:rsid w:val="00BA1067"/>
    <w:rsid w:val="00BA5F50"/>
    <w:rsid w:val="00BD1049"/>
    <w:rsid w:val="00BE059D"/>
    <w:rsid w:val="00BE6CC9"/>
    <w:rsid w:val="00C33A86"/>
    <w:rsid w:val="00C41563"/>
    <w:rsid w:val="00C57BD7"/>
    <w:rsid w:val="00C85E63"/>
    <w:rsid w:val="00CB3C3B"/>
    <w:rsid w:val="00CB783E"/>
    <w:rsid w:val="00CF2BD1"/>
    <w:rsid w:val="00D12574"/>
    <w:rsid w:val="00D12D6D"/>
    <w:rsid w:val="00D236C0"/>
    <w:rsid w:val="00D60BC6"/>
    <w:rsid w:val="00D6619B"/>
    <w:rsid w:val="00D93521"/>
    <w:rsid w:val="00DB6F8D"/>
    <w:rsid w:val="00DC6144"/>
    <w:rsid w:val="00E46A38"/>
    <w:rsid w:val="00ED5D74"/>
    <w:rsid w:val="00F7757C"/>
    <w:rsid w:val="00F97F56"/>
    <w:rsid w:val="00FB053D"/>
    <w:rsid w:val="00FB1606"/>
    <w:rsid w:val="00FB749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ragraph">
    <w:name w:val="paragraph"/>
    <w:basedOn w:val="Normal"/>
    <w:rsid w:val="0050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4A71"/>
  </w:style>
  <w:style w:type="character" w:customStyle="1" w:styleId="eop">
    <w:name w:val="eop"/>
    <w:basedOn w:val="DefaultParagraphFont"/>
    <w:rsid w:val="00504A71"/>
  </w:style>
  <w:style w:type="character" w:customStyle="1" w:styleId="scxw255519768">
    <w:name w:val="scxw255519768"/>
    <w:basedOn w:val="DefaultParagraphFont"/>
    <w:rsid w:val="00504A71"/>
  </w:style>
  <w:style w:type="character" w:styleId="PlaceholderText">
    <w:name w:val="Placeholder Text"/>
    <w:basedOn w:val="DefaultParagraphFont"/>
    <w:uiPriority w:val="99"/>
    <w:semiHidden/>
    <w:rsid w:val="005A4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06FF6-D855-42A5-ABF1-2E090649B9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Paul Carr</cp:lastModifiedBy>
  <cp:revision>2</cp:revision>
  <dcterms:created xsi:type="dcterms:W3CDTF">2023-02-20T07:06:00Z</dcterms:created>
  <dcterms:modified xsi:type="dcterms:W3CDTF">2023-02-20T07:06:00Z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