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</w:pPr>
      <w:bookmarkStart w:id="0" w:name="_GoBack"/>
      <w:bookmarkEnd w:id="0"/>
      <w:r>
        <w:t xml:space="preserve">Walton-le-Dale Whole School Self Evaluation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4</w:t>
      </w:r>
      <w:r>
        <w:rPr>
          <w:vertAlign w:val="superscript"/>
        </w:rPr>
        <w:t>th</w:t>
      </w:r>
      <w:r>
        <w:t xml:space="preserve"> November 2019</w:t>
      </w:r>
    </w:p>
    <w:tbl>
      <w:tblPr>
        <w:tblStyle w:val="TableGrid"/>
        <w:tblW w:w="15624" w:type="dxa"/>
        <w:tblLook w:val="04A0" w:firstRow="1" w:lastRow="0" w:firstColumn="1" w:lastColumn="0" w:noHBand="0" w:noVBand="1"/>
      </w:tblPr>
      <w:tblGrid>
        <w:gridCol w:w="1649"/>
        <w:gridCol w:w="3600"/>
        <w:gridCol w:w="3458"/>
        <w:gridCol w:w="3458"/>
        <w:gridCol w:w="3459"/>
      </w:tblGrid>
      <w:tr>
        <w:trPr>
          <w:trHeight w:hRule="exact" w:val="370"/>
        </w:trPr>
        <w:tc>
          <w:tcPr>
            <w:tcW w:w="1649" w:type="dxa"/>
          </w:tcPr>
          <w:p/>
        </w:tc>
        <w:tc>
          <w:tcPr>
            <w:tcW w:w="3600" w:type="dxa"/>
          </w:tcPr>
          <w:p>
            <w:pPr>
              <w:rPr>
                <w:b/>
              </w:rPr>
            </w:pPr>
            <w:r>
              <w:rPr>
                <w:b/>
              </w:rPr>
              <w:t>Quality of Education</w:t>
            </w:r>
          </w:p>
        </w:tc>
        <w:tc>
          <w:tcPr>
            <w:tcW w:w="3458" w:type="dxa"/>
          </w:tcPr>
          <w:p>
            <w:pPr>
              <w:rPr>
                <w:b/>
              </w:rPr>
            </w:pPr>
            <w:r>
              <w:rPr>
                <w:b/>
              </w:rPr>
              <w:t>Behaviour and Attitudes</w:t>
            </w:r>
          </w:p>
        </w:tc>
        <w:tc>
          <w:tcPr>
            <w:tcW w:w="3458" w:type="dxa"/>
          </w:tcPr>
          <w:p>
            <w:pPr>
              <w:rPr>
                <w:b/>
              </w:rPr>
            </w:pPr>
            <w:r>
              <w:rPr>
                <w:b/>
              </w:rPr>
              <w:t>Personal Development</w:t>
            </w:r>
          </w:p>
        </w:tc>
        <w:tc>
          <w:tcPr>
            <w:tcW w:w="3459" w:type="dxa"/>
          </w:tcPr>
          <w:p>
            <w:pPr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>
        <w:tc>
          <w:tcPr>
            <w:tcW w:w="1649" w:type="dxa"/>
          </w:tcPr>
          <w:p>
            <w:r>
              <w:t>RAG rating**</w:t>
            </w:r>
          </w:p>
        </w:tc>
        <w:tc>
          <w:tcPr>
            <w:tcW w:w="3600" w:type="dxa"/>
          </w:tcPr>
          <w:p>
            <w:pPr>
              <w:shd w:val="clear" w:color="auto" w:fill="FFC000"/>
            </w:pPr>
          </w:p>
        </w:tc>
        <w:tc>
          <w:tcPr>
            <w:tcW w:w="3458" w:type="dxa"/>
          </w:tcPr>
          <w:p>
            <w:pPr>
              <w:shd w:val="clear" w:color="auto" w:fill="FFC000"/>
            </w:pPr>
          </w:p>
        </w:tc>
        <w:tc>
          <w:tcPr>
            <w:tcW w:w="3458" w:type="dxa"/>
          </w:tcPr>
          <w:p>
            <w:pPr>
              <w:shd w:val="clear" w:color="auto" w:fill="FFC000"/>
            </w:pPr>
          </w:p>
        </w:tc>
        <w:tc>
          <w:tcPr>
            <w:tcW w:w="3459" w:type="dxa"/>
          </w:tcPr>
          <w:p>
            <w:pPr>
              <w:shd w:val="clear" w:color="auto" w:fill="00B050"/>
            </w:pPr>
          </w:p>
        </w:tc>
      </w:tr>
      <w:tr>
        <w:tc>
          <w:tcPr>
            <w:tcW w:w="1649" w:type="dxa"/>
          </w:tcPr>
          <w:p>
            <w:r>
              <w:t>Key Strengths</w:t>
            </w:r>
          </w:p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3600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Ambitious curriculum with challenging progress ladders linked to schemes of work.  Students able to achieve the highest grades in all subjects as indicated by recent results.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Open, broad, curriculum with clear statements of entitlement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ASPIRE framework for skills an attributes 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Strong careers guidance – 7 Gatsby benchmarks achieved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Strong improvement in progress of students with SEND (especially SEN K) and accessible curriculum.  All students able to study the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EBacc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in the context of an open options system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Considerable development and innovation in teaching and learning following PP review, including teaching for memory and investment in the learning environment.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Clear understanding of the role and limitations of assessment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High priority given to reading and reading intervention.</w:t>
            </w:r>
          </w:p>
        </w:tc>
        <w:tc>
          <w:tcPr>
            <w:tcW w:w="3458" w:type="dxa"/>
          </w:tcPr>
          <w:p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New systems introduced to enhance consistency across all teachers and subjects</w:t>
            </w:r>
          </w:p>
          <w:p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Attendance (and PA) of students with SEND (E and K) better than national, better than non-SEND and improved from 2018.</w:t>
            </w:r>
          </w:p>
          <w:p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PASS survey very positive compared with national data</w:t>
            </w:r>
          </w:p>
          <w:p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Improving attitude to independent study and resilience to challenge over last 2 to 3 years.  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Attendance on an improving trend and PA has significantly improved.  Appointment of Family Support Worker has helped.</w:t>
            </w:r>
          </w:p>
          <w:p>
            <w:r>
              <w:rPr>
                <w:rFonts w:asciiTheme="minorHAnsi" w:hAnsiTheme="minorHAnsi" w:cstheme="minorBidi"/>
              </w:rPr>
              <w:t>Latest KR survey (March 2019) showed that students considered the control of bullying, for example, was good.  Students felt safe.</w:t>
            </w:r>
          </w:p>
        </w:tc>
        <w:tc>
          <w:tcPr>
            <w:tcW w:w="3458" w:type="dxa"/>
          </w:tcPr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Strong focus on students’ wider development – ASPIRE framework, strong focus on SMSC and a wide range of opportunities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Strong pastoral support for systems recognised by external agencies and reviewers (e.g. IQM Flagship review)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Clear ethos of respect for diversity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Very wide range of co-curricular activities and a high </w:t>
            </w:r>
            <w:proofErr w:type="spellStart"/>
            <w:r>
              <w:rPr>
                <w:rFonts w:asciiTheme="minorHAnsi" w:hAnsiTheme="minorHAnsi" w:cstheme="minorBidi"/>
              </w:rPr>
              <w:t>takeup</w:t>
            </w:r>
            <w:proofErr w:type="spellEnd"/>
            <w:r>
              <w:rPr>
                <w:rFonts w:asciiTheme="minorHAnsi" w:hAnsiTheme="minorHAnsi" w:cstheme="minorBidi"/>
              </w:rPr>
              <w:t>, including 72% of PP students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 Gatsby benchmarks met for careers provision with high quality provision for work-related learning including work experience for all students.</w:t>
            </w:r>
          </w:p>
        </w:tc>
        <w:tc>
          <w:tcPr>
            <w:tcW w:w="3459" w:type="dxa"/>
          </w:tcPr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Clear vision shared through clear improvement plan with shared values.  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Focus on CPD as the means of further improving teaching and learning – change to PM processes, use of study groups…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Highly inclusive school focused on every student completing their programme of study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Good attendance at parents’ evenings with the extensive use of email and text to contact parents and carers and an “open door” to parents/carers to discuss issues leads to good communication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High quality opportunities for employer engagement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Management of workload is a high priority – control over marking policy, reduction in data captures…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Clear lines of communication within the staff</w:t>
            </w:r>
          </w:p>
          <w:p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Positive review of governance</w:t>
            </w:r>
          </w:p>
        </w:tc>
      </w:tr>
    </w:tbl>
    <w:p>
      <w:r>
        <w:br w:type="page"/>
      </w:r>
    </w:p>
    <w:tbl>
      <w:tblPr>
        <w:tblStyle w:val="TableGrid"/>
        <w:tblW w:w="15624" w:type="dxa"/>
        <w:tblLook w:val="04A0" w:firstRow="1" w:lastRow="0" w:firstColumn="1" w:lastColumn="0" w:noHBand="0" w:noVBand="1"/>
      </w:tblPr>
      <w:tblGrid>
        <w:gridCol w:w="1649"/>
        <w:gridCol w:w="3600"/>
        <w:gridCol w:w="3458"/>
        <w:gridCol w:w="3458"/>
        <w:gridCol w:w="3459"/>
      </w:tblGrid>
      <w:tr>
        <w:tc>
          <w:tcPr>
            <w:tcW w:w="1649" w:type="dxa"/>
          </w:tcPr>
          <w:p/>
        </w:tc>
        <w:tc>
          <w:tcPr>
            <w:tcW w:w="3600" w:type="dxa"/>
          </w:tcPr>
          <w:p>
            <w:pPr>
              <w:rPr>
                <w:b/>
              </w:rPr>
            </w:pPr>
            <w:r>
              <w:rPr>
                <w:b/>
              </w:rPr>
              <w:t>Quality of Education</w:t>
            </w:r>
          </w:p>
        </w:tc>
        <w:tc>
          <w:tcPr>
            <w:tcW w:w="3458" w:type="dxa"/>
          </w:tcPr>
          <w:p>
            <w:pPr>
              <w:rPr>
                <w:b/>
              </w:rPr>
            </w:pPr>
            <w:r>
              <w:rPr>
                <w:b/>
              </w:rPr>
              <w:t>Behaviour and Attitudes</w:t>
            </w:r>
          </w:p>
        </w:tc>
        <w:tc>
          <w:tcPr>
            <w:tcW w:w="3458" w:type="dxa"/>
          </w:tcPr>
          <w:p>
            <w:pPr>
              <w:rPr>
                <w:b/>
              </w:rPr>
            </w:pPr>
            <w:r>
              <w:rPr>
                <w:b/>
              </w:rPr>
              <w:t>Personal Development</w:t>
            </w:r>
          </w:p>
        </w:tc>
        <w:tc>
          <w:tcPr>
            <w:tcW w:w="3459" w:type="dxa"/>
          </w:tcPr>
          <w:p>
            <w:pPr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>
        <w:tc>
          <w:tcPr>
            <w:tcW w:w="1649" w:type="dxa"/>
          </w:tcPr>
          <w:p>
            <w:r>
              <w:t>Next steps</w:t>
            </w:r>
          </w:p>
          <w:p/>
          <w:p/>
          <w:p/>
          <w:p/>
          <w:p/>
          <w:p/>
          <w:p/>
          <w:p/>
          <w:p/>
          <w:p/>
          <w:p/>
        </w:tc>
        <w:tc>
          <w:tcPr>
            <w:tcW w:w="3600" w:type="dxa"/>
          </w:tcPr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Continue to focus on the quality of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teaching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this will have the greatest impact on the examination outcomes for all students.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Curriculum maps completed as year progresses. Schemes of work and assessments to be reviewed to ensure that they are clearly linked to progress ladders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Further develop careers within the curriculum (Gatsby benchmark 4)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Further develop SEN toolkit for “Brilliant Teaching in an Inclusive Classroom”</w:t>
            </w:r>
          </w:p>
          <w:p>
            <w:r>
              <w:rPr>
                <w:rFonts w:asciiTheme="minorHAnsi" w:hAnsiTheme="minorHAnsi" w:cstheme="minorHAnsi"/>
                <w:bCs/>
              </w:rPr>
              <w:t xml:space="preserve">Address uptake of MFL GCSEs as this is reducing entry for the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EBacc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.  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Update and review of assessment policies by departments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Monitoring of use of new screens and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visualisers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Investigation of the reliability and validity of assessment across the curriculum.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Prioritise the reading of fiction as this has the biggest impact on progress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Continue to exemplify and develop high quality student work in each area </w:t>
            </w:r>
          </w:p>
        </w:tc>
        <w:tc>
          <w:tcPr>
            <w:tcW w:w="3458" w:type="dxa"/>
          </w:tcPr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Fully embed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Classcharts</w:t>
            </w:r>
            <w:proofErr w:type="spellEnd"/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Basics consistently implemented 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Rewrite behaviour policy for new systems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Analyse behaviour data for SEND students as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Classcharts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becomes embedded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Focus on Attitude to Learning and strongly reinforce the culture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Improve the attendance of significant PA groups –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disadvantaged girls through focused intervention by Family Support Worker</w:t>
            </w:r>
          </w:p>
          <w:p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Development of pastoral hub/area to address issues around isolations and improve collaborative working.</w:t>
            </w:r>
          </w:p>
          <w:p/>
        </w:tc>
        <w:tc>
          <w:tcPr>
            <w:tcW w:w="3458" w:type="dxa"/>
          </w:tcPr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use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Classcharts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recognise positive behaviour and integrate with the rewards system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Use “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FuturesU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” for mentoring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 PSHE provision in light of new guidance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Establish a healthy schools mark with a review of food consumed by students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 train more students as ambassadors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 further integrate FBV into thought for the week and assemblies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Establish focus within enrichment days and PSHE curriculum on differences and diversity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/>
        </w:tc>
        <w:tc>
          <w:tcPr>
            <w:tcW w:w="3459" w:type="dxa"/>
          </w:tcPr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Ensure systems are fully and consistently embedded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Monitor PM &amp; CPD processes and the links to brilliant T&amp;L, especially curriculum and assessment.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Focus on improving subject pedagogical knowledge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Complete IQM project on brilliant teaching in an inclusive classroom</w:t>
            </w:r>
          </w:p>
          <w:p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Address issues of “hard to reach” parents and carers</w:t>
            </w:r>
          </w:p>
          <w:p>
            <w:pPr>
              <w:pStyle w:val="Default"/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Implement actions from governance review</w:t>
            </w:r>
          </w:p>
        </w:tc>
      </w:tr>
    </w:tbl>
    <w:p/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>** RAG rating: Green – securely “good” or better; Amber – at risk of “RI”</w:t>
      </w:r>
      <w:proofErr w:type="gramStart"/>
      <w:r>
        <w:rPr>
          <w:sz w:val="18"/>
          <w:szCs w:val="18"/>
        </w:rPr>
        <w:t>;  Red</w:t>
      </w:r>
      <w:proofErr w:type="gramEnd"/>
      <w:r>
        <w:rPr>
          <w:sz w:val="18"/>
          <w:szCs w:val="18"/>
        </w:rPr>
        <w:t xml:space="preserve"> – at risk of “inadequate”  </w:t>
      </w:r>
    </w:p>
    <w:p/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5B702-5FBE-4FBB-A799-1B99084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rFonts w:ascii="Calibri Light" w:hAnsi="Calibri Light"/>
      <w:color w:val="2E74B5" w:themeColor="accent1" w:themeShade="BF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Arial" w:hAnsi="Calibri Light" w:cs="Arial"/>
      <w:color w:val="2E74B5" w:themeColor="accent1" w:themeShade="BF"/>
      <w:sz w:val="28"/>
      <w:szCs w:val="40"/>
      <w:lang w:eastAsia="en-GB"/>
    </w:rPr>
  </w:style>
  <w:style w:type="table" w:styleId="TableGrid">
    <w:name w:val="Table Grid"/>
    <w:basedOn w:val="TableNormal"/>
    <w:uiPriority w:val="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line="240" w:lineRule="auto"/>
    </w:pPr>
    <w:rPr>
      <w:rFonts w:eastAsia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2F284F82B34EB57E0E93DAE3D9E6" ma:contentTypeVersion="4" ma:contentTypeDescription="Create a new document." ma:contentTypeScope="" ma:versionID="b0ecbfc03d84201f3f4043c508eb5b8d">
  <xsd:schema xmlns:xsd="http://www.w3.org/2001/XMLSchema" xmlns:xs="http://www.w3.org/2001/XMLSchema" xmlns:p="http://schemas.microsoft.com/office/2006/metadata/properties" xmlns:ns2="71c63d5e-4ab2-4e16-a261-cf4285093c9b" xmlns:ns3="39607c2a-c1ac-47c5-862c-b224e5b48a4a" targetNamespace="http://schemas.microsoft.com/office/2006/metadata/properties" ma:root="true" ma:fieldsID="0b217b17118883d168f958891ec66310" ns2:_="" ns3:_="">
    <xsd:import namespace="71c63d5e-4ab2-4e16-a261-cf4285093c9b"/>
    <xsd:import namespace="39607c2a-c1ac-47c5-862c-b224e5b48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3d5e-4ab2-4e16-a261-cf42850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7c2a-c1ac-47c5-862c-b224e5b4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04279-7F71-41DF-B754-3F14BF17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3d5e-4ab2-4e16-a261-cf4285093c9b"/>
    <ds:schemaRef ds:uri="39607c2a-c1ac-47c5-862c-b224e5b4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1CAB1-2B00-499E-B399-0F158D70E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ED350-0DDE-4D7D-AE43-079EA1C6AA1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9607c2a-c1ac-47c5-862c-b224e5b48a4a"/>
    <ds:schemaRef ds:uri="71c63d5e-4ab2-4e16-a261-cf4285093c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10</cp:revision>
  <dcterms:created xsi:type="dcterms:W3CDTF">2019-10-24T16:25:00Z</dcterms:created>
  <dcterms:modified xsi:type="dcterms:W3CDTF">2020-04-29T11:48:00Z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0x0101002F462F284F82B34EB57E0E93DAE3D9E6</vt:lpwstr>
  </property>
</Properties>
</file>