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8A47" w14:textId="77777777" w:rsidR="004A4A81" w:rsidRPr="004A4A81" w:rsidRDefault="004A4A81" w:rsidP="004A4A81">
      <w:pPr>
        <w:rPr>
          <w:sz w:val="36"/>
          <w:szCs w:val="36"/>
        </w:rPr>
      </w:pPr>
      <w:r w:rsidRPr="004A4A81">
        <w:rPr>
          <w:sz w:val="36"/>
          <w:szCs w:val="36"/>
        </w:rPr>
        <w:t>Performing Arts: Technical Award (3745)</w:t>
      </w:r>
    </w:p>
    <w:p w14:paraId="6471AC4B" w14:textId="77777777" w:rsidR="004A4A81" w:rsidRDefault="004A4A81" w:rsidP="004A4A81"/>
    <w:p w14:paraId="77EBA5AA" w14:textId="77777777" w:rsidR="004A4A81" w:rsidRPr="004A4A81" w:rsidRDefault="004A4A81" w:rsidP="004A4A81">
      <w:pPr>
        <w:rPr>
          <w:b/>
          <w:sz w:val="22"/>
          <w:szCs w:val="22"/>
        </w:rPr>
      </w:pPr>
      <w:r w:rsidRPr="004A4A81">
        <w:rPr>
          <w:b/>
          <w:sz w:val="22"/>
          <w:szCs w:val="22"/>
        </w:rPr>
        <w:t>How are you going to be assessed?</w:t>
      </w:r>
    </w:p>
    <w:p w14:paraId="263F6498" w14:textId="77777777" w:rsidR="004A4A81" w:rsidRPr="004A4A81" w:rsidRDefault="004A4A81" w:rsidP="004A4A81">
      <w:pPr>
        <w:rPr>
          <w:sz w:val="22"/>
          <w:szCs w:val="22"/>
        </w:rPr>
      </w:pPr>
    </w:p>
    <w:p w14:paraId="6902DC2E" w14:textId="77777777" w:rsidR="004A4A81" w:rsidRPr="004A4A81" w:rsidRDefault="004A4A81" w:rsidP="004A4A81">
      <w:pPr>
        <w:rPr>
          <w:sz w:val="22"/>
          <w:szCs w:val="22"/>
        </w:rPr>
      </w:pPr>
      <w:r w:rsidRPr="004A4A81">
        <w:rPr>
          <w:sz w:val="22"/>
          <w:szCs w:val="22"/>
        </w:rPr>
        <w:t>As you know the course is split into 3 Units.</w:t>
      </w:r>
    </w:p>
    <w:p w14:paraId="2DC5BD0F" w14:textId="77777777" w:rsidR="004A4A81" w:rsidRPr="004A4A81" w:rsidRDefault="004A4A81" w:rsidP="004A4A81">
      <w:pPr>
        <w:rPr>
          <w:sz w:val="22"/>
          <w:szCs w:val="22"/>
        </w:rPr>
      </w:pPr>
    </w:p>
    <w:p w14:paraId="15F2B4F4" w14:textId="77777777" w:rsidR="004A4A81" w:rsidRPr="004A4A81" w:rsidRDefault="004A4A81" w:rsidP="004A4A81">
      <w:pPr>
        <w:pStyle w:val="ListParagraph"/>
        <w:numPr>
          <w:ilvl w:val="0"/>
          <w:numId w:val="1"/>
        </w:numPr>
        <w:rPr>
          <w:sz w:val="22"/>
          <w:szCs w:val="22"/>
        </w:rPr>
      </w:pPr>
      <w:r w:rsidRPr="004A4A81">
        <w:rPr>
          <w:sz w:val="22"/>
          <w:szCs w:val="22"/>
        </w:rPr>
        <w:t>Units 1 &amp; 2 will be graded in the same way as previous Years using the exam board marking criteria and evidence for assessment.  This will be marked internally and moderated internally.</w:t>
      </w:r>
    </w:p>
    <w:p w14:paraId="1B14B994" w14:textId="77777777" w:rsidR="004A4A81" w:rsidRPr="004A4A81" w:rsidRDefault="004A4A81" w:rsidP="004A4A81">
      <w:pPr>
        <w:pStyle w:val="ListParagraph"/>
        <w:numPr>
          <w:ilvl w:val="0"/>
          <w:numId w:val="1"/>
        </w:numPr>
        <w:rPr>
          <w:sz w:val="22"/>
          <w:szCs w:val="22"/>
        </w:rPr>
      </w:pPr>
      <w:r w:rsidRPr="004A4A81">
        <w:rPr>
          <w:sz w:val="22"/>
          <w:szCs w:val="22"/>
        </w:rPr>
        <w:t>Unit 3 marks will be determined using evidence of written work and research into the Performing Arts industry in portfolios and exercise books due to the cancellation of the examination in June 2020</w:t>
      </w:r>
    </w:p>
    <w:p w14:paraId="05201A71" w14:textId="77777777" w:rsidR="004A4A81" w:rsidRPr="004A4A81" w:rsidRDefault="004A4A81" w:rsidP="004A4A81">
      <w:pPr>
        <w:rPr>
          <w:sz w:val="22"/>
          <w:szCs w:val="22"/>
        </w:rPr>
      </w:pPr>
    </w:p>
    <w:p w14:paraId="3BA312F4" w14:textId="77777777" w:rsidR="004A4A81" w:rsidRDefault="004A4A81" w:rsidP="004A4A81">
      <w:r w:rsidRPr="004A4A81">
        <w:rPr>
          <w:b/>
          <w:sz w:val="22"/>
          <w:szCs w:val="22"/>
        </w:rPr>
        <w:t>Evidence of student work will be given in the form of:</w:t>
      </w:r>
    </w:p>
    <w:tbl>
      <w:tblPr>
        <w:tblStyle w:val="TableGrid"/>
        <w:tblW w:w="11483" w:type="dxa"/>
        <w:tblInd w:w="-431" w:type="dxa"/>
        <w:tblLook w:val="04A0" w:firstRow="1" w:lastRow="0" w:firstColumn="1" w:lastColumn="0" w:noHBand="0" w:noVBand="1"/>
      </w:tblPr>
      <w:tblGrid>
        <w:gridCol w:w="852"/>
        <w:gridCol w:w="7796"/>
        <w:gridCol w:w="2835"/>
      </w:tblGrid>
      <w:tr w:rsidR="004A4A81" w:rsidRPr="004A4A81" w14:paraId="4F29A64C" w14:textId="77777777" w:rsidTr="004A4A81">
        <w:tc>
          <w:tcPr>
            <w:tcW w:w="852" w:type="dxa"/>
          </w:tcPr>
          <w:p w14:paraId="7A1AF36D" w14:textId="77777777" w:rsidR="004A4A81" w:rsidRPr="004A4A81" w:rsidRDefault="004A4A81" w:rsidP="00980388">
            <w:pPr>
              <w:rPr>
                <w:sz w:val="22"/>
                <w:szCs w:val="22"/>
              </w:rPr>
            </w:pPr>
            <w:r w:rsidRPr="004A4A81">
              <w:rPr>
                <w:sz w:val="22"/>
                <w:szCs w:val="22"/>
              </w:rPr>
              <w:t>Unit 1</w:t>
            </w:r>
          </w:p>
        </w:tc>
        <w:tc>
          <w:tcPr>
            <w:tcW w:w="7796" w:type="dxa"/>
          </w:tcPr>
          <w:p w14:paraId="76F9A62A" w14:textId="77777777" w:rsidR="004A4A81" w:rsidRPr="004A4A81" w:rsidRDefault="004A4A81" w:rsidP="00980388">
            <w:pPr>
              <w:rPr>
                <w:b/>
                <w:sz w:val="22"/>
                <w:szCs w:val="22"/>
              </w:rPr>
            </w:pPr>
            <w:r w:rsidRPr="004A4A81">
              <w:rPr>
                <w:b/>
                <w:sz w:val="22"/>
                <w:szCs w:val="22"/>
              </w:rPr>
              <w:t>Portfolio</w:t>
            </w:r>
          </w:p>
        </w:tc>
        <w:tc>
          <w:tcPr>
            <w:tcW w:w="2835" w:type="dxa"/>
          </w:tcPr>
          <w:p w14:paraId="626885FA" w14:textId="77777777" w:rsidR="004A4A81" w:rsidRPr="004A4A81" w:rsidRDefault="004A4A81" w:rsidP="00980388">
            <w:pPr>
              <w:rPr>
                <w:b/>
                <w:sz w:val="22"/>
                <w:szCs w:val="22"/>
              </w:rPr>
            </w:pPr>
            <w:r w:rsidRPr="004A4A81">
              <w:rPr>
                <w:b/>
                <w:sz w:val="22"/>
                <w:szCs w:val="22"/>
              </w:rPr>
              <w:t>Banked and marked</w:t>
            </w:r>
          </w:p>
          <w:p w14:paraId="5EE8B73D" w14:textId="77777777" w:rsidR="00835C03" w:rsidRDefault="00835C03" w:rsidP="00980388">
            <w:pPr>
              <w:rPr>
                <w:sz w:val="22"/>
                <w:szCs w:val="22"/>
              </w:rPr>
            </w:pPr>
            <w:r>
              <w:rPr>
                <w:sz w:val="22"/>
                <w:szCs w:val="22"/>
              </w:rPr>
              <w:t>Any amendments to be made by</w:t>
            </w:r>
          </w:p>
          <w:p w14:paraId="20CA7CD3" w14:textId="77777777" w:rsidR="00835C03" w:rsidRDefault="00835C03" w:rsidP="00980388">
            <w:pPr>
              <w:rPr>
                <w:sz w:val="22"/>
                <w:szCs w:val="22"/>
              </w:rPr>
            </w:pPr>
          </w:p>
          <w:p w14:paraId="13236014" w14:textId="77777777" w:rsidR="004A4A81" w:rsidRPr="004A4A81" w:rsidRDefault="004A4A81" w:rsidP="00980388">
            <w:pPr>
              <w:rPr>
                <w:sz w:val="22"/>
                <w:szCs w:val="22"/>
              </w:rPr>
            </w:pPr>
            <w:r w:rsidRPr="004A4A81">
              <w:rPr>
                <w:color w:val="FF0000"/>
                <w:sz w:val="22"/>
                <w:szCs w:val="22"/>
              </w:rPr>
              <w:t>Friday 7</w:t>
            </w:r>
            <w:r w:rsidRPr="004A4A81">
              <w:rPr>
                <w:color w:val="FF0000"/>
                <w:sz w:val="22"/>
                <w:szCs w:val="22"/>
                <w:vertAlign w:val="superscript"/>
              </w:rPr>
              <w:t>th</w:t>
            </w:r>
            <w:r w:rsidRPr="004A4A81">
              <w:rPr>
                <w:color w:val="FF0000"/>
                <w:sz w:val="22"/>
                <w:szCs w:val="22"/>
              </w:rPr>
              <w:t xml:space="preserve"> May</w:t>
            </w:r>
          </w:p>
        </w:tc>
      </w:tr>
      <w:tr w:rsidR="004A4A81" w:rsidRPr="004A4A81" w14:paraId="4EFF1320" w14:textId="77777777" w:rsidTr="004A4A81">
        <w:tc>
          <w:tcPr>
            <w:tcW w:w="852" w:type="dxa"/>
          </w:tcPr>
          <w:p w14:paraId="0BDD92F2" w14:textId="77777777" w:rsidR="004A4A81" w:rsidRPr="004A4A81" w:rsidRDefault="004A4A81" w:rsidP="00980388">
            <w:pPr>
              <w:rPr>
                <w:sz w:val="22"/>
                <w:szCs w:val="22"/>
              </w:rPr>
            </w:pPr>
            <w:r w:rsidRPr="004A4A81">
              <w:rPr>
                <w:sz w:val="22"/>
                <w:szCs w:val="22"/>
              </w:rPr>
              <w:t>Unit 2</w:t>
            </w:r>
          </w:p>
        </w:tc>
        <w:tc>
          <w:tcPr>
            <w:tcW w:w="7796" w:type="dxa"/>
          </w:tcPr>
          <w:p w14:paraId="4E5AFF84" w14:textId="77777777" w:rsidR="004A4A81" w:rsidRPr="004A4A81" w:rsidRDefault="004A4A81" w:rsidP="00980388">
            <w:pPr>
              <w:rPr>
                <w:rFonts w:asciiTheme="minorHAnsi" w:hAnsiTheme="minorHAnsi" w:cstheme="minorHAnsi"/>
                <w:b/>
                <w:sz w:val="22"/>
                <w:szCs w:val="22"/>
              </w:rPr>
            </w:pPr>
            <w:r w:rsidRPr="004A4A81">
              <w:rPr>
                <w:rFonts w:asciiTheme="minorHAnsi" w:hAnsiTheme="minorHAnsi" w:cstheme="minorHAnsi"/>
                <w:b/>
                <w:sz w:val="22"/>
                <w:szCs w:val="22"/>
              </w:rPr>
              <w:t>Evidence Folder.</w:t>
            </w:r>
          </w:p>
          <w:p w14:paraId="14094E3C" w14:textId="77777777" w:rsidR="004A4A81" w:rsidRPr="004A4A81" w:rsidRDefault="004A4A81" w:rsidP="00980388">
            <w:pPr>
              <w:rPr>
                <w:rFonts w:asciiTheme="minorHAnsi" w:hAnsiTheme="minorHAnsi" w:cstheme="minorHAnsi"/>
                <w:b/>
                <w:sz w:val="22"/>
                <w:szCs w:val="22"/>
              </w:rPr>
            </w:pPr>
            <w:r w:rsidRPr="004A4A81">
              <w:rPr>
                <w:rFonts w:asciiTheme="minorHAnsi" w:hAnsiTheme="minorHAnsi" w:cstheme="minorHAnsi"/>
                <w:b/>
                <w:sz w:val="22"/>
                <w:szCs w:val="22"/>
              </w:rPr>
              <w:t>Log Book</w:t>
            </w:r>
            <w:r>
              <w:rPr>
                <w:rFonts w:asciiTheme="minorHAnsi" w:hAnsiTheme="minorHAnsi" w:cstheme="minorHAnsi"/>
                <w:b/>
                <w:sz w:val="22"/>
                <w:szCs w:val="22"/>
              </w:rPr>
              <w:t xml:space="preserve"> </w:t>
            </w:r>
          </w:p>
          <w:p w14:paraId="440B211F" w14:textId="77777777" w:rsidR="004A4A81" w:rsidRPr="004A4A81" w:rsidRDefault="004A4A81" w:rsidP="00980388">
            <w:pPr>
              <w:rPr>
                <w:rFonts w:asciiTheme="majorHAnsi" w:hAnsiTheme="majorHAnsi" w:cstheme="majorHAnsi"/>
                <w:sz w:val="22"/>
                <w:szCs w:val="22"/>
              </w:rPr>
            </w:pPr>
            <w:r>
              <w:rPr>
                <w:rFonts w:asciiTheme="majorHAnsi" w:hAnsiTheme="majorHAnsi" w:cstheme="majorHAnsi"/>
                <w:sz w:val="22"/>
                <w:szCs w:val="22"/>
              </w:rPr>
              <w:t>A</w:t>
            </w:r>
            <w:r w:rsidRPr="004A4A81">
              <w:rPr>
                <w:rFonts w:asciiTheme="majorHAnsi" w:hAnsiTheme="majorHAnsi" w:cstheme="majorHAnsi"/>
                <w:sz w:val="22"/>
                <w:szCs w:val="22"/>
              </w:rPr>
              <w:t>lternate evidence:</w:t>
            </w:r>
          </w:p>
          <w:p w14:paraId="7A028D7B" w14:textId="77777777" w:rsidR="004A4A81" w:rsidRPr="004A4A81" w:rsidRDefault="004A4A81" w:rsidP="00980388">
            <w:pPr>
              <w:rPr>
                <w:rFonts w:asciiTheme="majorHAnsi" w:hAnsiTheme="majorHAnsi" w:cstheme="majorHAnsi"/>
                <w:i/>
                <w:sz w:val="22"/>
                <w:szCs w:val="22"/>
              </w:rPr>
            </w:pPr>
            <w:r w:rsidRPr="004A4A81">
              <w:rPr>
                <w:rFonts w:asciiTheme="majorHAnsi" w:hAnsiTheme="majorHAnsi" w:cstheme="majorHAnsi"/>
                <w:i/>
                <w:sz w:val="22"/>
                <w:szCs w:val="22"/>
              </w:rPr>
              <w:t>PERFORMANCE</w:t>
            </w:r>
          </w:p>
          <w:p w14:paraId="4EFAA51D"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audio-visual recording of some acting performance without need for fully designed</w:t>
            </w:r>
          </w:p>
          <w:p w14:paraId="009D2613"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set/lighting/costumes. This could include recorded rehearsals or physical demonstrations of</w:t>
            </w:r>
          </w:p>
          <w:p w14:paraId="27CA66E5"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key aspects; and</w:t>
            </w:r>
          </w:p>
          <w:p w14:paraId="1ADA1751"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detailed explanation of the effects students would have wished to create and the methods</w:t>
            </w:r>
          </w:p>
          <w:p w14:paraId="3BBD3F47"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they would have employed in order to do so in the final live performance. This could be</w:t>
            </w:r>
          </w:p>
          <w:p w14:paraId="66315581"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audio-visual or written.</w:t>
            </w:r>
          </w:p>
          <w:p w14:paraId="0DAA1BC5" w14:textId="77777777" w:rsidR="004A4A81" w:rsidRPr="004A4A81" w:rsidRDefault="004A4A81" w:rsidP="00980388">
            <w:pPr>
              <w:rPr>
                <w:rFonts w:asciiTheme="majorHAnsi" w:hAnsiTheme="majorHAnsi" w:cstheme="majorHAnsi"/>
                <w:i/>
                <w:sz w:val="22"/>
                <w:szCs w:val="22"/>
              </w:rPr>
            </w:pPr>
            <w:r w:rsidRPr="004A4A81">
              <w:rPr>
                <w:rFonts w:asciiTheme="majorHAnsi" w:hAnsiTheme="majorHAnsi" w:cstheme="majorHAnsi"/>
                <w:i/>
                <w:sz w:val="22"/>
                <w:szCs w:val="22"/>
              </w:rPr>
              <w:t xml:space="preserve">PRODUCTION </w:t>
            </w:r>
          </w:p>
          <w:p w14:paraId="51F8093D"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prototype of product – to clearly demonstrate key design features that would be realised in</w:t>
            </w:r>
          </w:p>
          <w:p w14:paraId="33875D9A"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the final product</w:t>
            </w:r>
          </w:p>
          <w:p w14:paraId="6B1E9AC2"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Original and non-original photography – to clearly demonstrate either students’ own</w:t>
            </w:r>
          </w:p>
          <w:p w14:paraId="1023FF10"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realised designs or effects that they would want to emulate from live theatre productions.</w:t>
            </w:r>
          </w:p>
          <w:p w14:paraId="4FFCC295"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Drawings or annotated sketches of designs – to clearly demonstrate the key features of the</w:t>
            </w:r>
          </w:p>
          <w:p w14:paraId="2EC1A9B1"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design, e.g. size, shape, fit, effect etc.</w:t>
            </w:r>
          </w:p>
          <w:p w14:paraId="5697C3CA"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Annotated scripts – to clearly demonstrate cues and effects throughout the performance.</w:t>
            </w:r>
          </w:p>
          <w:p w14:paraId="173F0A15"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 Video or written account – a detailed explanation of the effects students would have wished</w:t>
            </w:r>
          </w:p>
          <w:p w14:paraId="6872781B"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to create and the methods they would have employed in order to do so in the final live</w:t>
            </w:r>
          </w:p>
          <w:p w14:paraId="0A7691A8" w14:textId="77777777" w:rsidR="004A4A81" w:rsidRPr="004A4A81" w:rsidRDefault="004A4A81" w:rsidP="00980388">
            <w:pPr>
              <w:rPr>
                <w:rFonts w:asciiTheme="majorHAnsi" w:hAnsiTheme="majorHAnsi" w:cstheme="majorHAnsi"/>
                <w:sz w:val="22"/>
                <w:szCs w:val="22"/>
              </w:rPr>
            </w:pPr>
            <w:r w:rsidRPr="004A4A81">
              <w:rPr>
                <w:rFonts w:asciiTheme="majorHAnsi" w:hAnsiTheme="majorHAnsi" w:cstheme="majorHAnsi"/>
                <w:sz w:val="22"/>
                <w:szCs w:val="22"/>
              </w:rPr>
              <w:t>performance.</w:t>
            </w:r>
          </w:p>
          <w:p w14:paraId="01BE9873" w14:textId="77777777" w:rsidR="004A4A81" w:rsidRPr="004A4A81" w:rsidRDefault="004A4A81" w:rsidP="00980388">
            <w:pPr>
              <w:rPr>
                <w:rFonts w:asciiTheme="majorHAnsi" w:hAnsiTheme="majorHAnsi" w:cstheme="majorHAnsi"/>
                <w:sz w:val="22"/>
                <w:szCs w:val="22"/>
              </w:rPr>
            </w:pPr>
          </w:p>
        </w:tc>
        <w:tc>
          <w:tcPr>
            <w:tcW w:w="2835" w:type="dxa"/>
          </w:tcPr>
          <w:p w14:paraId="07EB3305" w14:textId="77777777" w:rsidR="004A4A81" w:rsidRPr="004A4A81" w:rsidRDefault="004A4A81" w:rsidP="00980388">
            <w:pPr>
              <w:spacing w:after="160" w:line="259" w:lineRule="auto"/>
              <w:rPr>
                <w:rFonts w:asciiTheme="majorHAnsi" w:hAnsiTheme="majorHAnsi" w:cstheme="majorHAnsi"/>
                <w:sz w:val="22"/>
                <w:szCs w:val="22"/>
              </w:rPr>
            </w:pPr>
          </w:p>
          <w:p w14:paraId="651105FB" w14:textId="77777777" w:rsidR="004A4A81" w:rsidRPr="004A4A81" w:rsidRDefault="004A4A81" w:rsidP="00980388">
            <w:pPr>
              <w:spacing w:after="160" w:line="259" w:lineRule="auto"/>
              <w:rPr>
                <w:rFonts w:asciiTheme="majorHAnsi" w:hAnsiTheme="majorHAnsi" w:cstheme="majorHAnsi"/>
                <w:sz w:val="22"/>
                <w:szCs w:val="22"/>
              </w:rPr>
            </w:pPr>
          </w:p>
          <w:p w14:paraId="591F63BC" w14:textId="77777777" w:rsidR="004A4A81" w:rsidRPr="004A4A81" w:rsidRDefault="004A4A81" w:rsidP="00980388">
            <w:pPr>
              <w:spacing w:after="160" w:line="259" w:lineRule="auto"/>
              <w:rPr>
                <w:rFonts w:asciiTheme="majorHAnsi" w:hAnsiTheme="majorHAnsi" w:cstheme="majorHAnsi"/>
                <w:sz w:val="22"/>
                <w:szCs w:val="22"/>
              </w:rPr>
            </w:pPr>
          </w:p>
          <w:p w14:paraId="244213FE" w14:textId="77777777" w:rsidR="004A4A81" w:rsidRPr="004A4A81" w:rsidRDefault="004A4A81" w:rsidP="00980388">
            <w:pPr>
              <w:spacing w:after="160" w:line="259" w:lineRule="auto"/>
              <w:rPr>
                <w:rFonts w:asciiTheme="majorHAnsi" w:hAnsiTheme="majorHAnsi" w:cstheme="majorHAnsi"/>
                <w:sz w:val="22"/>
                <w:szCs w:val="22"/>
              </w:rPr>
            </w:pPr>
            <w:r w:rsidRPr="004A4A81">
              <w:rPr>
                <w:rFonts w:asciiTheme="majorHAnsi" w:hAnsiTheme="majorHAnsi" w:cstheme="majorHAnsi"/>
                <w:sz w:val="22"/>
                <w:szCs w:val="22"/>
              </w:rPr>
              <w:t>Deadline for submission:</w:t>
            </w:r>
          </w:p>
          <w:p w14:paraId="1605B1F2" w14:textId="77777777" w:rsidR="004A4A81" w:rsidRPr="004A4A81" w:rsidRDefault="004A4A81" w:rsidP="004A4A81">
            <w:pPr>
              <w:spacing w:after="160" w:line="259" w:lineRule="auto"/>
              <w:jc w:val="center"/>
              <w:rPr>
                <w:rFonts w:asciiTheme="majorHAnsi" w:hAnsiTheme="majorHAnsi" w:cstheme="majorHAnsi"/>
                <w:b/>
                <w:color w:val="FF0000"/>
                <w:sz w:val="22"/>
                <w:szCs w:val="22"/>
              </w:rPr>
            </w:pPr>
            <w:r w:rsidRPr="004A4A81">
              <w:rPr>
                <w:rFonts w:asciiTheme="majorHAnsi" w:hAnsiTheme="majorHAnsi" w:cstheme="majorHAnsi"/>
                <w:b/>
                <w:color w:val="FF0000"/>
                <w:sz w:val="22"/>
                <w:szCs w:val="22"/>
              </w:rPr>
              <w:t>Friday 7</w:t>
            </w:r>
            <w:r w:rsidRPr="004A4A81">
              <w:rPr>
                <w:rFonts w:asciiTheme="majorHAnsi" w:hAnsiTheme="majorHAnsi" w:cstheme="majorHAnsi"/>
                <w:b/>
                <w:color w:val="FF0000"/>
                <w:sz w:val="22"/>
                <w:szCs w:val="22"/>
                <w:vertAlign w:val="superscript"/>
              </w:rPr>
              <w:t>th</w:t>
            </w:r>
            <w:r w:rsidRPr="004A4A81">
              <w:rPr>
                <w:rFonts w:asciiTheme="majorHAnsi" w:hAnsiTheme="majorHAnsi" w:cstheme="majorHAnsi"/>
                <w:b/>
                <w:color w:val="FF0000"/>
                <w:sz w:val="22"/>
                <w:szCs w:val="22"/>
              </w:rPr>
              <w:t xml:space="preserve"> May</w:t>
            </w:r>
          </w:p>
          <w:p w14:paraId="73884D01" w14:textId="77777777" w:rsidR="004A4A81" w:rsidRPr="004A4A81" w:rsidRDefault="004A4A81" w:rsidP="00980388">
            <w:pPr>
              <w:rPr>
                <w:rFonts w:asciiTheme="majorHAnsi" w:hAnsiTheme="majorHAnsi" w:cstheme="majorHAnsi"/>
                <w:sz w:val="22"/>
                <w:szCs w:val="22"/>
              </w:rPr>
            </w:pPr>
          </w:p>
        </w:tc>
      </w:tr>
      <w:tr w:rsidR="00835C03" w:rsidRPr="004A4A81" w14:paraId="17A996AD" w14:textId="77777777" w:rsidTr="004A4A81">
        <w:tc>
          <w:tcPr>
            <w:tcW w:w="852" w:type="dxa"/>
          </w:tcPr>
          <w:p w14:paraId="2A8DA4E4" w14:textId="77777777" w:rsidR="00835C03" w:rsidRPr="004A4A81" w:rsidRDefault="00835C03" w:rsidP="00835C03">
            <w:pPr>
              <w:rPr>
                <w:sz w:val="22"/>
                <w:szCs w:val="22"/>
              </w:rPr>
            </w:pPr>
            <w:r w:rsidRPr="004A4A81">
              <w:rPr>
                <w:sz w:val="22"/>
                <w:szCs w:val="22"/>
              </w:rPr>
              <w:t>Unit 3</w:t>
            </w:r>
          </w:p>
        </w:tc>
        <w:tc>
          <w:tcPr>
            <w:tcW w:w="7796" w:type="dxa"/>
          </w:tcPr>
          <w:p w14:paraId="16FB98BF" w14:textId="77777777" w:rsidR="00835C03" w:rsidRPr="00835C03" w:rsidRDefault="00835C03" w:rsidP="00835C03">
            <w:pPr>
              <w:rPr>
                <w:rFonts w:asciiTheme="majorHAnsi" w:hAnsiTheme="majorHAnsi" w:cstheme="majorHAnsi"/>
                <w:b/>
                <w:sz w:val="22"/>
                <w:szCs w:val="22"/>
              </w:rPr>
            </w:pPr>
            <w:r w:rsidRPr="00835C03">
              <w:rPr>
                <w:rFonts w:asciiTheme="majorHAnsi" w:hAnsiTheme="majorHAnsi" w:cstheme="majorHAnsi"/>
                <w:b/>
                <w:sz w:val="22"/>
                <w:szCs w:val="22"/>
              </w:rPr>
              <w:t>1 hr Open book assessment.</w:t>
            </w:r>
          </w:p>
          <w:p w14:paraId="4D1F89AA" w14:textId="77777777" w:rsidR="00835C03" w:rsidRPr="00835C03" w:rsidRDefault="00835C03" w:rsidP="00835C03">
            <w:pPr>
              <w:rPr>
                <w:rFonts w:asciiTheme="majorHAnsi" w:hAnsiTheme="majorHAnsi" w:cstheme="majorHAnsi"/>
                <w:sz w:val="22"/>
                <w:szCs w:val="22"/>
              </w:rPr>
            </w:pPr>
            <w:r w:rsidRPr="00835C03">
              <w:rPr>
                <w:rFonts w:asciiTheme="majorHAnsi" w:hAnsiTheme="majorHAnsi" w:cstheme="majorHAnsi"/>
                <w:sz w:val="22"/>
                <w:szCs w:val="22"/>
              </w:rPr>
              <w:t>Assessment will be based on Past Paper questions you will use your portfolio coursework to answer a series of multiple choice questions and short answer questions similar to that of the Unit 3 Written paper.</w:t>
            </w:r>
          </w:p>
        </w:tc>
        <w:tc>
          <w:tcPr>
            <w:tcW w:w="2835" w:type="dxa"/>
          </w:tcPr>
          <w:p w14:paraId="4DF11407" w14:textId="77777777" w:rsidR="00835C03" w:rsidRPr="00835C03" w:rsidRDefault="00835C03" w:rsidP="00835C03">
            <w:pPr>
              <w:spacing w:after="160" w:line="259" w:lineRule="auto"/>
              <w:rPr>
                <w:rFonts w:asciiTheme="majorHAnsi" w:hAnsiTheme="majorHAnsi" w:cstheme="majorHAnsi"/>
                <w:i/>
                <w:color w:val="FF0000"/>
                <w:sz w:val="22"/>
                <w:szCs w:val="22"/>
              </w:rPr>
            </w:pPr>
            <w:r w:rsidRPr="00835C03">
              <w:rPr>
                <w:rFonts w:asciiTheme="majorHAnsi" w:hAnsiTheme="majorHAnsi" w:cstheme="majorHAnsi"/>
                <w:i/>
                <w:color w:val="FF0000"/>
                <w:sz w:val="22"/>
                <w:szCs w:val="22"/>
              </w:rPr>
              <w:t>21</w:t>
            </w:r>
            <w:r w:rsidRPr="00835C03">
              <w:rPr>
                <w:rFonts w:asciiTheme="majorHAnsi" w:hAnsiTheme="majorHAnsi" w:cstheme="majorHAnsi"/>
                <w:i/>
                <w:color w:val="FF0000"/>
                <w:sz w:val="22"/>
                <w:szCs w:val="22"/>
                <w:vertAlign w:val="superscript"/>
              </w:rPr>
              <w:t>st</w:t>
            </w:r>
            <w:r w:rsidRPr="00835C03">
              <w:rPr>
                <w:rFonts w:asciiTheme="majorHAnsi" w:hAnsiTheme="majorHAnsi" w:cstheme="majorHAnsi"/>
                <w:i/>
                <w:color w:val="FF0000"/>
                <w:sz w:val="22"/>
                <w:szCs w:val="22"/>
              </w:rPr>
              <w:t xml:space="preserve"> April 2021</w:t>
            </w:r>
          </w:p>
          <w:p w14:paraId="349A1F25" w14:textId="77777777" w:rsidR="00835C03" w:rsidRPr="00835C03" w:rsidRDefault="00835C03" w:rsidP="00835C03">
            <w:pPr>
              <w:spacing w:after="160" w:line="259" w:lineRule="auto"/>
              <w:rPr>
                <w:rFonts w:asciiTheme="majorHAnsi" w:hAnsiTheme="majorHAnsi" w:cstheme="majorHAnsi"/>
                <w:sz w:val="22"/>
                <w:szCs w:val="22"/>
              </w:rPr>
            </w:pPr>
            <w:r w:rsidRPr="00835C03">
              <w:rPr>
                <w:rFonts w:asciiTheme="majorHAnsi" w:hAnsiTheme="majorHAnsi" w:cstheme="majorHAnsi"/>
                <w:i/>
                <w:color w:val="FF0000"/>
                <w:sz w:val="22"/>
                <w:szCs w:val="22"/>
              </w:rPr>
              <w:t>3</w:t>
            </w:r>
            <w:r w:rsidRPr="00835C03">
              <w:rPr>
                <w:rFonts w:asciiTheme="majorHAnsi" w:hAnsiTheme="majorHAnsi" w:cstheme="majorHAnsi"/>
                <w:i/>
                <w:color w:val="FF0000"/>
                <w:sz w:val="22"/>
                <w:szCs w:val="22"/>
                <w:vertAlign w:val="superscript"/>
              </w:rPr>
              <w:t>rd</w:t>
            </w:r>
            <w:r w:rsidRPr="00835C03">
              <w:rPr>
                <w:rFonts w:asciiTheme="majorHAnsi" w:hAnsiTheme="majorHAnsi" w:cstheme="majorHAnsi"/>
                <w:i/>
                <w:color w:val="FF0000"/>
                <w:sz w:val="22"/>
                <w:szCs w:val="22"/>
              </w:rPr>
              <w:t xml:space="preserve"> May 2021</w:t>
            </w:r>
          </w:p>
        </w:tc>
      </w:tr>
    </w:tbl>
    <w:p w14:paraId="60062238" w14:textId="77777777" w:rsidR="004B50E2" w:rsidRPr="004A4A81" w:rsidRDefault="008143A1">
      <w:pPr>
        <w:rPr>
          <w:sz w:val="22"/>
          <w:szCs w:val="22"/>
        </w:rPr>
      </w:pPr>
    </w:p>
    <w:sectPr w:rsidR="004B50E2" w:rsidRPr="004A4A81" w:rsidSect="004A4A8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A92FB" w14:textId="77777777" w:rsidR="004A4A81" w:rsidRDefault="004A4A81" w:rsidP="004A4A81">
      <w:r>
        <w:separator/>
      </w:r>
    </w:p>
  </w:endnote>
  <w:endnote w:type="continuationSeparator" w:id="0">
    <w:p w14:paraId="517B6737" w14:textId="77777777" w:rsidR="004A4A81" w:rsidRDefault="004A4A81" w:rsidP="004A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F3EE" w14:textId="77777777" w:rsidR="004A4A81" w:rsidRDefault="004A4A81">
    <w:pPr>
      <w:pStyle w:val="Footer"/>
    </w:pPr>
    <w:r>
      <w:t>Mrs A McLeod</w:t>
    </w:r>
    <w:r>
      <w:tab/>
    </w:r>
    <w:r>
      <w:tab/>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A119" w14:textId="77777777" w:rsidR="004A4A81" w:rsidRDefault="004A4A81" w:rsidP="004A4A81">
      <w:r>
        <w:separator/>
      </w:r>
    </w:p>
  </w:footnote>
  <w:footnote w:type="continuationSeparator" w:id="0">
    <w:p w14:paraId="0BE5F5C5" w14:textId="77777777" w:rsidR="004A4A81" w:rsidRDefault="004A4A81" w:rsidP="004A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E68"/>
    <w:multiLevelType w:val="hybridMultilevel"/>
    <w:tmpl w:val="588E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81"/>
    <w:rsid w:val="0007168B"/>
    <w:rsid w:val="002A53D6"/>
    <w:rsid w:val="00301A73"/>
    <w:rsid w:val="004A4A81"/>
    <w:rsid w:val="008143A1"/>
    <w:rsid w:val="0083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2A44"/>
  <w15:chartTrackingRefBased/>
  <w15:docId w15:val="{C0E3CD16-BA76-4786-964A-F0555C20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81"/>
    <w:pPr>
      <w:spacing w:after="0" w:line="240" w:lineRule="auto"/>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A81"/>
    <w:pPr>
      <w:ind w:left="720"/>
      <w:contextualSpacing/>
    </w:pPr>
  </w:style>
  <w:style w:type="paragraph" w:styleId="Header">
    <w:name w:val="header"/>
    <w:basedOn w:val="Normal"/>
    <w:link w:val="HeaderChar"/>
    <w:uiPriority w:val="99"/>
    <w:unhideWhenUsed/>
    <w:rsid w:val="004A4A81"/>
    <w:pPr>
      <w:tabs>
        <w:tab w:val="center" w:pos="4513"/>
        <w:tab w:val="right" w:pos="9026"/>
      </w:tabs>
    </w:pPr>
  </w:style>
  <w:style w:type="character" w:customStyle="1" w:styleId="HeaderChar">
    <w:name w:val="Header Char"/>
    <w:basedOn w:val="DefaultParagraphFont"/>
    <w:link w:val="Header"/>
    <w:uiPriority w:val="99"/>
    <w:rsid w:val="004A4A81"/>
    <w:rPr>
      <w:rFonts w:ascii="Calibri" w:hAnsi="Calibri"/>
      <w:sz w:val="24"/>
      <w:szCs w:val="24"/>
      <w:lang w:eastAsia="en-GB"/>
    </w:rPr>
  </w:style>
  <w:style w:type="paragraph" w:styleId="Footer">
    <w:name w:val="footer"/>
    <w:basedOn w:val="Normal"/>
    <w:link w:val="FooterChar"/>
    <w:uiPriority w:val="99"/>
    <w:unhideWhenUsed/>
    <w:rsid w:val="004A4A81"/>
    <w:pPr>
      <w:tabs>
        <w:tab w:val="center" w:pos="4513"/>
        <w:tab w:val="right" w:pos="9026"/>
      </w:tabs>
    </w:pPr>
  </w:style>
  <w:style w:type="character" w:customStyle="1" w:styleId="FooterChar">
    <w:name w:val="Footer Char"/>
    <w:basedOn w:val="DefaultParagraphFont"/>
    <w:link w:val="Footer"/>
    <w:uiPriority w:val="99"/>
    <w:rsid w:val="004A4A81"/>
    <w:rPr>
      <w:rFonts w:ascii="Calibri" w:hAnsi="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Thorpe</dc:creator>
  <cp:keywords/>
  <dc:description/>
  <cp:lastModifiedBy>James Harris</cp:lastModifiedBy>
  <cp:revision>2</cp:revision>
  <dcterms:created xsi:type="dcterms:W3CDTF">2021-04-25T13:06:00Z</dcterms:created>
  <dcterms:modified xsi:type="dcterms:W3CDTF">2021-04-25T13:06:00Z</dcterms:modified>
</cp:coreProperties>
</file>