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DA96" w14:textId="6AC9F83E" w:rsidR="006E17E4" w:rsidRDefault="004D6FD5">
      <w:pPr>
        <w:tabs>
          <w:tab w:val="center" w:pos="5761"/>
          <w:tab w:val="center" w:pos="6481"/>
          <w:tab w:val="center" w:pos="7201"/>
          <w:tab w:val="center" w:pos="7921"/>
          <w:tab w:val="center" w:pos="8641"/>
          <w:tab w:val="center" w:pos="9361"/>
          <w:tab w:val="center" w:pos="10081"/>
          <w:tab w:val="center" w:pos="10802"/>
          <w:tab w:val="center" w:pos="11522"/>
          <w:tab w:val="right" w:pos="14658"/>
        </w:tabs>
        <w:spacing w:after="0"/>
      </w:pPr>
      <w:bookmarkStart w:id="0" w:name="_GoBack"/>
      <w:bookmarkEnd w:id="0"/>
      <w:r>
        <w:rPr>
          <w:color w:val="2E74B5"/>
          <w:sz w:val="28"/>
        </w:rPr>
        <w:t xml:space="preserve">Walton-le-Dale Whole School Self </w:t>
      </w:r>
      <w:proofErr w:type="gramStart"/>
      <w:r>
        <w:rPr>
          <w:color w:val="2E74B5"/>
          <w:sz w:val="28"/>
        </w:rPr>
        <w:t>Evaluation  -</w:t>
      </w:r>
      <w:proofErr w:type="gramEnd"/>
      <w:r>
        <w:rPr>
          <w:color w:val="2E74B5"/>
          <w:sz w:val="28"/>
        </w:rPr>
        <w:t xml:space="preserve"> next steps progress highlighted for Curriculum Committee 2</w:t>
      </w:r>
      <w:r>
        <w:rPr>
          <w:color w:val="2E74B5"/>
          <w:sz w:val="28"/>
          <w:vertAlign w:val="superscript"/>
        </w:rPr>
        <w:t>nd</w:t>
      </w:r>
      <w:r>
        <w:rPr>
          <w:color w:val="2E74B5"/>
          <w:sz w:val="28"/>
        </w:rPr>
        <w:t xml:space="preserve"> Feb 2021 Agenda item 9 – RAG rated</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r>
        <w:rPr>
          <w:color w:val="2E74B5"/>
          <w:sz w:val="28"/>
        </w:rPr>
        <w:tab/>
        <w:t xml:space="preserve"> </w:t>
      </w:r>
    </w:p>
    <w:tbl>
      <w:tblPr>
        <w:tblStyle w:val="TableGrid"/>
        <w:tblW w:w="15625" w:type="dxa"/>
        <w:tblInd w:w="5" w:type="dxa"/>
        <w:tblCellMar>
          <w:top w:w="8" w:type="dxa"/>
          <w:left w:w="29" w:type="dxa"/>
        </w:tblCellMar>
        <w:tblLook w:val="04A0" w:firstRow="1" w:lastRow="0" w:firstColumn="1" w:lastColumn="0" w:noHBand="0" w:noVBand="1"/>
      </w:tblPr>
      <w:tblGrid>
        <w:gridCol w:w="1648"/>
        <w:gridCol w:w="79"/>
        <w:gridCol w:w="3442"/>
        <w:gridCol w:w="80"/>
        <w:gridCol w:w="79"/>
        <w:gridCol w:w="3301"/>
        <w:gridCol w:w="80"/>
        <w:gridCol w:w="3458"/>
        <w:gridCol w:w="3458"/>
      </w:tblGrid>
      <w:tr w:rsidR="006E17E4" w14:paraId="78229E5C" w14:textId="77777777">
        <w:trPr>
          <w:trHeight w:val="373"/>
        </w:trPr>
        <w:tc>
          <w:tcPr>
            <w:tcW w:w="1649" w:type="dxa"/>
            <w:tcBorders>
              <w:top w:val="single" w:sz="4" w:space="0" w:color="000000"/>
              <w:left w:val="single" w:sz="4" w:space="0" w:color="000000"/>
              <w:bottom w:val="single" w:sz="4" w:space="0" w:color="000000"/>
              <w:right w:val="single" w:sz="4" w:space="0" w:color="000000"/>
            </w:tcBorders>
          </w:tcPr>
          <w:p w14:paraId="480A6BBB" w14:textId="77777777" w:rsidR="006E17E4" w:rsidRDefault="004D6FD5">
            <w:pPr>
              <w:ind w:left="79"/>
            </w:pPr>
            <w:r>
              <w:rPr>
                <w:rFonts w:ascii="Arial" w:eastAsia="Arial" w:hAnsi="Arial" w:cs="Arial"/>
              </w:rPr>
              <w:t xml:space="preserve"> </w:t>
            </w:r>
          </w:p>
        </w:tc>
        <w:tc>
          <w:tcPr>
            <w:tcW w:w="3521" w:type="dxa"/>
            <w:gridSpan w:val="2"/>
            <w:tcBorders>
              <w:top w:val="single" w:sz="4" w:space="0" w:color="000000"/>
              <w:left w:val="single" w:sz="4" w:space="0" w:color="000000"/>
              <w:bottom w:val="single" w:sz="4" w:space="0" w:color="000000"/>
              <w:right w:val="nil"/>
            </w:tcBorders>
          </w:tcPr>
          <w:p w14:paraId="52D3CA76" w14:textId="77777777" w:rsidR="006E17E4" w:rsidRDefault="004D6FD5">
            <w:pPr>
              <w:ind w:left="79"/>
            </w:pPr>
            <w:r>
              <w:rPr>
                <w:rFonts w:ascii="Arial" w:eastAsia="Arial" w:hAnsi="Arial" w:cs="Arial"/>
                <w:b/>
              </w:rPr>
              <w:t xml:space="preserve">Quality of Education </w:t>
            </w:r>
          </w:p>
        </w:tc>
        <w:tc>
          <w:tcPr>
            <w:tcW w:w="79" w:type="dxa"/>
            <w:tcBorders>
              <w:top w:val="single" w:sz="4" w:space="0" w:color="000000"/>
              <w:left w:val="nil"/>
              <w:bottom w:val="single" w:sz="4" w:space="0" w:color="000000"/>
              <w:right w:val="single" w:sz="4" w:space="0" w:color="000000"/>
            </w:tcBorders>
          </w:tcPr>
          <w:p w14:paraId="220AFAE5" w14:textId="77777777" w:rsidR="006E17E4" w:rsidRDefault="006E17E4"/>
        </w:tc>
        <w:tc>
          <w:tcPr>
            <w:tcW w:w="3380" w:type="dxa"/>
            <w:gridSpan w:val="2"/>
            <w:tcBorders>
              <w:top w:val="single" w:sz="4" w:space="0" w:color="000000"/>
              <w:left w:val="single" w:sz="4" w:space="0" w:color="000000"/>
              <w:bottom w:val="single" w:sz="4" w:space="0" w:color="000000"/>
              <w:right w:val="nil"/>
            </w:tcBorders>
          </w:tcPr>
          <w:p w14:paraId="1A47D77E" w14:textId="77777777" w:rsidR="006E17E4" w:rsidRDefault="004D6FD5">
            <w:pPr>
              <w:ind w:left="79"/>
            </w:pPr>
            <w:r>
              <w:rPr>
                <w:rFonts w:ascii="Arial" w:eastAsia="Arial" w:hAnsi="Arial" w:cs="Arial"/>
                <w:b/>
              </w:rPr>
              <w:t xml:space="preserve">Behaviour and Attitudes </w:t>
            </w:r>
          </w:p>
        </w:tc>
        <w:tc>
          <w:tcPr>
            <w:tcW w:w="80" w:type="dxa"/>
            <w:tcBorders>
              <w:top w:val="single" w:sz="4" w:space="0" w:color="000000"/>
              <w:left w:val="nil"/>
              <w:bottom w:val="single" w:sz="4" w:space="0" w:color="000000"/>
              <w:right w:val="single" w:sz="4" w:space="0" w:color="000000"/>
            </w:tcBorders>
          </w:tcPr>
          <w:p w14:paraId="5122CE5F" w14:textId="77777777" w:rsidR="006E17E4" w:rsidRDefault="006E17E4"/>
        </w:tc>
        <w:tc>
          <w:tcPr>
            <w:tcW w:w="3458" w:type="dxa"/>
            <w:tcBorders>
              <w:top w:val="single" w:sz="4" w:space="0" w:color="000000"/>
              <w:left w:val="single" w:sz="4" w:space="0" w:color="000000"/>
              <w:bottom w:val="single" w:sz="4" w:space="0" w:color="000000"/>
              <w:right w:val="single" w:sz="4" w:space="0" w:color="000000"/>
            </w:tcBorders>
          </w:tcPr>
          <w:p w14:paraId="3F53E4EF" w14:textId="77777777" w:rsidR="006E17E4" w:rsidRDefault="004D6FD5">
            <w:pPr>
              <w:ind w:left="78"/>
            </w:pPr>
            <w:r>
              <w:rPr>
                <w:rFonts w:ascii="Arial" w:eastAsia="Arial" w:hAnsi="Arial" w:cs="Arial"/>
                <w:b/>
              </w:rPr>
              <w:t xml:space="preserve">Personal Development </w:t>
            </w:r>
          </w:p>
        </w:tc>
        <w:tc>
          <w:tcPr>
            <w:tcW w:w="3458" w:type="dxa"/>
            <w:tcBorders>
              <w:top w:val="single" w:sz="4" w:space="0" w:color="000000"/>
              <w:left w:val="single" w:sz="4" w:space="0" w:color="000000"/>
              <w:bottom w:val="single" w:sz="4" w:space="0" w:color="000000"/>
              <w:right w:val="single" w:sz="4" w:space="0" w:color="000000"/>
            </w:tcBorders>
          </w:tcPr>
          <w:p w14:paraId="1082772C" w14:textId="77777777" w:rsidR="006E17E4" w:rsidRDefault="004D6FD5">
            <w:pPr>
              <w:ind w:left="79"/>
            </w:pPr>
            <w:r>
              <w:rPr>
                <w:rFonts w:ascii="Arial" w:eastAsia="Arial" w:hAnsi="Arial" w:cs="Arial"/>
                <w:b/>
              </w:rPr>
              <w:t xml:space="preserve">Leadership and Management </w:t>
            </w:r>
          </w:p>
        </w:tc>
      </w:tr>
      <w:tr w:rsidR="006E17E4" w14:paraId="221144D5" w14:textId="77777777">
        <w:trPr>
          <w:trHeight w:val="1171"/>
        </w:trPr>
        <w:tc>
          <w:tcPr>
            <w:tcW w:w="1649" w:type="dxa"/>
            <w:tcBorders>
              <w:top w:val="single" w:sz="4" w:space="0" w:color="000000"/>
              <w:left w:val="single" w:sz="4" w:space="0" w:color="000000"/>
              <w:bottom w:val="single" w:sz="4" w:space="0" w:color="000000"/>
              <w:right w:val="single" w:sz="4" w:space="0" w:color="000000"/>
            </w:tcBorders>
          </w:tcPr>
          <w:p w14:paraId="63222548" w14:textId="77777777" w:rsidR="006E17E4" w:rsidRDefault="004D6FD5">
            <w:pPr>
              <w:ind w:left="79"/>
            </w:pPr>
            <w:r>
              <w:rPr>
                <w:rFonts w:ascii="Arial" w:eastAsia="Arial" w:hAnsi="Arial" w:cs="Arial"/>
              </w:rPr>
              <w:t xml:space="preserve">RAG rating** </w:t>
            </w:r>
          </w:p>
        </w:tc>
        <w:tc>
          <w:tcPr>
            <w:tcW w:w="79" w:type="dxa"/>
            <w:tcBorders>
              <w:top w:val="single" w:sz="4" w:space="0" w:color="000000"/>
              <w:left w:val="single" w:sz="4" w:space="0" w:color="000000"/>
              <w:bottom w:val="single" w:sz="4" w:space="0" w:color="000000"/>
              <w:right w:val="nil"/>
            </w:tcBorders>
          </w:tcPr>
          <w:p w14:paraId="2FFD30B8" w14:textId="77777777" w:rsidR="006E17E4" w:rsidRDefault="006E17E4"/>
        </w:tc>
        <w:tc>
          <w:tcPr>
            <w:tcW w:w="3442" w:type="dxa"/>
            <w:tcBorders>
              <w:top w:val="single" w:sz="4" w:space="0" w:color="000000"/>
              <w:left w:val="nil"/>
              <w:bottom w:val="single" w:sz="4" w:space="0" w:color="000000"/>
              <w:right w:val="nil"/>
            </w:tcBorders>
            <w:shd w:val="clear" w:color="auto" w:fill="FFC000"/>
          </w:tcPr>
          <w:p w14:paraId="1F42DC76" w14:textId="77777777" w:rsidR="006E17E4" w:rsidRDefault="004D6FD5">
            <w:pPr>
              <w:spacing w:after="20" w:line="275" w:lineRule="auto"/>
            </w:pPr>
            <w:r>
              <w:rPr>
                <w:rFonts w:ascii="Arial" w:eastAsia="Arial" w:hAnsi="Arial" w:cs="Arial"/>
              </w:rPr>
              <w:t xml:space="preserve">It is the difficulty of measuring impact during the pandemic that </w:t>
            </w:r>
          </w:p>
          <w:p w14:paraId="631057A2" w14:textId="77777777" w:rsidR="006E17E4" w:rsidRDefault="004D6FD5">
            <w:r>
              <w:rPr>
                <w:rFonts w:ascii="Arial" w:eastAsia="Arial" w:hAnsi="Arial" w:cs="Arial"/>
              </w:rPr>
              <w:t xml:space="preserve">stops this being “green” - securely good </w:t>
            </w:r>
          </w:p>
        </w:tc>
        <w:tc>
          <w:tcPr>
            <w:tcW w:w="79" w:type="dxa"/>
            <w:tcBorders>
              <w:top w:val="single" w:sz="4" w:space="0" w:color="000000"/>
              <w:left w:val="nil"/>
              <w:bottom w:val="single" w:sz="4" w:space="0" w:color="000000"/>
              <w:right w:val="single" w:sz="4" w:space="0" w:color="000000"/>
            </w:tcBorders>
          </w:tcPr>
          <w:p w14:paraId="04FEC79C" w14:textId="77777777" w:rsidR="006E17E4" w:rsidRDefault="006E17E4"/>
        </w:tc>
        <w:tc>
          <w:tcPr>
            <w:tcW w:w="79" w:type="dxa"/>
            <w:tcBorders>
              <w:top w:val="single" w:sz="4" w:space="0" w:color="000000"/>
              <w:left w:val="single" w:sz="4" w:space="0" w:color="000000"/>
              <w:bottom w:val="single" w:sz="4" w:space="0" w:color="000000"/>
              <w:right w:val="nil"/>
            </w:tcBorders>
          </w:tcPr>
          <w:p w14:paraId="3D3C5269" w14:textId="77777777" w:rsidR="006E17E4" w:rsidRDefault="006E17E4"/>
        </w:tc>
        <w:tc>
          <w:tcPr>
            <w:tcW w:w="3300" w:type="dxa"/>
            <w:tcBorders>
              <w:top w:val="single" w:sz="4" w:space="0" w:color="000000"/>
              <w:left w:val="nil"/>
              <w:bottom w:val="single" w:sz="4" w:space="0" w:color="000000"/>
              <w:right w:val="nil"/>
            </w:tcBorders>
            <w:shd w:val="clear" w:color="auto" w:fill="FFC000"/>
          </w:tcPr>
          <w:p w14:paraId="4E325C76" w14:textId="77777777" w:rsidR="006E17E4" w:rsidRDefault="004D6FD5">
            <w:pPr>
              <w:ind w:right="3"/>
            </w:pPr>
            <w:r>
              <w:rPr>
                <w:rFonts w:ascii="Arial" w:eastAsia="Arial" w:hAnsi="Arial" w:cs="Arial"/>
              </w:rPr>
              <w:t xml:space="preserve">Attendance is the key reason that this is not “green” - securely good.  This is a complex issue in the pandemic. </w:t>
            </w:r>
          </w:p>
        </w:tc>
        <w:tc>
          <w:tcPr>
            <w:tcW w:w="80" w:type="dxa"/>
            <w:tcBorders>
              <w:top w:val="single" w:sz="4" w:space="0" w:color="000000"/>
              <w:left w:val="nil"/>
              <w:bottom w:val="single" w:sz="4" w:space="0" w:color="000000"/>
              <w:right w:val="single" w:sz="4" w:space="0" w:color="000000"/>
            </w:tcBorders>
          </w:tcPr>
          <w:p w14:paraId="7D11FE4B" w14:textId="77777777" w:rsidR="006E17E4" w:rsidRDefault="006E17E4"/>
        </w:tc>
        <w:tc>
          <w:tcPr>
            <w:tcW w:w="3458" w:type="dxa"/>
            <w:tcBorders>
              <w:top w:val="single" w:sz="4" w:space="0" w:color="000000"/>
              <w:left w:val="single" w:sz="4" w:space="0" w:color="000000"/>
              <w:bottom w:val="single" w:sz="4" w:space="0" w:color="000000"/>
              <w:right w:val="single" w:sz="4" w:space="0" w:color="000000"/>
            </w:tcBorders>
            <w:shd w:val="clear" w:color="auto" w:fill="92D050"/>
          </w:tcPr>
          <w:p w14:paraId="365584DF" w14:textId="77777777" w:rsidR="006E17E4" w:rsidRDefault="004D6FD5">
            <w:pPr>
              <w:ind w:left="78"/>
            </w:pPr>
            <w:r>
              <w:rPr>
                <w:rFonts w:ascii="Arial" w:eastAsia="Arial" w:hAnsi="Arial" w:cs="Arial"/>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92D050"/>
          </w:tcPr>
          <w:p w14:paraId="09D74225" w14:textId="77777777" w:rsidR="006E17E4" w:rsidRDefault="004D6FD5">
            <w:pPr>
              <w:ind w:left="79"/>
            </w:pPr>
            <w:r>
              <w:rPr>
                <w:rFonts w:ascii="Arial" w:eastAsia="Arial" w:hAnsi="Arial" w:cs="Arial"/>
              </w:rPr>
              <w:t xml:space="preserve"> </w:t>
            </w:r>
          </w:p>
        </w:tc>
      </w:tr>
      <w:tr w:rsidR="006E17E4" w14:paraId="061CB4AA" w14:textId="77777777">
        <w:trPr>
          <w:trHeight w:val="7733"/>
        </w:trPr>
        <w:tc>
          <w:tcPr>
            <w:tcW w:w="1649" w:type="dxa"/>
            <w:tcBorders>
              <w:top w:val="single" w:sz="4" w:space="0" w:color="000000"/>
              <w:left w:val="single" w:sz="4" w:space="0" w:color="000000"/>
              <w:bottom w:val="single" w:sz="4" w:space="0" w:color="000000"/>
              <w:right w:val="single" w:sz="4" w:space="0" w:color="000000"/>
            </w:tcBorders>
          </w:tcPr>
          <w:p w14:paraId="0B8A6C7C" w14:textId="77777777" w:rsidR="006E17E4" w:rsidRDefault="004D6FD5">
            <w:pPr>
              <w:spacing w:after="16"/>
              <w:ind w:left="79"/>
            </w:pPr>
            <w:r>
              <w:rPr>
                <w:rFonts w:ascii="Arial" w:eastAsia="Arial" w:hAnsi="Arial" w:cs="Arial"/>
              </w:rPr>
              <w:t xml:space="preserve">Key Strengths </w:t>
            </w:r>
          </w:p>
          <w:p w14:paraId="58708100" w14:textId="77777777" w:rsidR="006E17E4" w:rsidRDefault="004D6FD5">
            <w:pPr>
              <w:spacing w:after="17"/>
              <w:ind w:left="79"/>
            </w:pPr>
            <w:r>
              <w:rPr>
                <w:rFonts w:ascii="Arial" w:eastAsia="Arial" w:hAnsi="Arial" w:cs="Arial"/>
              </w:rPr>
              <w:t xml:space="preserve"> </w:t>
            </w:r>
          </w:p>
          <w:p w14:paraId="6F11C06D" w14:textId="77777777" w:rsidR="006E17E4" w:rsidRDefault="004D6FD5">
            <w:pPr>
              <w:spacing w:after="16"/>
              <w:ind w:left="79"/>
            </w:pPr>
            <w:r>
              <w:rPr>
                <w:rFonts w:ascii="Arial" w:eastAsia="Arial" w:hAnsi="Arial" w:cs="Arial"/>
              </w:rPr>
              <w:t xml:space="preserve"> </w:t>
            </w:r>
          </w:p>
          <w:p w14:paraId="1710173A" w14:textId="77777777" w:rsidR="006E17E4" w:rsidRDefault="004D6FD5">
            <w:pPr>
              <w:spacing w:after="19"/>
              <w:ind w:left="79"/>
            </w:pPr>
            <w:r>
              <w:rPr>
                <w:rFonts w:ascii="Arial" w:eastAsia="Arial" w:hAnsi="Arial" w:cs="Arial"/>
              </w:rPr>
              <w:t xml:space="preserve"> </w:t>
            </w:r>
          </w:p>
          <w:p w14:paraId="5F57C8D6" w14:textId="77777777" w:rsidR="006E17E4" w:rsidRDefault="004D6FD5">
            <w:pPr>
              <w:spacing w:after="16"/>
              <w:ind w:left="79"/>
            </w:pPr>
            <w:r>
              <w:rPr>
                <w:rFonts w:ascii="Arial" w:eastAsia="Arial" w:hAnsi="Arial" w:cs="Arial"/>
              </w:rPr>
              <w:t xml:space="preserve"> </w:t>
            </w:r>
          </w:p>
          <w:p w14:paraId="45C09F7F" w14:textId="77777777" w:rsidR="006E17E4" w:rsidRDefault="004D6FD5">
            <w:pPr>
              <w:spacing w:after="16"/>
              <w:ind w:left="79"/>
            </w:pPr>
            <w:r>
              <w:rPr>
                <w:rFonts w:ascii="Arial" w:eastAsia="Arial" w:hAnsi="Arial" w:cs="Arial"/>
              </w:rPr>
              <w:t xml:space="preserve"> </w:t>
            </w:r>
          </w:p>
          <w:p w14:paraId="09B3983E" w14:textId="77777777" w:rsidR="006E17E4" w:rsidRDefault="004D6FD5">
            <w:pPr>
              <w:spacing w:after="16"/>
              <w:ind w:left="79"/>
            </w:pPr>
            <w:r>
              <w:rPr>
                <w:rFonts w:ascii="Arial" w:eastAsia="Arial" w:hAnsi="Arial" w:cs="Arial"/>
              </w:rPr>
              <w:t xml:space="preserve"> </w:t>
            </w:r>
          </w:p>
          <w:p w14:paraId="49E4327A" w14:textId="77777777" w:rsidR="006E17E4" w:rsidRDefault="004D6FD5">
            <w:pPr>
              <w:spacing w:after="19"/>
              <w:ind w:left="79"/>
            </w:pPr>
            <w:r>
              <w:rPr>
                <w:rFonts w:ascii="Arial" w:eastAsia="Arial" w:hAnsi="Arial" w:cs="Arial"/>
              </w:rPr>
              <w:t xml:space="preserve"> </w:t>
            </w:r>
          </w:p>
          <w:p w14:paraId="527155C0" w14:textId="77777777" w:rsidR="006E17E4" w:rsidRDefault="004D6FD5">
            <w:pPr>
              <w:spacing w:after="16"/>
              <w:ind w:left="79"/>
            </w:pPr>
            <w:r>
              <w:rPr>
                <w:rFonts w:ascii="Arial" w:eastAsia="Arial" w:hAnsi="Arial" w:cs="Arial"/>
              </w:rPr>
              <w:t xml:space="preserve"> </w:t>
            </w:r>
          </w:p>
          <w:p w14:paraId="60F38203" w14:textId="77777777" w:rsidR="006E17E4" w:rsidRDefault="004D6FD5">
            <w:pPr>
              <w:spacing w:after="16"/>
              <w:ind w:left="79"/>
            </w:pPr>
            <w:r>
              <w:rPr>
                <w:rFonts w:ascii="Arial" w:eastAsia="Arial" w:hAnsi="Arial" w:cs="Arial"/>
              </w:rPr>
              <w:t xml:space="preserve"> </w:t>
            </w:r>
          </w:p>
          <w:p w14:paraId="78CF9011" w14:textId="77777777" w:rsidR="006E17E4" w:rsidRDefault="004D6FD5">
            <w:pPr>
              <w:spacing w:after="17"/>
              <w:ind w:left="79"/>
            </w:pPr>
            <w:r>
              <w:rPr>
                <w:rFonts w:ascii="Arial" w:eastAsia="Arial" w:hAnsi="Arial" w:cs="Arial"/>
              </w:rPr>
              <w:t xml:space="preserve"> </w:t>
            </w:r>
          </w:p>
          <w:p w14:paraId="4DD6DA5B" w14:textId="77777777" w:rsidR="006E17E4" w:rsidRDefault="004D6FD5">
            <w:pPr>
              <w:spacing w:after="16"/>
              <w:ind w:left="79"/>
            </w:pPr>
            <w:r>
              <w:rPr>
                <w:rFonts w:ascii="Arial" w:eastAsia="Arial" w:hAnsi="Arial" w:cs="Arial"/>
              </w:rPr>
              <w:t xml:space="preserve"> </w:t>
            </w:r>
          </w:p>
          <w:p w14:paraId="4683AA67" w14:textId="77777777" w:rsidR="006E17E4" w:rsidRDefault="004D6FD5">
            <w:pPr>
              <w:spacing w:after="19"/>
              <w:ind w:left="79"/>
            </w:pPr>
            <w:r>
              <w:rPr>
                <w:rFonts w:ascii="Arial" w:eastAsia="Arial" w:hAnsi="Arial" w:cs="Arial"/>
              </w:rPr>
              <w:t xml:space="preserve"> </w:t>
            </w:r>
          </w:p>
          <w:p w14:paraId="442D06FC" w14:textId="77777777" w:rsidR="006E17E4" w:rsidRDefault="004D6FD5">
            <w:pPr>
              <w:ind w:left="79"/>
            </w:pPr>
            <w:r>
              <w:rPr>
                <w:rFonts w:ascii="Arial" w:eastAsia="Arial" w:hAnsi="Arial" w:cs="Arial"/>
              </w:rPr>
              <w:t xml:space="preserve"> </w:t>
            </w:r>
          </w:p>
        </w:tc>
        <w:tc>
          <w:tcPr>
            <w:tcW w:w="3521" w:type="dxa"/>
            <w:gridSpan w:val="2"/>
            <w:tcBorders>
              <w:top w:val="single" w:sz="4" w:space="0" w:color="000000"/>
              <w:left w:val="single" w:sz="4" w:space="0" w:color="000000"/>
              <w:bottom w:val="single" w:sz="4" w:space="0" w:color="000000"/>
              <w:right w:val="nil"/>
            </w:tcBorders>
          </w:tcPr>
          <w:p w14:paraId="0E71DC06" w14:textId="77777777" w:rsidR="006E17E4" w:rsidRDefault="004D6FD5">
            <w:pPr>
              <w:spacing w:line="275" w:lineRule="auto"/>
              <w:ind w:left="79"/>
            </w:pPr>
            <w:r>
              <w:t xml:space="preserve">Ambitious curriculum with challenging progress ladders linked to schemes of work.  Students able to achieve the highest grades in all subjects. </w:t>
            </w:r>
          </w:p>
          <w:p w14:paraId="411289ED" w14:textId="77777777" w:rsidR="006E17E4" w:rsidRDefault="004D6FD5">
            <w:pPr>
              <w:spacing w:after="1" w:line="275" w:lineRule="auto"/>
              <w:ind w:left="79" w:right="292"/>
            </w:pPr>
            <w:r>
              <w:t xml:space="preserve">Open, broad, curriculum with clear statements of entitlement ASPIRE framework for skills an </w:t>
            </w:r>
            <w:proofErr w:type="gramStart"/>
            <w:r>
              <w:t>attributes</w:t>
            </w:r>
            <w:proofErr w:type="gramEnd"/>
            <w:r>
              <w:t xml:space="preserve">  </w:t>
            </w:r>
          </w:p>
          <w:p w14:paraId="7F422854" w14:textId="77777777" w:rsidR="006E17E4" w:rsidRDefault="004D6FD5">
            <w:pPr>
              <w:spacing w:after="19"/>
              <w:ind w:left="79"/>
            </w:pPr>
            <w:r>
              <w:t xml:space="preserve">Strong careers guidance – All 8 </w:t>
            </w:r>
          </w:p>
          <w:p w14:paraId="2812198D" w14:textId="77777777" w:rsidR="006E17E4" w:rsidRDefault="004D6FD5">
            <w:pPr>
              <w:ind w:left="79" w:right="37"/>
            </w:pPr>
            <w:r>
              <w:t xml:space="preserve">Gatsby benchmarks achieved Strong improvement in progress of students with SEND (especially SEN K) and accessible curriculum.  All students able to study the EBacc in the context of an open options system. Introduction of an additional language at GCSE to address uptake in languages.  introduction of ASDAN </w:t>
            </w:r>
            <w:proofErr w:type="spellStart"/>
            <w:r>
              <w:t>CoPE</w:t>
            </w:r>
            <w:proofErr w:type="spellEnd"/>
            <w:r>
              <w:t xml:space="preserve"> to support those with additional learning needs. Considerable development and innovation in teaching and learning, including teaching for memory and investment in the learning </w:t>
            </w:r>
          </w:p>
        </w:tc>
        <w:tc>
          <w:tcPr>
            <w:tcW w:w="79" w:type="dxa"/>
            <w:tcBorders>
              <w:top w:val="single" w:sz="4" w:space="0" w:color="000000"/>
              <w:left w:val="nil"/>
              <w:bottom w:val="single" w:sz="4" w:space="0" w:color="000000"/>
              <w:right w:val="single" w:sz="4" w:space="0" w:color="000000"/>
            </w:tcBorders>
          </w:tcPr>
          <w:p w14:paraId="596AF396" w14:textId="77777777" w:rsidR="006E17E4" w:rsidRDefault="006E17E4"/>
        </w:tc>
        <w:tc>
          <w:tcPr>
            <w:tcW w:w="3380" w:type="dxa"/>
            <w:gridSpan w:val="2"/>
            <w:tcBorders>
              <w:top w:val="single" w:sz="4" w:space="0" w:color="000000"/>
              <w:left w:val="single" w:sz="4" w:space="0" w:color="000000"/>
              <w:bottom w:val="single" w:sz="4" w:space="0" w:color="000000"/>
              <w:right w:val="nil"/>
            </w:tcBorders>
          </w:tcPr>
          <w:p w14:paraId="770FB8A0" w14:textId="77777777" w:rsidR="006E17E4" w:rsidRDefault="004D6FD5">
            <w:pPr>
              <w:ind w:left="79" w:right="12"/>
            </w:pPr>
            <w:r>
              <w:t xml:space="preserve">New systems introduced to enhance consistency across all teachers and subjects </w:t>
            </w:r>
          </w:p>
          <w:p w14:paraId="312ACAFC" w14:textId="77777777" w:rsidR="006E17E4" w:rsidRDefault="004D6FD5">
            <w:pPr>
              <w:spacing w:line="239" w:lineRule="auto"/>
              <w:ind w:left="79" w:right="3"/>
            </w:pPr>
            <w:r>
              <w:t xml:space="preserve">2019: Attendance (and PA) of students with SEND (E and K) better than national, better than </w:t>
            </w:r>
            <w:proofErr w:type="spellStart"/>
            <w:r>
              <w:t>nonSEND</w:t>
            </w:r>
            <w:proofErr w:type="spellEnd"/>
            <w:r>
              <w:t xml:space="preserve"> and improved from 2018. PASS survey very positive compared with national data </w:t>
            </w:r>
          </w:p>
          <w:p w14:paraId="51B9FEF0" w14:textId="77777777" w:rsidR="006E17E4" w:rsidRDefault="004D6FD5">
            <w:pPr>
              <w:spacing w:line="239" w:lineRule="auto"/>
              <w:ind w:left="79"/>
            </w:pPr>
            <w:r>
              <w:t xml:space="preserve">Improving attitude to independent study and resilience to challenge over last 2 to 3 years.   </w:t>
            </w:r>
          </w:p>
          <w:p w14:paraId="67760B69" w14:textId="77777777" w:rsidR="006E17E4" w:rsidRDefault="004D6FD5">
            <w:pPr>
              <w:spacing w:line="239" w:lineRule="auto"/>
              <w:ind w:left="79"/>
            </w:pPr>
            <w:r>
              <w:t xml:space="preserve">Attendance on an improving trend and PA has significantly improved.  Appointment of Family Support Worker has helped. </w:t>
            </w:r>
          </w:p>
          <w:p w14:paraId="36A0AD43" w14:textId="77777777" w:rsidR="006E17E4" w:rsidRDefault="004D6FD5">
            <w:pPr>
              <w:ind w:left="79" w:right="66"/>
            </w:pPr>
            <w:r>
              <w:t>Latest KR survey (March 2019) showed that students considered the control of bullying, for example, was good.  Students felt safe.</w:t>
            </w:r>
            <w:r>
              <w:rPr>
                <w:rFonts w:ascii="Arial" w:eastAsia="Arial" w:hAnsi="Arial" w:cs="Arial"/>
              </w:rPr>
              <w:t xml:space="preserve"> </w:t>
            </w:r>
            <w:r>
              <w:t xml:space="preserve">2020:  The pandemic has meant that there has been a key focus on safe and appropriate behaviour, coupled with a supportive individual mentoring system and detailed work with parents, particularly those of students with </w:t>
            </w:r>
          </w:p>
        </w:tc>
        <w:tc>
          <w:tcPr>
            <w:tcW w:w="80" w:type="dxa"/>
            <w:tcBorders>
              <w:top w:val="single" w:sz="4" w:space="0" w:color="000000"/>
              <w:left w:val="nil"/>
              <w:bottom w:val="single" w:sz="4" w:space="0" w:color="000000"/>
              <w:right w:val="single" w:sz="4" w:space="0" w:color="000000"/>
            </w:tcBorders>
          </w:tcPr>
          <w:p w14:paraId="4D23AF51" w14:textId="77777777" w:rsidR="006E17E4" w:rsidRDefault="006E17E4"/>
        </w:tc>
        <w:tc>
          <w:tcPr>
            <w:tcW w:w="3458" w:type="dxa"/>
            <w:tcBorders>
              <w:top w:val="single" w:sz="4" w:space="0" w:color="000000"/>
              <w:left w:val="single" w:sz="4" w:space="0" w:color="000000"/>
              <w:bottom w:val="single" w:sz="4" w:space="0" w:color="000000"/>
              <w:right w:val="single" w:sz="4" w:space="0" w:color="000000"/>
            </w:tcBorders>
          </w:tcPr>
          <w:p w14:paraId="6D09974E" w14:textId="77777777" w:rsidR="006E17E4" w:rsidRDefault="004D6FD5">
            <w:pPr>
              <w:spacing w:after="1" w:line="275" w:lineRule="auto"/>
              <w:ind w:left="78"/>
            </w:pPr>
            <w:r>
              <w:t xml:space="preserve">Strong focus on students’ wider development – ASPIRE framework, strong focus on SMSC and a wide range of opportunities </w:t>
            </w:r>
          </w:p>
          <w:p w14:paraId="23FE8638" w14:textId="77777777" w:rsidR="006E17E4" w:rsidRDefault="004D6FD5">
            <w:pPr>
              <w:spacing w:line="275" w:lineRule="auto"/>
              <w:ind w:left="78" w:right="97"/>
            </w:pPr>
            <w:r>
              <w:t xml:space="preserve">Strong pastoral support for systems recognised by external agencies and reviewers (e.g. IQM Flagship review) </w:t>
            </w:r>
          </w:p>
          <w:p w14:paraId="766FE7FC" w14:textId="77777777" w:rsidR="006E17E4" w:rsidRDefault="004D6FD5">
            <w:pPr>
              <w:spacing w:line="275" w:lineRule="auto"/>
              <w:ind w:left="78"/>
            </w:pPr>
            <w:r>
              <w:t xml:space="preserve">Clear ethos of respect for diversity Very wide range of co-curricular activities (until the pandemic) and a high </w:t>
            </w:r>
            <w:proofErr w:type="spellStart"/>
            <w:r>
              <w:t>takeup</w:t>
            </w:r>
            <w:proofErr w:type="spellEnd"/>
            <w:r>
              <w:t xml:space="preserve">, including 72% of PP students </w:t>
            </w:r>
          </w:p>
          <w:p w14:paraId="3E239FFD" w14:textId="77777777" w:rsidR="006E17E4" w:rsidRDefault="004D6FD5">
            <w:pPr>
              <w:spacing w:after="1" w:line="275" w:lineRule="auto"/>
              <w:ind w:left="78"/>
            </w:pPr>
            <w:r>
              <w:t xml:space="preserve">8 Gatsby benchmarks met for careers provision with high quality provision for work-related learning including work experience for all students. </w:t>
            </w:r>
          </w:p>
          <w:p w14:paraId="77BD870C" w14:textId="77777777" w:rsidR="006E17E4" w:rsidRDefault="004D6FD5">
            <w:pPr>
              <w:ind w:left="78" w:right="31"/>
            </w:pPr>
            <w:r>
              <w:t xml:space="preserve">Significant aspects of the work in this area (e.g. trips, clubs...) are on hold due to the pandemic </w:t>
            </w:r>
          </w:p>
        </w:tc>
        <w:tc>
          <w:tcPr>
            <w:tcW w:w="3458" w:type="dxa"/>
            <w:tcBorders>
              <w:top w:val="single" w:sz="4" w:space="0" w:color="000000"/>
              <w:left w:val="single" w:sz="4" w:space="0" w:color="000000"/>
              <w:bottom w:val="single" w:sz="4" w:space="0" w:color="000000"/>
              <w:right w:val="single" w:sz="4" w:space="0" w:color="000000"/>
            </w:tcBorders>
          </w:tcPr>
          <w:p w14:paraId="3CF2C4E8" w14:textId="77777777" w:rsidR="006E17E4" w:rsidRDefault="004D6FD5">
            <w:pPr>
              <w:spacing w:after="1" w:line="275" w:lineRule="auto"/>
              <w:ind w:left="79"/>
            </w:pPr>
            <w:r>
              <w:t xml:space="preserve">Clear vision shared through clear improvement plan with shared values.   </w:t>
            </w:r>
          </w:p>
          <w:p w14:paraId="4878C156" w14:textId="77777777" w:rsidR="006E17E4" w:rsidRDefault="004D6FD5">
            <w:pPr>
              <w:spacing w:after="1" w:line="275" w:lineRule="auto"/>
              <w:ind w:left="79"/>
            </w:pPr>
            <w:r>
              <w:t xml:space="preserve">Focus on CPD as the means of further improving teaching and learning – change to PM processes, use of study groups… </w:t>
            </w:r>
          </w:p>
          <w:p w14:paraId="5B9DDDE7" w14:textId="77777777" w:rsidR="006E17E4" w:rsidRDefault="004D6FD5">
            <w:pPr>
              <w:spacing w:after="2" w:line="275" w:lineRule="auto"/>
              <w:ind w:left="79"/>
            </w:pPr>
            <w:r>
              <w:t xml:space="preserve">Highly inclusive school focused on every student completing their programme of study </w:t>
            </w:r>
          </w:p>
          <w:p w14:paraId="5256C2B4" w14:textId="77777777" w:rsidR="006E17E4" w:rsidRDefault="004D6FD5">
            <w:pPr>
              <w:spacing w:after="1" w:line="275" w:lineRule="auto"/>
              <w:ind w:left="79" w:right="238"/>
            </w:pPr>
            <w:r>
              <w:t xml:space="preserve">Good attendance at parents’ evenings with the extensive use of email and text to contact parents and carers and an “open door” to parents/carers to discuss issues leads to good communication High quality opportunities for employer engagement </w:t>
            </w:r>
          </w:p>
          <w:p w14:paraId="657860C9" w14:textId="77777777" w:rsidR="006E17E4" w:rsidRDefault="004D6FD5">
            <w:pPr>
              <w:spacing w:line="275" w:lineRule="auto"/>
              <w:ind w:left="79"/>
            </w:pPr>
            <w:r>
              <w:t xml:space="preserve">Management of workload is a high priority – control over marking policy, reduction in data captures… Clear lines of communication within the staff </w:t>
            </w:r>
          </w:p>
          <w:p w14:paraId="5625E05A" w14:textId="77777777" w:rsidR="006E17E4" w:rsidRDefault="004D6FD5">
            <w:pPr>
              <w:ind w:left="79"/>
            </w:pPr>
            <w:r>
              <w:t xml:space="preserve">Positive review of governance </w:t>
            </w:r>
          </w:p>
        </w:tc>
      </w:tr>
      <w:tr w:rsidR="006E17E4" w14:paraId="23DF491A" w14:textId="77777777">
        <w:trPr>
          <w:trHeight w:val="2172"/>
        </w:trPr>
        <w:tc>
          <w:tcPr>
            <w:tcW w:w="1649" w:type="dxa"/>
            <w:tcBorders>
              <w:top w:val="single" w:sz="4" w:space="0" w:color="000000"/>
              <w:left w:val="single" w:sz="4" w:space="0" w:color="000000"/>
              <w:bottom w:val="single" w:sz="4" w:space="0" w:color="000000"/>
              <w:right w:val="single" w:sz="4" w:space="0" w:color="000000"/>
            </w:tcBorders>
          </w:tcPr>
          <w:p w14:paraId="164B9AAD" w14:textId="77777777" w:rsidR="006E17E4" w:rsidRDefault="006E17E4"/>
        </w:tc>
        <w:tc>
          <w:tcPr>
            <w:tcW w:w="3601" w:type="dxa"/>
            <w:gridSpan w:val="3"/>
            <w:tcBorders>
              <w:top w:val="single" w:sz="4" w:space="0" w:color="000000"/>
              <w:left w:val="single" w:sz="4" w:space="0" w:color="000000"/>
              <w:bottom w:val="single" w:sz="4" w:space="0" w:color="000000"/>
              <w:right w:val="single" w:sz="4" w:space="0" w:color="000000"/>
            </w:tcBorders>
          </w:tcPr>
          <w:p w14:paraId="6D79AC2C" w14:textId="77777777" w:rsidR="006E17E4" w:rsidRDefault="004D6FD5">
            <w:pPr>
              <w:spacing w:line="276" w:lineRule="auto"/>
              <w:ind w:right="313"/>
              <w:jc w:val="both"/>
            </w:pPr>
            <w:r>
              <w:t xml:space="preserve">environment.  Pandemic has led to considerable innovation in remote learning </w:t>
            </w:r>
          </w:p>
          <w:p w14:paraId="6FCEFF34" w14:textId="77777777" w:rsidR="006E17E4" w:rsidRDefault="004D6FD5">
            <w:pPr>
              <w:spacing w:line="276" w:lineRule="auto"/>
            </w:pPr>
            <w:r>
              <w:t xml:space="preserve">Clear understanding of the role and limitations of assessment </w:t>
            </w:r>
          </w:p>
          <w:p w14:paraId="73216B65" w14:textId="77777777" w:rsidR="006E17E4" w:rsidRDefault="004D6FD5">
            <w:r>
              <w:t xml:space="preserve">High priority given to reading and reading intervention. </w:t>
            </w:r>
          </w:p>
        </w:tc>
        <w:tc>
          <w:tcPr>
            <w:tcW w:w="3460" w:type="dxa"/>
            <w:gridSpan w:val="3"/>
            <w:tcBorders>
              <w:top w:val="single" w:sz="4" w:space="0" w:color="000000"/>
              <w:left w:val="single" w:sz="4" w:space="0" w:color="000000"/>
              <w:bottom w:val="single" w:sz="4" w:space="0" w:color="000000"/>
              <w:right w:val="single" w:sz="4" w:space="0" w:color="000000"/>
            </w:tcBorders>
          </w:tcPr>
          <w:p w14:paraId="6421E51F" w14:textId="77777777" w:rsidR="006E17E4" w:rsidRDefault="004D6FD5">
            <w:pPr>
              <w:ind w:right="53"/>
            </w:pPr>
            <w:r>
              <w:t xml:space="preserve">additional needs.  This has been very effective during lockdown   Key focus on ensuring that we know where every child is, even if they cannot be in school. </w:t>
            </w:r>
          </w:p>
        </w:tc>
        <w:tc>
          <w:tcPr>
            <w:tcW w:w="3458" w:type="dxa"/>
            <w:tcBorders>
              <w:top w:val="single" w:sz="4" w:space="0" w:color="000000"/>
              <w:left w:val="single" w:sz="4" w:space="0" w:color="000000"/>
              <w:bottom w:val="single" w:sz="4" w:space="0" w:color="000000"/>
              <w:right w:val="single" w:sz="4" w:space="0" w:color="000000"/>
            </w:tcBorders>
          </w:tcPr>
          <w:p w14:paraId="035FB19A" w14:textId="77777777" w:rsidR="006E17E4" w:rsidRDefault="006E17E4"/>
        </w:tc>
        <w:tc>
          <w:tcPr>
            <w:tcW w:w="3458" w:type="dxa"/>
            <w:tcBorders>
              <w:top w:val="single" w:sz="4" w:space="0" w:color="000000"/>
              <w:left w:val="single" w:sz="4" w:space="0" w:color="000000"/>
              <w:bottom w:val="single" w:sz="4" w:space="0" w:color="000000"/>
              <w:right w:val="single" w:sz="4" w:space="0" w:color="000000"/>
            </w:tcBorders>
          </w:tcPr>
          <w:p w14:paraId="092D2489" w14:textId="77777777" w:rsidR="006E17E4" w:rsidRDefault="006E17E4"/>
        </w:tc>
      </w:tr>
      <w:tr w:rsidR="006E17E4" w14:paraId="2661AC40" w14:textId="77777777">
        <w:trPr>
          <w:trHeight w:val="6162"/>
        </w:trPr>
        <w:tc>
          <w:tcPr>
            <w:tcW w:w="1649" w:type="dxa"/>
            <w:tcBorders>
              <w:top w:val="single" w:sz="4" w:space="0" w:color="000000"/>
              <w:left w:val="single" w:sz="4" w:space="0" w:color="000000"/>
              <w:bottom w:val="single" w:sz="4" w:space="0" w:color="000000"/>
              <w:right w:val="single" w:sz="4" w:space="0" w:color="000000"/>
            </w:tcBorders>
          </w:tcPr>
          <w:p w14:paraId="4804402A" w14:textId="77777777" w:rsidR="006E17E4" w:rsidRDefault="004D6FD5">
            <w:pPr>
              <w:spacing w:after="16"/>
            </w:pPr>
            <w:r>
              <w:rPr>
                <w:rFonts w:ascii="Arial" w:eastAsia="Arial" w:hAnsi="Arial" w:cs="Arial"/>
              </w:rPr>
              <w:t xml:space="preserve">Next steps </w:t>
            </w:r>
          </w:p>
          <w:p w14:paraId="661E5D4D" w14:textId="77777777" w:rsidR="006E17E4" w:rsidRDefault="004D6FD5">
            <w:pPr>
              <w:spacing w:after="19"/>
            </w:pPr>
            <w:r>
              <w:rPr>
                <w:rFonts w:ascii="Arial" w:eastAsia="Arial" w:hAnsi="Arial" w:cs="Arial"/>
              </w:rPr>
              <w:t xml:space="preserve"> </w:t>
            </w:r>
          </w:p>
          <w:p w14:paraId="35EE4F34" w14:textId="77777777" w:rsidR="006E17E4" w:rsidRDefault="004D6FD5">
            <w:pPr>
              <w:spacing w:after="17"/>
            </w:pPr>
            <w:r>
              <w:rPr>
                <w:rFonts w:ascii="Arial" w:eastAsia="Arial" w:hAnsi="Arial" w:cs="Arial"/>
              </w:rPr>
              <w:t xml:space="preserve"> </w:t>
            </w:r>
          </w:p>
          <w:p w14:paraId="12615DE0" w14:textId="77777777" w:rsidR="006E17E4" w:rsidRDefault="004D6FD5">
            <w:pPr>
              <w:spacing w:after="16"/>
            </w:pPr>
            <w:r>
              <w:rPr>
                <w:rFonts w:ascii="Arial" w:eastAsia="Arial" w:hAnsi="Arial" w:cs="Arial"/>
              </w:rPr>
              <w:t xml:space="preserve"> </w:t>
            </w:r>
          </w:p>
          <w:p w14:paraId="3C5B2800" w14:textId="77777777" w:rsidR="006E17E4" w:rsidRDefault="004D6FD5">
            <w:pPr>
              <w:spacing w:after="16"/>
            </w:pPr>
            <w:r>
              <w:rPr>
                <w:rFonts w:ascii="Arial" w:eastAsia="Arial" w:hAnsi="Arial" w:cs="Arial"/>
              </w:rPr>
              <w:t xml:space="preserve"> </w:t>
            </w:r>
          </w:p>
          <w:p w14:paraId="101A68BC" w14:textId="77777777" w:rsidR="006E17E4" w:rsidRDefault="004D6FD5">
            <w:pPr>
              <w:spacing w:after="16"/>
            </w:pPr>
            <w:r>
              <w:rPr>
                <w:rFonts w:ascii="Arial" w:eastAsia="Arial" w:hAnsi="Arial" w:cs="Arial"/>
              </w:rPr>
              <w:t xml:space="preserve"> </w:t>
            </w:r>
          </w:p>
          <w:p w14:paraId="6030BAE1" w14:textId="77777777" w:rsidR="006E17E4" w:rsidRDefault="004D6FD5">
            <w:pPr>
              <w:spacing w:after="19"/>
            </w:pPr>
            <w:r>
              <w:rPr>
                <w:rFonts w:ascii="Arial" w:eastAsia="Arial" w:hAnsi="Arial" w:cs="Arial"/>
              </w:rPr>
              <w:t xml:space="preserve"> </w:t>
            </w:r>
          </w:p>
          <w:p w14:paraId="487E27A0" w14:textId="77777777" w:rsidR="006E17E4" w:rsidRDefault="004D6FD5">
            <w:pPr>
              <w:spacing w:after="16"/>
            </w:pPr>
            <w:r>
              <w:rPr>
                <w:rFonts w:ascii="Arial" w:eastAsia="Arial" w:hAnsi="Arial" w:cs="Arial"/>
              </w:rPr>
              <w:t xml:space="preserve"> </w:t>
            </w:r>
          </w:p>
          <w:p w14:paraId="2AC2EF75" w14:textId="77777777" w:rsidR="006E17E4" w:rsidRDefault="004D6FD5">
            <w:pPr>
              <w:spacing w:after="16"/>
            </w:pPr>
            <w:r>
              <w:rPr>
                <w:rFonts w:ascii="Arial" w:eastAsia="Arial" w:hAnsi="Arial" w:cs="Arial"/>
              </w:rPr>
              <w:t xml:space="preserve"> </w:t>
            </w:r>
          </w:p>
          <w:p w14:paraId="1369162D" w14:textId="77777777" w:rsidR="006E17E4" w:rsidRDefault="004D6FD5">
            <w:pPr>
              <w:spacing w:after="16"/>
            </w:pPr>
            <w:r>
              <w:rPr>
                <w:rFonts w:ascii="Arial" w:eastAsia="Arial" w:hAnsi="Arial" w:cs="Arial"/>
              </w:rPr>
              <w:t xml:space="preserve"> </w:t>
            </w:r>
          </w:p>
          <w:p w14:paraId="41847871" w14:textId="77777777" w:rsidR="006E17E4" w:rsidRDefault="004D6FD5">
            <w:pPr>
              <w:spacing w:after="19"/>
            </w:pPr>
            <w:r>
              <w:rPr>
                <w:rFonts w:ascii="Arial" w:eastAsia="Arial" w:hAnsi="Arial" w:cs="Arial"/>
              </w:rPr>
              <w:t xml:space="preserve"> </w:t>
            </w:r>
          </w:p>
          <w:p w14:paraId="120D5474" w14:textId="77777777" w:rsidR="006E17E4" w:rsidRDefault="004D6FD5">
            <w:r>
              <w:rPr>
                <w:rFonts w:ascii="Arial" w:eastAsia="Arial" w:hAnsi="Arial" w:cs="Arial"/>
              </w:rPr>
              <w:t xml:space="preserve"> </w:t>
            </w:r>
          </w:p>
        </w:tc>
        <w:tc>
          <w:tcPr>
            <w:tcW w:w="3601" w:type="dxa"/>
            <w:gridSpan w:val="3"/>
            <w:tcBorders>
              <w:top w:val="single" w:sz="4" w:space="0" w:color="000000"/>
              <w:left w:val="single" w:sz="4" w:space="0" w:color="000000"/>
              <w:bottom w:val="single" w:sz="4" w:space="0" w:color="000000"/>
              <w:right w:val="single" w:sz="4" w:space="0" w:color="000000"/>
            </w:tcBorders>
          </w:tcPr>
          <w:p w14:paraId="246DB1F8" w14:textId="77777777" w:rsidR="006E17E4" w:rsidRDefault="004D6FD5">
            <w:pPr>
              <w:rPr>
                <w:highlight w:val="yellow"/>
              </w:rPr>
            </w:pPr>
            <w:r>
              <w:rPr>
                <w:highlight w:val="yellow"/>
              </w:rPr>
              <w:t xml:space="preserve">Continue to focus on the quality of teaching as this will have the greatest impact on the examination outcomes for all students. </w:t>
            </w:r>
          </w:p>
          <w:p w14:paraId="1F514A0B" w14:textId="77777777" w:rsidR="006E17E4" w:rsidRDefault="004D6FD5">
            <w:pPr>
              <w:spacing w:line="239" w:lineRule="auto"/>
              <w:ind w:right="13"/>
              <w:rPr>
                <w:highlight w:val="yellow"/>
              </w:rPr>
            </w:pPr>
            <w:r>
              <w:rPr>
                <w:highlight w:val="yellow"/>
              </w:rPr>
              <w:t xml:space="preserve">Continue to focus on subject-related pedagogy with a strong focus on CPD Continue to review and evaluate progress ladders and curriculum maps and the links to medium term plans </w:t>
            </w:r>
          </w:p>
          <w:p w14:paraId="0C923E66" w14:textId="77777777" w:rsidR="006E17E4" w:rsidRDefault="004D6FD5">
            <w:pPr>
              <w:rPr>
                <w:highlight w:val="yellow"/>
              </w:rPr>
            </w:pPr>
            <w:r>
              <w:rPr>
                <w:highlight w:val="red"/>
              </w:rPr>
              <w:t xml:space="preserve">Ensure SENDCO engaged in review of curriculum with subject </w:t>
            </w:r>
            <w:proofErr w:type="gramStart"/>
            <w:r>
              <w:rPr>
                <w:highlight w:val="red"/>
              </w:rPr>
              <w:t xml:space="preserve">leaders  </w:t>
            </w:r>
            <w:r>
              <w:rPr>
                <w:highlight w:val="yellow"/>
              </w:rPr>
              <w:t>Investigation</w:t>
            </w:r>
            <w:proofErr w:type="gramEnd"/>
            <w:r>
              <w:rPr>
                <w:highlight w:val="yellow"/>
              </w:rPr>
              <w:t xml:space="preserve"> of the reliability and validity of assessment across the curriculum. </w:t>
            </w:r>
          </w:p>
          <w:p w14:paraId="61707D95" w14:textId="77777777" w:rsidR="006E17E4" w:rsidRPr="00432F76" w:rsidRDefault="004D6FD5">
            <w:pPr>
              <w:rPr>
                <w:highlight w:val="green"/>
              </w:rPr>
            </w:pPr>
            <w:r w:rsidRPr="00432F76">
              <w:rPr>
                <w:sz w:val="24"/>
                <w:highlight w:val="green"/>
              </w:rPr>
              <w:t xml:space="preserve">Prioritise the reading of fiction as this has the biggest impact on progress and drive reciprocal reading strategies across key departments </w:t>
            </w:r>
          </w:p>
          <w:p w14:paraId="338EB59D" w14:textId="77777777" w:rsidR="006E17E4" w:rsidRDefault="004D6FD5">
            <w:pPr>
              <w:ind w:right="2"/>
            </w:pPr>
            <w:r>
              <w:rPr>
                <w:highlight w:val="yellow"/>
              </w:rPr>
              <w:t>Continue to exemplify and develop high quality student work in each area</w:t>
            </w:r>
            <w:r>
              <w:t xml:space="preserve">  </w:t>
            </w:r>
          </w:p>
        </w:tc>
        <w:tc>
          <w:tcPr>
            <w:tcW w:w="3460" w:type="dxa"/>
            <w:gridSpan w:val="3"/>
            <w:tcBorders>
              <w:top w:val="single" w:sz="4" w:space="0" w:color="000000"/>
              <w:left w:val="single" w:sz="4" w:space="0" w:color="000000"/>
              <w:bottom w:val="single" w:sz="4" w:space="0" w:color="000000"/>
              <w:right w:val="single" w:sz="4" w:space="0" w:color="000000"/>
            </w:tcBorders>
          </w:tcPr>
          <w:p w14:paraId="04DA24E0" w14:textId="77777777" w:rsidR="006E17E4" w:rsidRPr="00432F76" w:rsidRDefault="004D6FD5">
            <w:pPr>
              <w:spacing w:line="239" w:lineRule="auto"/>
              <w:ind w:right="107"/>
              <w:rPr>
                <w:highlight w:val="yellow"/>
              </w:rPr>
            </w:pPr>
            <w:r>
              <w:rPr>
                <w:highlight w:val="green"/>
              </w:rPr>
              <w:t>Classcharts – develop usage further</w:t>
            </w:r>
            <w:r>
              <w:t xml:space="preserve"> </w:t>
            </w:r>
            <w:proofErr w:type="spellStart"/>
            <w:r>
              <w:rPr>
                <w:highlight w:val="green"/>
              </w:rPr>
              <w:t>Further</w:t>
            </w:r>
            <w:proofErr w:type="spellEnd"/>
            <w:r>
              <w:rPr>
                <w:highlight w:val="green"/>
              </w:rPr>
              <w:t xml:space="preserve"> push to reduce number of on calls</w:t>
            </w:r>
            <w:r>
              <w:t xml:space="preserve"> </w:t>
            </w:r>
            <w:r>
              <w:rPr>
                <w:highlight w:val="yellow"/>
              </w:rPr>
              <w:t>and further improve ethos of quiet hard word in class</w:t>
            </w:r>
            <w:r>
              <w:t xml:space="preserve"> </w:t>
            </w:r>
            <w:r w:rsidRPr="00432F76">
              <w:rPr>
                <w:highlight w:val="yellow"/>
              </w:rPr>
              <w:t xml:space="preserve">Embed bullying Ambassadors in each year group.  </w:t>
            </w:r>
          </w:p>
          <w:p w14:paraId="3FC55AE0" w14:textId="77777777" w:rsidR="006E17E4" w:rsidRPr="00432F76" w:rsidRDefault="004D6FD5">
            <w:pPr>
              <w:spacing w:line="239" w:lineRule="auto"/>
              <w:rPr>
                <w:highlight w:val="yellow"/>
              </w:rPr>
            </w:pPr>
            <w:r w:rsidRPr="00432F76">
              <w:rPr>
                <w:highlight w:val="yellow"/>
              </w:rPr>
              <w:t xml:space="preserve">Use of external standards as benchmarks - Diana Award / Stonewall/ Lancashire Equality </w:t>
            </w:r>
          </w:p>
          <w:p w14:paraId="113C1161" w14:textId="77777777" w:rsidR="006E17E4" w:rsidRDefault="004D6FD5">
            <w:r w:rsidRPr="00432F76">
              <w:rPr>
                <w:highlight w:val="yellow"/>
              </w:rPr>
              <w:t>Mark</w:t>
            </w:r>
            <w:r>
              <w:t xml:space="preserve"> </w:t>
            </w:r>
          </w:p>
          <w:p w14:paraId="48736D16" w14:textId="77777777" w:rsidR="006E17E4" w:rsidRDefault="004D6FD5">
            <w:pPr>
              <w:ind w:right="5"/>
            </w:pPr>
            <w:r>
              <w:rPr>
                <w:rFonts w:ascii="Arial" w:eastAsia="Arial" w:hAnsi="Arial" w:cs="Arial"/>
                <w:highlight w:val="green"/>
              </w:rPr>
              <w:t>Continue to work with each family and individual to ensure attendance</w:t>
            </w:r>
            <w:r>
              <w:rPr>
                <w:rFonts w:ascii="Arial" w:eastAsia="Arial" w:hAnsi="Arial" w:cs="Arial"/>
              </w:rPr>
              <w:t xml:space="preserve"> </w:t>
            </w:r>
          </w:p>
        </w:tc>
        <w:tc>
          <w:tcPr>
            <w:tcW w:w="3458" w:type="dxa"/>
            <w:tcBorders>
              <w:top w:val="single" w:sz="4" w:space="0" w:color="000000"/>
              <w:left w:val="single" w:sz="4" w:space="0" w:color="000000"/>
              <w:bottom w:val="single" w:sz="4" w:space="0" w:color="000000"/>
              <w:right w:val="single" w:sz="4" w:space="0" w:color="000000"/>
            </w:tcBorders>
          </w:tcPr>
          <w:p w14:paraId="0F2CBD56" w14:textId="77777777" w:rsidR="006E17E4" w:rsidRDefault="004D6FD5">
            <w:pPr>
              <w:spacing w:line="235" w:lineRule="auto"/>
            </w:pPr>
            <w:r>
              <w:rPr>
                <w:highlight w:val="yellow"/>
              </w:rPr>
              <w:t>Implement new PSHE provision from Easter 2021</w:t>
            </w:r>
            <w:r>
              <w:rPr>
                <w:rFonts w:ascii="Tahoma" w:eastAsia="Tahoma" w:hAnsi="Tahoma" w:cs="Tahoma"/>
                <w:sz w:val="24"/>
              </w:rPr>
              <w:t xml:space="preserve"> </w:t>
            </w:r>
          </w:p>
          <w:p w14:paraId="426845A3" w14:textId="77777777" w:rsidR="006E17E4" w:rsidRDefault="004D6FD5">
            <w:r>
              <w:rPr>
                <w:highlight w:val="red"/>
              </w:rPr>
              <w:t>Establish a health schools mark with a review of food consumed by students</w:t>
            </w:r>
            <w:r>
              <w:t xml:space="preserve"> </w:t>
            </w:r>
          </w:p>
          <w:p w14:paraId="35445D4D" w14:textId="77777777" w:rsidR="006E17E4" w:rsidRDefault="004D6FD5">
            <w:pPr>
              <w:spacing w:line="239" w:lineRule="auto"/>
              <w:rPr>
                <w:highlight w:val="red"/>
              </w:rPr>
            </w:pPr>
            <w:r>
              <w:rPr>
                <w:highlight w:val="red"/>
              </w:rPr>
              <w:t xml:space="preserve">To train more students as ambassadors </w:t>
            </w:r>
          </w:p>
          <w:p w14:paraId="1ABC19B5" w14:textId="77777777" w:rsidR="006E17E4" w:rsidRPr="00432F76" w:rsidRDefault="004D6FD5">
            <w:pPr>
              <w:spacing w:after="19"/>
              <w:rPr>
                <w:highlight w:val="green"/>
              </w:rPr>
            </w:pPr>
            <w:r w:rsidRPr="00432F76">
              <w:rPr>
                <w:rFonts w:ascii="Arial" w:eastAsia="Arial" w:hAnsi="Arial" w:cs="Arial"/>
                <w:highlight w:val="green"/>
              </w:rPr>
              <w:t xml:space="preserve">Re-evaluate co-curricular </w:t>
            </w:r>
          </w:p>
          <w:p w14:paraId="3D32FA37" w14:textId="77777777" w:rsidR="006E17E4" w:rsidRDefault="004D6FD5">
            <w:pPr>
              <w:spacing w:line="275" w:lineRule="auto"/>
            </w:pPr>
            <w:r w:rsidRPr="00432F76">
              <w:rPr>
                <w:rFonts w:ascii="Arial" w:eastAsia="Arial" w:hAnsi="Arial" w:cs="Arial"/>
                <w:highlight w:val="green"/>
              </w:rPr>
              <w:t>activities in the light of the pandemic</w:t>
            </w:r>
            <w:r>
              <w:rPr>
                <w:rFonts w:ascii="Arial" w:eastAsia="Arial" w:hAnsi="Arial" w:cs="Arial"/>
              </w:rPr>
              <w:t xml:space="preserve"> </w:t>
            </w:r>
          </w:p>
          <w:p w14:paraId="67B5D211" w14:textId="77777777" w:rsidR="006E17E4" w:rsidRDefault="004D6FD5">
            <w:pPr>
              <w:spacing w:after="16"/>
              <w:rPr>
                <w:highlight w:val="yellow"/>
              </w:rPr>
            </w:pPr>
            <w:r>
              <w:rPr>
                <w:rFonts w:ascii="Arial" w:eastAsia="Arial" w:hAnsi="Arial" w:cs="Arial"/>
                <w:highlight w:val="yellow"/>
              </w:rPr>
              <w:t xml:space="preserve">Engage with the Lancashire </w:t>
            </w:r>
          </w:p>
          <w:p w14:paraId="4548B7F5" w14:textId="77777777" w:rsidR="006E17E4" w:rsidRDefault="004D6FD5">
            <w:r>
              <w:rPr>
                <w:rFonts w:ascii="Arial" w:eastAsia="Arial" w:hAnsi="Arial" w:cs="Arial"/>
                <w:highlight w:val="yellow"/>
              </w:rPr>
              <w:t>Equality Mark</w:t>
            </w:r>
            <w:r>
              <w:rPr>
                <w:rFonts w:ascii="Arial" w:eastAsia="Arial" w:hAnsi="Arial" w:cs="Arial"/>
              </w:rPr>
              <w:t xml:space="preserve"> </w:t>
            </w:r>
          </w:p>
        </w:tc>
        <w:tc>
          <w:tcPr>
            <w:tcW w:w="3458" w:type="dxa"/>
            <w:tcBorders>
              <w:top w:val="single" w:sz="4" w:space="0" w:color="000000"/>
              <w:left w:val="single" w:sz="4" w:space="0" w:color="000000"/>
              <w:bottom w:val="single" w:sz="4" w:space="0" w:color="000000"/>
              <w:right w:val="single" w:sz="4" w:space="0" w:color="000000"/>
            </w:tcBorders>
          </w:tcPr>
          <w:p w14:paraId="11C60D6B" w14:textId="77777777" w:rsidR="006E17E4" w:rsidRDefault="004D6FD5">
            <w:pPr>
              <w:spacing w:after="1" w:line="239" w:lineRule="auto"/>
            </w:pPr>
            <w:r w:rsidRPr="00432F76">
              <w:rPr>
                <w:highlight w:val="green"/>
              </w:rPr>
              <w:t>Continue to listen to all staff and ensure lines of communication are open and transparent</w:t>
            </w:r>
            <w:r>
              <w:t xml:space="preserve"> </w:t>
            </w:r>
          </w:p>
          <w:p w14:paraId="75FD8C6C" w14:textId="77777777" w:rsidR="006E17E4" w:rsidRDefault="004D6FD5">
            <w:pPr>
              <w:spacing w:line="239" w:lineRule="auto"/>
              <w:rPr>
                <w:highlight w:val="yellow"/>
              </w:rPr>
            </w:pPr>
            <w:r>
              <w:rPr>
                <w:highlight w:val="yellow"/>
              </w:rPr>
              <w:t xml:space="preserve">Find effective ways to evaluate and monitor staff wellbeing </w:t>
            </w:r>
          </w:p>
          <w:p w14:paraId="1B01012D" w14:textId="77777777" w:rsidR="006E17E4" w:rsidRDefault="004D6FD5">
            <w:pPr>
              <w:spacing w:line="239" w:lineRule="auto"/>
              <w:rPr>
                <w:highlight w:val="yellow"/>
              </w:rPr>
            </w:pPr>
            <w:r>
              <w:rPr>
                <w:highlight w:val="yellow"/>
              </w:rPr>
              <w:t xml:space="preserve">Further develop innovative ways of engaging parents, carers and the wider community under these pandemic conditions </w:t>
            </w:r>
          </w:p>
          <w:p w14:paraId="1096CB3B" w14:textId="77777777" w:rsidR="006E17E4" w:rsidRDefault="004D6FD5">
            <w:pPr>
              <w:spacing w:line="239" w:lineRule="auto"/>
              <w:rPr>
                <w:highlight w:val="yellow"/>
              </w:rPr>
            </w:pPr>
            <w:r>
              <w:rPr>
                <w:highlight w:val="yellow"/>
              </w:rPr>
              <w:t xml:space="preserve">Continue to monitor PM &amp; CPD processes and the links to brilliant T&amp;L, especially curriculum and assessment. </w:t>
            </w:r>
          </w:p>
          <w:p w14:paraId="03FF4C89" w14:textId="77777777" w:rsidR="006E17E4" w:rsidRDefault="004D6FD5">
            <w:pPr>
              <w:rPr>
                <w:highlight w:val="yellow"/>
              </w:rPr>
            </w:pPr>
            <w:r>
              <w:rPr>
                <w:highlight w:val="yellow"/>
              </w:rPr>
              <w:t xml:space="preserve">Focus on improving subject </w:t>
            </w:r>
          </w:p>
          <w:p w14:paraId="7427DCC9" w14:textId="77777777" w:rsidR="006E17E4" w:rsidRDefault="004D6FD5">
            <w:r>
              <w:rPr>
                <w:highlight w:val="yellow"/>
              </w:rPr>
              <w:t>pedagogical knowledge</w:t>
            </w:r>
            <w:r>
              <w:t xml:space="preserve"> </w:t>
            </w:r>
          </w:p>
          <w:p w14:paraId="384E13FD" w14:textId="77777777" w:rsidR="006E17E4" w:rsidRDefault="004D6FD5">
            <w:r>
              <w:t xml:space="preserve"> </w:t>
            </w:r>
          </w:p>
        </w:tc>
      </w:tr>
    </w:tbl>
    <w:p w14:paraId="0C19D6D7" w14:textId="77777777" w:rsidR="006E17E4" w:rsidRDefault="004D6FD5">
      <w:pPr>
        <w:spacing w:after="0"/>
      </w:pPr>
      <w:r>
        <w:t xml:space="preserve"> </w:t>
      </w:r>
    </w:p>
    <w:p w14:paraId="5653A370" w14:textId="77777777" w:rsidR="006E17E4" w:rsidRDefault="004D6FD5">
      <w:pPr>
        <w:spacing w:after="19"/>
      </w:pPr>
      <w:r>
        <w:rPr>
          <w:sz w:val="18"/>
        </w:rPr>
        <w:t>** RAG rating: Green – securely “good” or better; Amber – at risk of “RI</w:t>
      </w:r>
      <w:proofErr w:type="gramStart"/>
      <w:r>
        <w:rPr>
          <w:sz w:val="18"/>
        </w:rPr>
        <w:t>”;  Red</w:t>
      </w:r>
      <w:proofErr w:type="gramEnd"/>
      <w:r>
        <w:rPr>
          <w:sz w:val="18"/>
        </w:rPr>
        <w:t xml:space="preserve"> – at risk of “inadequate”   </w:t>
      </w:r>
    </w:p>
    <w:p w14:paraId="61B1D567" w14:textId="77777777" w:rsidR="006E17E4" w:rsidRDefault="004D6FD5">
      <w:pPr>
        <w:spacing w:after="0"/>
      </w:pPr>
      <w:r>
        <w:t xml:space="preserve"> </w:t>
      </w:r>
    </w:p>
    <w:sectPr w:rsidR="006E17E4">
      <w:pgSz w:w="16838" w:h="11906" w:orient="landscape"/>
      <w:pgMar w:top="725" w:right="1461" w:bottom="9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E4"/>
    <w:rsid w:val="00432F76"/>
    <w:rsid w:val="004D6FD5"/>
    <w:rsid w:val="00622932"/>
    <w:rsid w:val="006E17E4"/>
    <w:rsid w:val="0084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42E3"/>
  <w15:docId w15:val="{A8957CD8-9CBA-4C80-87A9-B73A9A19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cp:lastModifiedBy>Hall, Angela</cp:lastModifiedBy>
  <cp:revision>2</cp:revision>
  <dcterms:created xsi:type="dcterms:W3CDTF">2021-04-29T11:41:00Z</dcterms:created>
  <dcterms:modified xsi:type="dcterms:W3CDTF">2021-04-29T11:41:00Z</dcterms:modified>
</cp:coreProperties>
</file>