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23CA" w14:textId="77777777" w:rsidR="00142541" w:rsidRPr="00911531" w:rsidRDefault="00764DEC" w:rsidP="001F2BB6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911531">
        <w:rPr>
          <w:rFonts w:ascii="Century Gothic" w:hAnsi="Century Gothic"/>
          <w:sz w:val="20"/>
          <w:szCs w:val="20"/>
        </w:rPr>
        <w:t xml:space="preserve">This will be a live document and </w:t>
      </w:r>
      <w:proofErr w:type="gramStart"/>
      <w:r w:rsidRPr="00911531">
        <w:rPr>
          <w:rFonts w:ascii="Century Gothic" w:hAnsi="Century Gothic"/>
          <w:sz w:val="20"/>
          <w:szCs w:val="20"/>
        </w:rPr>
        <w:t>will be added</w:t>
      </w:r>
      <w:proofErr w:type="gramEnd"/>
      <w:r w:rsidRPr="00911531">
        <w:rPr>
          <w:rFonts w:ascii="Century Gothic" w:hAnsi="Century Gothic"/>
          <w:sz w:val="20"/>
          <w:szCs w:val="20"/>
        </w:rPr>
        <w:t xml:space="preserve"> to as time progresses.  </w:t>
      </w:r>
      <w:r w:rsidR="001A5CE3" w:rsidRPr="00911531">
        <w:rPr>
          <w:rFonts w:ascii="Century Gothic" w:hAnsi="Century Gothic"/>
          <w:sz w:val="20"/>
          <w:szCs w:val="20"/>
        </w:rPr>
        <w:t>RLO will update this calendar with any activities seen (please feel free to email her the details of anything that you see of value).</w:t>
      </w:r>
      <w:r w:rsidR="00A45FDE" w:rsidRPr="00911531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64"/>
        <w:gridCol w:w="2154"/>
        <w:gridCol w:w="2232"/>
        <w:gridCol w:w="2281"/>
        <w:gridCol w:w="1545"/>
        <w:gridCol w:w="2650"/>
        <w:gridCol w:w="2094"/>
      </w:tblGrid>
      <w:tr w:rsidR="00474B40" w:rsidRPr="00911531" w14:paraId="73CCB7A0" w14:textId="77777777" w:rsidTr="00096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B96BA20" w14:textId="77777777" w:rsidR="00474B40" w:rsidRPr="00911531" w:rsidRDefault="00474B40" w:rsidP="001F2BB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W/C</w:t>
            </w:r>
          </w:p>
        </w:tc>
        <w:tc>
          <w:tcPr>
            <w:tcW w:w="12949" w:type="dxa"/>
            <w:gridSpan w:val="6"/>
          </w:tcPr>
          <w:p w14:paraId="706F2AE0" w14:textId="77777777" w:rsidR="00474B40" w:rsidRPr="00911531" w:rsidRDefault="00474B40" w:rsidP="001F2B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ALL TEACHERS</w:t>
            </w:r>
          </w:p>
        </w:tc>
      </w:tr>
      <w:tr w:rsidR="00474B40" w:rsidRPr="00911531" w14:paraId="124395E1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FAD76D4" w14:textId="77777777" w:rsidR="00474B40" w:rsidRPr="00911531" w:rsidRDefault="00474B40" w:rsidP="001F2BB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CB466AE" w14:textId="77777777" w:rsidR="00474B40" w:rsidRPr="00911531" w:rsidRDefault="00474B40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BASICS (</w:t>
            </w:r>
            <w:proofErr w:type="spellStart"/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BfL</w:t>
            </w:r>
            <w:proofErr w:type="spellEnd"/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2194" w:type="dxa"/>
          </w:tcPr>
          <w:p w14:paraId="7FD3D582" w14:textId="77777777" w:rsidR="00474B40" w:rsidRPr="00911531" w:rsidRDefault="00474B40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STRETCH/CHALLENGE</w:t>
            </w:r>
          </w:p>
        </w:tc>
        <w:tc>
          <w:tcPr>
            <w:tcW w:w="2285" w:type="dxa"/>
          </w:tcPr>
          <w:p w14:paraId="7CB2D42F" w14:textId="77777777" w:rsidR="00474B40" w:rsidRPr="00911531" w:rsidRDefault="00474B40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UNDERSTANDING FROM MEMORY</w:t>
            </w:r>
          </w:p>
        </w:tc>
        <w:tc>
          <w:tcPr>
            <w:tcW w:w="1548" w:type="dxa"/>
          </w:tcPr>
          <w:p w14:paraId="738307EE" w14:textId="77777777" w:rsidR="00474B40" w:rsidRPr="00911531" w:rsidRDefault="00474B40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ENGAGING BOYS</w:t>
            </w:r>
          </w:p>
        </w:tc>
        <w:tc>
          <w:tcPr>
            <w:tcW w:w="2661" w:type="dxa"/>
          </w:tcPr>
          <w:p w14:paraId="04D43538" w14:textId="77777777" w:rsidR="00474B40" w:rsidRPr="00911531" w:rsidRDefault="00474B40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FACILITATING FEEDBACK</w:t>
            </w:r>
          </w:p>
        </w:tc>
        <w:tc>
          <w:tcPr>
            <w:tcW w:w="2099" w:type="dxa"/>
          </w:tcPr>
          <w:p w14:paraId="5C0A4D47" w14:textId="77777777" w:rsidR="00474B40" w:rsidRPr="00911531" w:rsidRDefault="00474B40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EXAM TECHNIQUE</w:t>
            </w:r>
          </w:p>
        </w:tc>
      </w:tr>
      <w:tr w:rsidR="00474B40" w:rsidRPr="00911531" w14:paraId="6B051EBB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5D9A098" w14:textId="77777777" w:rsidR="00474B40" w:rsidRPr="00911531" w:rsidRDefault="00474B40" w:rsidP="001F2BB6">
            <w:pPr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/>
                <w:b w:val="0"/>
                <w:sz w:val="20"/>
                <w:szCs w:val="20"/>
              </w:rPr>
              <w:t>13/04/2020</w:t>
            </w:r>
          </w:p>
        </w:tc>
        <w:tc>
          <w:tcPr>
            <w:tcW w:w="2162" w:type="dxa"/>
          </w:tcPr>
          <w:p w14:paraId="48F2C87A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501C152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F6227D4" w14:textId="77777777" w:rsidR="00474B40" w:rsidRPr="00911531" w:rsidRDefault="002A5799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hyperlink r:id="rId8" w:history="1">
              <w:r w:rsidR="001C6AE3" w:rsidRPr="00911531">
                <w:rPr>
                  <w:rStyle w:val="Hyperlink"/>
                  <w:rFonts w:ascii="Century Gothic" w:hAnsi="Century Gothic"/>
                  <w:b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Working Memory in the Classroom</w:t>
              </w:r>
            </w:hyperlink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 xml:space="preserve"> (@</w:t>
            </w:r>
            <w:proofErr w:type="spellStart"/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TeacherToolkit</w:t>
            </w:r>
            <w:proofErr w:type="spellEnd"/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14:paraId="039EBCF9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1" w:type="dxa"/>
          </w:tcPr>
          <w:p w14:paraId="7BC43E79" w14:textId="77777777" w:rsidR="00474B40" w:rsidRPr="00911531" w:rsidRDefault="002A5799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hyperlink r:id="rId9" w:history="1">
              <w:r w:rsidR="001C6AE3" w:rsidRPr="00911531">
                <w:rPr>
                  <w:rStyle w:val="Hyperlink"/>
                  <w:rFonts w:ascii="Century Gothic" w:hAnsi="Century Gothic"/>
                  <w:b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Retrieval Practice</w:t>
              </w:r>
            </w:hyperlink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 xml:space="preserve"> @</w:t>
            </w:r>
            <w:proofErr w:type="spellStart"/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TeacherToolkit</w:t>
            </w:r>
            <w:proofErr w:type="spellEnd"/>
          </w:p>
          <w:p w14:paraId="329D93A1" w14:textId="77777777" w:rsidR="001C6AE3" w:rsidRPr="00911531" w:rsidRDefault="001C6AE3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  <w:p w14:paraId="62356213" w14:textId="77777777" w:rsidR="001C6AE3" w:rsidRPr="00911531" w:rsidRDefault="001C6AE3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50063E5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C6AE3" w:rsidRPr="00911531" w14:paraId="23F8CC88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E78E445" w14:textId="77777777" w:rsidR="001C6AE3" w:rsidRPr="00911531" w:rsidRDefault="001C6AE3" w:rsidP="001F2BB6">
            <w:pPr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/>
                <w:b w:val="0"/>
                <w:sz w:val="20"/>
                <w:szCs w:val="20"/>
              </w:rPr>
              <w:t>20/04/2020</w:t>
            </w:r>
          </w:p>
        </w:tc>
        <w:tc>
          <w:tcPr>
            <w:tcW w:w="2162" w:type="dxa"/>
          </w:tcPr>
          <w:p w14:paraId="3ED9FA1E" w14:textId="77777777" w:rsidR="001C6AE3" w:rsidRPr="00911531" w:rsidRDefault="001C6AE3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B5D1C93" w14:textId="77777777" w:rsidR="001C6AE3" w:rsidRPr="00911531" w:rsidRDefault="002A5799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hyperlink r:id="rId10" w:history="1">
              <w:r w:rsidR="00764DEC" w:rsidRPr="00911531">
                <w:rPr>
                  <w:rStyle w:val="Hyperlink"/>
                  <w:rFonts w:ascii="Century Gothic" w:hAnsi="Century Gothic"/>
                  <w:b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Principles of Instruction</w:t>
              </w:r>
            </w:hyperlink>
            <w:r w:rsidR="00764DEC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 xml:space="preserve"> (@</w:t>
            </w:r>
            <w:proofErr w:type="spellStart"/>
            <w:r w:rsidR="00764DEC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TeacherToolkit</w:t>
            </w:r>
            <w:proofErr w:type="spellEnd"/>
            <w:r w:rsidR="00764DEC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2285" w:type="dxa"/>
          </w:tcPr>
          <w:p w14:paraId="4E1E1EC6" w14:textId="77777777" w:rsidR="001C6AE3" w:rsidRPr="00911531" w:rsidRDefault="002A5799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hyperlink r:id="rId11" w:history="1">
              <w:r w:rsidR="001C6AE3" w:rsidRPr="00911531">
                <w:rPr>
                  <w:rStyle w:val="Hyperlink"/>
                  <w:rFonts w:ascii="Century Gothic" w:hAnsi="Century Gothic"/>
                  <w:b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Working Memory in the Classroom</w:t>
              </w:r>
            </w:hyperlink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 xml:space="preserve"> (@</w:t>
            </w:r>
            <w:proofErr w:type="spellStart"/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TeacherToolkit</w:t>
            </w:r>
            <w:proofErr w:type="spellEnd"/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14:paraId="748F76EE" w14:textId="77777777" w:rsidR="001C6AE3" w:rsidRPr="00911531" w:rsidRDefault="001C6AE3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ED282F8" w14:textId="77777777" w:rsidR="001C6AE3" w:rsidRPr="00911531" w:rsidRDefault="001C6AE3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CF73D56" w14:textId="77777777" w:rsidR="001C6AE3" w:rsidRPr="00911531" w:rsidRDefault="001C6AE3" w:rsidP="004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474B40" w:rsidRPr="00911531" w14:paraId="24441693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ACB5167" w14:textId="77777777" w:rsidR="00474B40" w:rsidRPr="00911531" w:rsidRDefault="00474B40" w:rsidP="001F2BB6">
            <w:pPr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/>
                <w:b w:val="0"/>
                <w:sz w:val="20"/>
                <w:szCs w:val="20"/>
              </w:rPr>
              <w:t>30/04/2020</w:t>
            </w:r>
          </w:p>
        </w:tc>
        <w:tc>
          <w:tcPr>
            <w:tcW w:w="2162" w:type="dxa"/>
          </w:tcPr>
          <w:p w14:paraId="04FEA7A6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8724CDE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3FBB805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ACF435A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C579BA1" w14:textId="77777777" w:rsidR="00474B40" w:rsidRPr="00911531" w:rsidRDefault="002A5799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hyperlink r:id="rId12" w:history="1">
              <w:r w:rsidR="001C6AE3" w:rsidRPr="00911531">
                <w:rPr>
                  <w:rStyle w:val="Hyperlink"/>
                  <w:rFonts w:ascii="Century Gothic" w:hAnsi="Century Gothic"/>
                  <w:b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Verbal Feedback</w:t>
              </w:r>
            </w:hyperlink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 xml:space="preserve"> @</w:t>
            </w:r>
            <w:proofErr w:type="spellStart"/>
            <w:r w:rsidR="001C6AE3" w:rsidRPr="00911531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TeacherToolkit</w:t>
            </w:r>
            <w:proofErr w:type="spellEnd"/>
          </w:p>
        </w:tc>
        <w:tc>
          <w:tcPr>
            <w:tcW w:w="2099" w:type="dxa"/>
          </w:tcPr>
          <w:p w14:paraId="07FA315B" w14:textId="77777777" w:rsidR="00474B40" w:rsidRPr="00911531" w:rsidRDefault="00474B40" w:rsidP="004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C6AE3" w:rsidRPr="00911531" w14:paraId="4B96D853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322C6D0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27/04/2020</w:t>
            </w:r>
          </w:p>
          <w:p w14:paraId="4832095B" w14:textId="77777777" w:rsidR="001923F7" w:rsidRPr="00911531" w:rsidRDefault="001923F7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29DC233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92FE5B6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7D8C4005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880F5E8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566682F2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5BA6A90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AE3" w:rsidRPr="00911531" w14:paraId="436280B1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4F5C2F6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4/05/2020</w:t>
            </w:r>
          </w:p>
          <w:p w14:paraId="13455D44" w14:textId="77777777" w:rsidR="001923F7" w:rsidRPr="00911531" w:rsidRDefault="001923F7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717C3F4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5C56812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51363AC0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878CB24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D15F36D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E288427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AE3" w:rsidRPr="00911531" w14:paraId="0CA954B7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4EFECCE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11/05/2020</w:t>
            </w:r>
          </w:p>
          <w:p w14:paraId="735C60E4" w14:textId="77777777" w:rsidR="001923F7" w:rsidRPr="00911531" w:rsidRDefault="001923F7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9FE04AA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105AEB8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20CB531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C8FE54E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75CA646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863831A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AE3" w:rsidRPr="00911531" w14:paraId="23E40857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723A2E8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18/05/2020</w:t>
            </w:r>
          </w:p>
          <w:p w14:paraId="0D2D817D" w14:textId="77777777" w:rsidR="001923F7" w:rsidRPr="00911531" w:rsidRDefault="001923F7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5CD5EC5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2B9748C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FB8F58D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5B10221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52AB9902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C19C695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B40" w:rsidRPr="00911531" w14:paraId="468C3B3D" w14:textId="77777777" w:rsidTr="0047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0" w:type="dxa"/>
            <w:gridSpan w:val="7"/>
          </w:tcPr>
          <w:p w14:paraId="7E20ACA5" w14:textId="77777777" w:rsidR="00474B40" w:rsidRPr="00911531" w:rsidRDefault="00474B40" w:rsidP="00474B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</w:tr>
      <w:tr w:rsidR="00474B40" w:rsidRPr="00911531" w14:paraId="2BD0F2DF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CC97266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01/06/2020</w:t>
            </w:r>
          </w:p>
          <w:p w14:paraId="2736615D" w14:textId="77777777" w:rsidR="001923F7" w:rsidRPr="00911531" w:rsidRDefault="001923F7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C41EA00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7BAEB33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8DDDE45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2A4AF45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52E4B85E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B81C0DF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B40" w:rsidRPr="00911531" w14:paraId="72DD7118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A020FE9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08/06/2020</w:t>
            </w:r>
          </w:p>
          <w:p w14:paraId="0C290848" w14:textId="77777777" w:rsidR="001923F7" w:rsidRPr="00911531" w:rsidRDefault="001923F7" w:rsidP="00474B4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D2F7332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063121E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3BAD148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0FB7C78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6AE2BBBE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749520D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B40" w:rsidRPr="00911531" w14:paraId="4500BF2B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448A4A6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15/06/2020</w:t>
            </w:r>
          </w:p>
          <w:p w14:paraId="61E142C1" w14:textId="77777777" w:rsidR="001923F7" w:rsidRPr="00911531" w:rsidRDefault="001923F7" w:rsidP="00474B40">
            <w:pPr>
              <w:rPr>
                <w:rFonts w:ascii="Century Gothic" w:eastAsia="Calibri" w:hAnsi="Century Gothic" w:cstheme="minorHAnsi"/>
                <w:bCs w:val="0"/>
                <w:i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9CAC6C6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338598C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73D00B80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F561DD2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75C2BF8D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B3B8240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AE3" w:rsidRPr="00911531" w14:paraId="195E9652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8B2C05E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22/06/2020</w:t>
            </w:r>
          </w:p>
          <w:p w14:paraId="0C8AB7A2" w14:textId="77777777" w:rsidR="001923F7" w:rsidRPr="00911531" w:rsidRDefault="001923F7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0B38164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177B45E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84F483A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9296E4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6B356B0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91157B5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AE3" w:rsidRPr="00911531" w14:paraId="1ECE81D5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CB979EA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t>29/06/2020</w:t>
            </w:r>
          </w:p>
          <w:p w14:paraId="5286F3B4" w14:textId="77777777" w:rsidR="001923F7" w:rsidRPr="00911531" w:rsidRDefault="001923F7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E40173C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BC82048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678B2892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A04EA4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0F5CF1C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1171D5E" w14:textId="77777777" w:rsidR="00474B40" w:rsidRPr="00911531" w:rsidRDefault="00474B40" w:rsidP="0047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B40" w:rsidRPr="00911531" w14:paraId="0F34D9FE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3578FEF" w14:textId="77777777" w:rsidR="00474B40" w:rsidRPr="00911531" w:rsidRDefault="00474B40" w:rsidP="00474B40">
            <w:pPr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911531">
              <w:rPr>
                <w:rFonts w:ascii="Century Gothic" w:hAnsi="Century Gothic" w:cstheme="minorHAnsi"/>
                <w:b w:val="0"/>
                <w:sz w:val="20"/>
                <w:szCs w:val="20"/>
              </w:rPr>
              <w:lastRenderedPageBreak/>
              <w:t>6/07/2020</w:t>
            </w:r>
          </w:p>
        </w:tc>
        <w:tc>
          <w:tcPr>
            <w:tcW w:w="2162" w:type="dxa"/>
          </w:tcPr>
          <w:p w14:paraId="0139AF93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Study group celebration week</w:t>
            </w:r>
          </w:p>
          <w:p w14:paraId="1D1155AC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 xml:space="preserve">Evaluation of CPD (Study groups </w:t>
            </w:r>
            <w:proofErr w:type="spellStart"/>
            <w:r w:rsidRPr="00911531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91153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194" w:type="dxa"/>
          </w:tcPr>
          <w:p w14:paraId="3D1074F6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B63DFAA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1885A46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66FBD6EA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670C4A5" w14:textId="77777777" w:rsidR="00474B40" w:rsidRPr="00911531" w:rsidRDefault="00474B40" w:rsidP="004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B40" w:rsidRPr="00911531" w14:paraId="53834A14" w14:textId="77777777" w:rsidTr="00A4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99B95E6" w14:textId="77777777" w:rsidR="00474B40" w:rsidRPr="00911531" w:rsidRDefault="00474B40" w:rsidP="001F2BB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13/07/2020</w:t>
            </w:r>
          </w:p>
        </w:tc>
        <w:tc>
          <w:tcPr>
            <w:tcW w:w="2162" w:type="dxa"/>
          </w:tcPr>
          <w:p w14:paraId="60D29456" w14:textId="77777777" w:rsidR="00474B40" w:rsidRPr="00911531" w:rsidRDefault="00474B40" w:rsidP="001F2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Individual evaluation – learning points from Study Groups moving forward</w:t>
            </w:r>
          </w:p>
        </w:tc>
        <w:tc>
          <w:tcPr>
            <w:tcW w:w="2194" w:type="dxa"/>
          </w:tcPr>
          <w:p w14:paraId="099183C8" w14:textId="77777777" w:rsidR="00474B40" w:rsidRPr="00911531" w:rsidRDefault="00474B40" w:rsidP="001F2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E794FA5" w14:textId="77777777" w:rsidR="00474B40" w:rsidRPr="00911531" w:rsidRDefault="00474B40" w:rsidP="001F2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EF14B6C" w14:textId="77777777" w:rsidR="00474B40" w:rsidRPr="00911531" w:rsidRDefault="00474B40" w:rsidP="001F2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9E77050" w14:textId="77777777" w:rsidR="00474B40" w:rsidRPr="00911531" w:rsidRDefault="00474B40" w:rsidP="001F2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ECC6D21" w14:textId="77777777" w:rsidR="00474B40" w:rsidRPr="00911531" w:rsidRDefault="00474B40" w:rsidP="001F2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4DEC" w:rsidRPr="00911531" w14:paraId="677AD28B" w14:textId="77777777" w:rsidTr="00A45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EBDB8DB" w14:textId="77777777" w:rsidR="00764DEC" w:rsidRPr="00911531" w:rsidRDefault="00764DEC" w:rsidP="00764D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Activities to Complete at any point:</w:t>
            </w:r>
          </w:p>
          <w:p w14:paraId="7F69905B" w14:textId="77777777" w:rsidR="00764DEC" w:rsidRPr="00911531" w:rsidRDefault="00764DEC" w:rsidP="001F2BB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FD3FB5B" w14:textId="3771A6EE" w:rsidR="00764DEC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2A4F68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Watch webinar on ‘Locked Out Learners’</w:t>
              </w:r>
            </w:hyperlink>
            <w:r w:rsidR="002A4F68" w:rsidRPr="0091153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="002A4F68" w:rsidRPr="00911531">
              <w:rPr>
                <w:rFonts w:ascii="Century Gothic" w:hAnsi="Century Gothic"/>
                <w:sz w:val="20"/>
                <w:szCs w:val="20"/>
              </w:rPr>
              <w:t>ResearchEd</w:t>
            </w:r>
            <w:proofErr w:type="spellEnd"/>
            <w:r w:rsidR="002A4F68" w:rsidRPr="0091153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25E951E" w14:textId="77777777" w:rsidR="002A4F68" w:rsidRPr="00911531" w:rsidRDefault="002A4F68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8B8F8B" w14:textId="3BBD693E" w:rsidR="002A4F68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2A4F68" w:rsidRPr="0012095B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Watch webinar on </w:t>
              </w:r>
              <w:proofErr w:type="spellStart"/>
              <w:r w:rsidR="002A4F68" w:rsidRPr="0012095B">
                <w:rPr>
                  <w:rStyle w:val="Hyperlink"/>
                  <w:rFonts w:ascii="Century Gothic" w:hAnsi="Century Gothic"/>
                  <w:sz w:val="20"/>
                  <w:szCs w:val="20"/>
                </w:rPr>
                <w:t>‘Re</w:t>
              </w:r>
              <w:proofErr w:type="spellEnd"/>
              <w:r w:rsidR="002A4F68" w:rsidRPr="0012095B">
                <w:rPr>
                  <w:rStyle w:val="Hyperlink"/>
                  <w:rFonts w:ascii="Century Gothic" w:hAnsi="Century Gothic"/>
                  <w:sz w:val="20"/>
                  <w:szCs w:val="20"/>
                </w:rPr>
                <w:t>-motivating Students’</w:t>
              </w:r>
            </w:hyperlink>
            <w:r w:rsidR="002A4F68" w:rsidRPr="0091153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="002A4F68" w:rsidRPr="00911531">
              <w:rPr>
                <w:rFonts w:ascii="Century Gothic" w:hAnsi="Century Gothic"/>
                <w:sz w:val="20"/>
                <w:szCs w:val="20"/>
              </w:rPr>
              <w:t>ResearchEd</w:t>
            </w:r>
            <w:proofErr w:type="spellEnd"/>
            <w:r w:rsidR="002A4F68" w:rsidRPr="0091153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20E93B3" w14:textId="77777777" w:rsidR="002A4F68" w:rsidRPr="00911531" w:rsidRDefault="002A4F68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4450973" w14:textId="580EC197" w:rsidR="002A4F68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2A4F68" w:rsidRPr="0012095B">
                <w:rPr>
                  <w:rStyle w:val="Hyperlink"/>
                  <w:rFonts w:ascii="Century Gothic" w:hAnsi="Century Gothic"/>
                  <w:sz w:val="20"/>
                  <w:szCs w:val="20"/>
                </w:rPr>
                <w:t>Watch webinar on ‘Behaviour’</w:t>
              </w:r>
            </w:hyperlink>
            <w:r w:rsidR="002A4F68" w:rsidRPr="0091153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="002A4F68" w:rsidRPr="00911531">
              <w:rPr>
                <w:rFonts w:ascii="Century Gothic" w:hAnsi="Century Gothic"/>
                <w:sz w:val="20"/>
                <w:szCs w:val="20"/>
              </w:rPr>
              <w:t>ResearchEd</w:t>
            </w:r>
            <w:proofErr w:type="spellEnd"/>
            <w:r w:rsidR="002A4F68" w:rsidRPr="0091153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7886F4D" w14:textId="77777777" w:rsidR="0002123D" w:rsidRPr="00911531" w:rsidRDefault="0002123D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8228D73" w14:textId="77777777" w:rsidR="0002123D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02123D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Open University: Good Practice in Autism Teaching</w:t>
              </w:r>
            </w:hyperlink>
            <w:r w:rsidR="0002123D" w:rsidRPr="009115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09962A0" w14:textId="77777777" w:rsidR="000969DB" w:rsidRPr="00911531" w:rsidRDefault="000969DB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769528A" w14:textId="77777777" w:rsidR="002A4F68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0969DB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Teaching for good behaviour</w:t>
              </w:r>
            </w:hyperlink>
            <w:r w:rsidR="000969DB" w:rsidRPr="00911531">
              <w:rPr>
                <w:rFonts w:ascii="Century Gothic" w:hAnsi="Century Gothic"/>
                <w:sz w:val="20"/>
                <w:szCs w:val="20"/>
              </w:rPr>
              <w:t xml:space="preserve"> from the OU</w:t>
            </w:r>
          </w:p>
        </w:tc>
        <w:tc>
          <w:tcPr>
            <w:tcW w:w="2194" w:type="dxa"/>
          </w:tcPr>
          <w:p w14:paraId="4E905DBC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368DAD4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Seneca – Dual Coding</w:t>
            </w:r>
          </w:p>
          <w:p w14:paraId="389FAF36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1118D4C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Seneca – Cognitive Science</w:t>
            </w:r>
          </w:p>
          <w:p w14:paraId="79667EEA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C1FBCD5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Seneca – Literacy in Science</w:t>
            </w:r>
          </w:p>
          <w:p w14:paraId="189C31E4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B32AAB4" w14:textId="1E9BD11C" w:rsidR="002A4F68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2A4F68" w:rsidRPr="0012095B">
                <w:rPr>
                  <w:rStyle w:val="Hyperlink"/>
                  <w:rFonts w:ascii="Century Gothic" w:hAnsi="Century Gothic"/>
                  <w:sz w:val="20"/>
                  <w:szCs w:val="20"/>
                </w:rPr>
                <w:t>Watch webinar on ‘Cognitive Load and Working Memory’</w:t>
              </w:r>
            </w:hyperlink>
            <w:r w:rsidR="002A4F68" w:rsidRPr="0091153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="002A4F68" w:rsidRPr="00911531">
              <w:rPr>
                <w:rFonts w:ascii="Century Gothic" w:hAnsi="Century Gothic"/>
                <w:sz w:val="20"/>
                <w:szCs w:val="20"/>
              </w:rPr>
              <w:t>ResearchEd</w:t>
            </w:r>
            <w:proofErr w:type="spellEnd"/>
            <w:r w:rsidR="002A4F68" w:rsidRPr="0091153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1CBA20B" w14:textId="77777777" w:rsidR="0002123D" w:rsidRPr="00911531" w:rsidRDefault="0002123D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C1453FE" w14:textId="77777777" w:rsidR="0002123D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02123D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How to teach vocabulary</w:t>
              </w:r>
            </w:hyperlink>
            <w:r w:rsidR="0002123D" w:rsidRPr="00911531">
              <w:rPr>
                <w:rFonts w:ascii="Century Gothic" w:hAnsi="Century Gothic"/>
                <w:sz w:val="20"/>
                <w:szCs w:val="20"/>
              </w:rPr>
              <w:t xml:space="preserve"> (Open University)</w:t>
            </w:r>
          </w:p>
        </w:tc>
        <w:tc>
          <w:tcPr>
            <w:tcW w:w="1548" w:type="dxa"/>
          </w:tcPr>
          <w:p w14:paraId="52E70280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357D06E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 xml:space="preserve">Seneca </w:t>
            </w:r>
            <w:r w:rsidR="002A4F68" w:rsidRPr="00911531">
              <w:rPr>
                <w:rFonts w:ascii="Century Gothic" w:hAnsi="Century Gothic"/>
                <w:sz w:val="20"/>
                <w:szCs w:val="20"/>
              </w:rPr>
              <w:t>–</w:t>
            </w:r>
            <w:r w:rsidRPr="00911531">
              <w:rPr>
                <w:rFonts w:ascii="Century Gothic" w:hAnsi="Century Gothic"/>
                <w:sz w:val="20"/>
                <w:szCs w:val="20"/>
              </w:rPr>
              <w:t xml:space="preserve"> Assessment</w:t>
            </w:r>
          </w:p>
          <w:p w14:paraId="5AE3BCF6" w14:textId="77777777" w:rsidR="002A4F68" w:rsidRPr="00911531" w:rsidRDefault="002A4F68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DD521A0" w14:textId="5040BF52" w:rsidR="002A4F68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2A4F68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Watch webinar on ‘What Knowledge’</w:t>
              </w:r>
            </w:hyperlink>
            <w:r w:rsidR="002A4F68" w:rsidRPr="0091153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="002A4F68" w:rsidRPr="00911531">
              <w:rPr>
                <w:rFonts w:ascii="Century Gothic" w:hAnsi="Century Gothic"/>
                <w:sz w:val="20"/>
                <w:szCs w:val="20"/>
              </w:rPr>
              <w:t>ResearchEd</w:t>
            </w:r>
            <w:proofErr w:type="spellEnd"/>
            <w:r w:rsidR="002A4F68" w:rsidRPr="0091153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477E56C" w14:textId="77777777" w:rsidR="002A4F68" w:rsidRPr="00911531" w:rsidRDefault="002A4F68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6A92219" w14:textId="4E4288BD" w:rsidR="002A4F68" w:rsidRPr="00911531" w:rsidRDefault="002A5799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2A4F68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Watch webinar on ‘Pupil Premium’</w:t>
              </w:r>
            </w:hyperlink>
            <w:r w:rsidR="002A4F68" w:rsidRPr="00911531">
              <w:rPr>
                <w:rFonts w:ascii="Century Gothic" w:hAnsi="Century Gothic"/>
                <w:sz w:val="20"/>
                <w:szCs w:val="20"/>
              </w:rPr>
              <w:t xml:space="preserve"> (lots relevant here on feedback) from </w:t>
            </w:r>
            <w:proofErr w:type="spellStart"/>
            <w:r w:rsidR="002A4F68" w:rsidRPr="00911531">
              <w:rPr>
                <w:rFonts w:ascii="Century Gothic" w:hAnsi="Century Gothic"/>
                <w:sz w:val="20"/>
                <w:szCs w:val="20"/>
              </w:rPr>
              <w:t>ResearchEd</w:t>
            </w:r>
            <w:proofErr w:type="spellEnd"/>
          </w:p>
          <w:p w14:paraId="418DE5F5" w14:textId="77777777" w:rsidR="0087200A" w:rsidRPr="00911531" w:rsidRDefault="0087200A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BBBCFC7" w14:textId="77777777" w:rsidR="0087200A" w:rsidRPr="00911531" w:rsidRDefault="002A5799" w:rsidP="00872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87200A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Using Technology in Evidence-Based Teaching and Learning</w:t>
              </w:r>
            </w:hyperlink>
            <w:r w:rsidR="0087200A" w:rsidRPr="00911531">
              <w:rPr>
                <w:rFonts w:ascii="Century Gothic" w:hAnsi="Century Gothic"/>
                <w:sz w:val="20"/>
                <w:szCs w:val="20"/>
              </w:rPr>
              <w:t xml:space="preserve"> (Chartered College of Teaching) </w:t>
            </w:r>
          </w:p>
          <w:p w14:paraId="6F1EF515" w14:textId="77777777" w:rsidR="000969DB" w:rsidRPr="00911531" w:rsidRDefault="000969DB" w:rsidP="00872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AD2722" w14:textId="77777777" w:rsidR="000969DB" w:rsidRPr="00911531" w:rsidRDefault="002A5799" w:rsidP="00872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0969DB" w:rsidRPr="00911531">
                <w:rPr>
                  <w:rStyle w:val="Hyperlink"/>
                  <w:rFonts w:ascii="Century Gothic" w:hAnsi="Century Gothic"/>
                  <w:sz w:val="20"/>
                  <w:szCs w:val="20"/>
                </w:rPr>
                <w:t>Planning for learning: formative assessment</w:t>
              </w:r>
            </w:hyperlink>
            <w:r w:rsidR="000969DB" w:rsidRPr="00911531">
              <w:rPr>
                <w:rFonts w:ascii="Century Gothic" w:hAnsi="Century Gothic"/>
                <w:sz w:val="20"/>
                <w:szCs w:val="20"/>
              </w:rPr>
              <w:t xml:space="preserve"> from the OU</w:t>
            </w:r>
          </w:p>
        </w:tc>
        <w:tc>
          <w:tcPr>
            <w:tcW w:w="2099" w:type="dxa"/>
          </w:tcPr>
          <w:p w14:paraId="3AC30A9C" w14:textId="77777777" w:rsidR="00764DEC" w:rsidRPr="00911531" w:rsidRDefault="00764DEC" w:rsidP="001F2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11531">
              <w:rPr>
                <w:rFonts w:ascii="Century Gothic" w:hAnsi="Century Gothic"/>
                <w:sz w:val="20"/>
                <w:szCs w:val="20"/>
              </w:rPr>
              <w:t>Seneca - Metacognition</w:t>
            </w:r>
          </w:p>
        </w:tc>
      </w:tr>
    </w:tbl>
    <w:p w14:paraId="6DEC1076" w14:textId="77777777" w:rsidR="00AC165D" w:rsidRPr="00911531" w:rsidRDefault="00AC165D" w:rsidP="001F2BB6">
      <w:pPr>
        <w:jc w:val="both"/>
        <w:rPr>
          <w:rFonts w:ascii="Century Gothic" w:hAnsi="Century Gothic"/>
          <w:sz w:val="20"/>
          <w:szCs w:val="20"/>
        </w:rPr>
      </w:pPr>
    </w:p>
    <w:p w14:paraId="14406346" w14:textId="77777777" w:rsidR="00764DEC" w:rsidRPr="00911531" w:rsidRDefault="00764DEC" w:rsidP="001F2BB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11531">
        <w:rPr>
          <w:rFonts w:ascii="Century Gothic" w:hAnsi="Century Gothic"/>
          <w:b/>
          <w:sz w:val="20"/>
          <w:szCs w:val="20"/>
          <w:u w:val="single"/>
        </w:rPr>
        <w:t>Other Activities:</w:t>
      </w:r>
    </w:p>
    <w:p w14:paraId="052D3732" w14:textId="77777777" w:rsidR="00474B40" w:rsidRPr="00911531" w:rsidRDefault="00474B40" w:rsidP="00474B40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911531">
        <w:rPr>
          <w:rFonts w:ascii="Century Gothic" w:hAnsi="Century Gothic"/>
          <w:b/>
          <w:sz w:val="20"/>
          <w:szCs w:val="20"/>
        </w:rPr>
        <w:t>Health and Safety CPD module</w:t>
      </w:r>
      <w:r w:rsidRPr="00911531">
        <w:rPr>
          <w:rFonts w:ascii="Century Gothic" w:hAnsi="Century Gothic"/>
          <w:sz w:val="20"/>
          <w:szCs w:val="20"/>
        </w:rPr>
        <w:t xml:space="preserve"> – access by using the link to WLD Staff Team </w:t>
      </w:r>
      <w:hyperlink r:id="rId24" w:anchor="/school/files/General?threadId=19%3Ad8be53d774ae49ecb38f4d3723f4c0d3%40thread.skype&amp;ctx=channel&amp;context=E-Learning%2520H%2526S&amp;rootfolder=%252Fsites%252FWLDStaff%252FShared%2520Documents%252FGeneral%252FE-Learning%2520H%2526S" w:history="1">
        <w:r w:rsidRPr="00911531">
          <w:rPr>
            <w:rStyle w:val="Hyperlink"/>
            <w:rFonts w:ascii="Century Gothic" w:hAnsi="Century Gothic"/>
            <w:sz w:val="20"/>
            <w:szCs w:val="20"/>
          </w:rPr>
          <w:t>here</w:t>
        </w:r>
      </w:hyperlink>
      <w:r w:rsidRPr="00911531">
        <w:rPr>
          <w:rFonts w:ascii="Century Gothic" w:hAnsi="Century Gothic"/>
          <w:sz w:val="20"/>
          <w:szCs w:val="20"/>
        </w:rPr>
        <w:t>.</w:t>
      </w:r>
    </w:p>
    <w:p w14:paraId="32AB2692" w14:textId="77777777" w:rsidR="00740FCE" w:rsidRPr="00911531" w:rsidRDefault="002A5799" w:rsidP="00911531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hyperlink r:id="rId25" w:history="1">
        <w:r w:rsidR="000969DB" w:rsidRPr="00911531">
          <w:rPr>
            <w:rStyle w:val="Hyperlink"/>
            <w:rFonts w:ascii="Century Gothic" w:hAnsi="Century Gothic"/>
            <w:sz w:val="20"/>
            <w:szCs w:val="20"/>
          </w:rPr>
          <w:t>Introduction to GDPR</w:t>
        </w:r>
      </w:hyperlink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382"/>
        <w:gridCol w:w="5103"/>
        <w:gridCol w:w="4335"/>
      </w:tblGrid>
      <w:tr w:rsidR="00740FCE" w:rsidRPr="00A45FDE" w14:paraId="6CEF1731" w14:textId="77777777" w:rsidTr="00A45FDE">
        <w:trPr>
          <w:trHeight w:val="1834"/>
        </w:trPr>
        <w:tc>
          <w:tcPr>
            <w:tcW w:w="5382" w:type="dxa"/>
            <w:vMerge w:val="restart"/>
            <w:shd w:val="clear" w:color="auto" w:fill="D6E3BC" w:themeFill="accent3" w:themeFillTint="66"/>
          </w:tcPr>
          <w:p w14:paraId="6AF38BB9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lastRenderedPageBreak/>
              <w:t>PASTORAL/WELLBEING</w:t>
            </w:r>
          </w:p>
          <w:p w14:paraId="1C442C8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2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students who have suffered complex trauma</w:t>
              </w:r>
            </w:hyperlink>
          </w:p>
          <w:p w14:paraId="7E6BDA6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27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We all have mental health: an introduction for teachers</w:t>
              </w:r>
            </w:hyperlink>
          </w:p>
          <w:p w14:paraId="0AA597B4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28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Child protection for teachers</w:t>
              </w:r>
            </w:hyperlink>
          </w:p>
          <w:p w14:paraId="0DB98D9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29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Making sense of mental health problems</w:t>
              </w:r>
            </w:hyperlink>
          </w:p>
          <w:p w14:paraId="2278977E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0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Keeping them safe</w:t>
              </w:r>
            </w:hyperlink>
          </w:p>
          <w:p w14:paraId="07588FDF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1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Young people and their mental health</w:t>
              </w:r>
            </w:hyperlink>
          </w:p>
          <w:p w14:paraId="6B942258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2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ACEs: Introduction to Adverse Childhood Experiences &amp; Early Trauma</w:t>
              </w:r>
            </w:hyperlink>
          </w:p>
          <w:p w14:paraId="2CF67CFC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3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Professional relationships with young people</w:t>
              </w:r>
            </w:hyperlink>
          </w:p>
          <w:p w14:paraId="0725A27F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4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Emotional intelligence at work</w:t>
              </w:r>
            </w:hyperlink>
          </w:p>
          <w:p w14:paraId="49D79889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5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Understanding young minds</w:t>
              </w:r>
            </w:hyperlink>
          </w:p>
          <w:p w14:paraId="6F0394A9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Introduction to child psychology</w:t>
              </w:r>
            </w:hyperlink>
          </w:p>
          <w:p w14:paraId="776B0FE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7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Understanding depression and low mood in young people</w:t>
              </w:r>
            </w:hyperlink>
          </w:p>
          <w:p w14:paraId="614D0793" w14:textId="77777777" w:rsidR="00740FCE" w:rsidRPr="00A45FDE" w:rsidRDefault="002A5799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  <w:hyperlink r:id="rId38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Understanding dyslexia</w:t>
              </w:r>
            </w:hyperlink>
          </w:p>
        </w:tc>
        <w:tc>
          <w:tcPr>
            <w:tcW w:w="5103" w:type="dxa"/>
            <w:shd w:val="clear" w:color="auto" w:fill="D6E3BC" w:themeFill="accent3" w:themeFillTint="66"/>
          </w:tcPr>
          <w:p w14:paraId="63286E56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SEND</w:t>
            </w:r>
          </w:p>
          <w:p w14:paraId="211DD494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39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Understanding Autism</w:t>
              </w:r>
            </w:hyperlink>
          </w:p>
          <w:p w14:paraId="1070E47F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0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Dyslexia awareness part 1</w:t>
              </w:r>
            </w:hyperlink>
          </w:p>
          <w:p w14:paraId="55FA8E7D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1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Dyslexia awareness part 2</w:t>
              </w:r>
            </w:hyperlink>
          </w:p>
          <w:p w14:paraId="08392DA7" w14:textId="77777777" w:rsidR="00740FCE" w:rsidRPr="00A45FDE" w:rsidRDefault="002A5799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  <w:hyperlink r:id="rId42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Focus on SEN CPD</w:t>
              </w:r>
            </w:hyperlink>
          </w:p>
        </w:tc>
        <w:tc>
          <w:tcPr>
            <w:tcW w:w="4335" w:type="dxa"/>
            <w:shd w:val="clear" w:color="auto" w:fill="D6E3BC" w:themeFill="accent3" w:themeFillTint="66"/>
          </w:tcPr>
          <w:p w14:paraId="149903C9" w14:textId="77777777" w:rsidR="00740FCE" w:rsidRPr="00A45FDE" w:rsidRDefault="00740FCE" w:rsidP="00740FCE">
            <w:pPr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ED TECH</w:t>
            </w:r>
          </w:p>
          <w:p w14:paraId="4D32FEA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3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Take your teaching online</w:t>
              </w:r>
            </w:hyperlink>
          </w:p>
          <w:p w14:paraId="385F1A57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4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Impact of technology</w:t>
              </w:r>
            </w:hyperlink>
          </w:p>
          <w:p w14:paraId="338249C2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5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Accessibility of e-learning</w:t>
              </w:r>
            </w:hyperlink>
          </w:p>
          <w:p w14:paraId="28545C43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The online educator: people and pedagogy</w:t>
              </w:r>
            </w:hyperlink>
          </w:p>
          <w:p w14:paraId="4764467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7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Understanding technology in evidence-based teaching and learning</w:t>
              </w:r>
            </w:hyperlink>
            <w:r w:rsidR="00740FCE" w:rsidRPr="00A45F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740FCE" w:rsidRPr="00A45FDE" w14:paraId="5C367AC5" w14:textId="77777777" w:rsidTr="00A45FDE">
        <w:trPr>
          <w:trHeight w:val="1834"/>
        </w:trPr>
        <w:tc>
          <w:tcPr>
            <w:tcW w:w="5382" w:type="dxa"/>
            <w:vMerge/>
            <w:shd w:val="clear" w:color="auto" w:fill="D6E3BC" w:themeFill="accent3" w:themeFillTint="66"/>
          </w:tcPr>
          <w:p w14:paraId="2B59B135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6E3BC" w:themeFill="accent3" w:themeFillTint="66"/>
          </w:tcPr>
          <w:p w14:paraId="2AF00237" w14:textId="77777777" w:rsidR="00740FCE" w:rsidRPr="00A45FDE" w:rsidRDefault="00740FCE" w:rsidP="00740FCE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LITERACY</w:t>
            </w:r>
          </w:p>
          <w:p w14:paraId="5491C827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8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Introduction to teaching vocabulary</w:t>
              </w:r>
            </w:hyperlink>
          </w:p>
          <w:p w14:paraId="77B867A4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49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English grammar in context</w:t>
              </w:r>
            </w:hyperlink>
          </w:p>
          <w:p w14:paraId="786CF8DC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0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Building literacy with PowerPoint</w:t>
              </w:r>
            </w:hyperlink>
          </w:p>
          <w:p w14:paraId="0793FA8C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1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Understanding language: learning and teaching</w:t>
              </w:r>
            </w:hyperlink>
            <w:r w:rsidR="00740FCE" w:rsidRPr="00A45F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2FF929E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2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Understanding language and learning</w:t>
              </w:r>
            </w:hyperlink>
          </w:p>
          <w:p w14:paraId="31A8955C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3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Involving the family in supporting pupils’ literacy</w:t>
              </w:r>
            </w:hyperlink>
          </w:p>
          <w:p w14:paraId="2B76BBB8" w14:textId="77777777" w:rsidR="00740FCE" w:rsidRPr="00A45FDE" w:rsidRDefault="002A5799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  <w:hyperlink r:id="rId54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Literacy in science</w:t>
              </w:r>
            </w:hyperlink>
          </w:p>
        </w:tc>
        <w:tc>
          <w:tcPr>
            <w:tcW w:w="4335" w:type="dxa"/>
            <w:vMerge w:val="restart"/>
            <w:shd w:val="clear" w:color="auto" w:fill="D6E3BC" w:themeFill="accent3" w:themeFillTint="66"/>
          </w:tcPr>
          <w:p w14:paraId="050C5EC2" w14:textId="77777777" w:rsidR="00740FCE" w:rsidRPr="00A45FDE" w:rsidRDefault="00740FCE" w:rsidP="00740FCE">
            <w:pPr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STEM</w:t>
            </w:r>
          </w:p>
          <w:p w14:paraId="469BF4F2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5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Managing the practical classroom in secondary science</w:t>
              </w:r>
            </w:hyperlink>
          </w:p>
          <w:p w14:paraId="6810B1CB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Girls in STEM: closing the STEM gap</w:t>
              </w:r>
            </w:hyperlink>
          </w:p>
          <w:p w14:paraId="63819654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7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Biology: inspiring students with plant science</w:t>
              </w:r>
            </w:hyperlink>
          </w:p>
          <w:p w14:paraId="7D710FB2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8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Curriculum design for secondary science</w:t>
              </w:r>
            </w:hyperlink>
          </w:p>
          <w:p w14:paraId="7574112D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59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Linking curriculum learning to STEM careers</w:t>
              </w:r>
            </w:hyperlink>
          </w:p>
          <w:p w14:paraId="00C3F2BF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0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practical science - Chemistry</w:t>
              </w:r>
            </w:hyperlink>
          </w:p>
          <w:p w14:paraId="7844458D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1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Inspiring young people in STEM</w:t>
              </w:r>
            </w:hyperlink>
          </w:p>
          <w:p w14:paraId="6E2D2CF4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2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mathematics</w:t>
              </w:r>
            </w:hyperlink>
          </w:p>
          <w:p w14:paraId="5622864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3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Using visualisation in maths teaching</w:t>
              </w:r>
            </w:hyperlink>
          </w:p>
          <w:p w14:paraId="0585179A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4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Maths subject knowledge: understanding numbers</w:t>
              </w:r>
            </w:hyperlink>
          </w:p>
          <w:p w14:paraId="5DE713F5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5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Maths subject knowledge: fractions, decimals and percentages</w:t>
              </w:r>
            </w:hyperlink>
          </w:p>
          <w:p w14:paraId="04F593DF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Maths subject knowledge: proportion, ratio and scaling</w:t>
              </w:r>
            </w:hyperlink>
          </w:p>
        </w:tc>
      </w:tr>
      <w:tr w:rsidR="00740FCE" w:rsidRPr="00A45FDE" w14:paraId="6C8028C6" w14:textId="77777777" w:rsidTr="00A45FDE">
        <w:trPr>
          <w:trHeight w:val="804"/>
        </w:trPr>
        <w:tc>
          <w:tcPr>
            <w:tcW w:w="5382" w:type="dxa"/>
            <w:shd w:val="clear" w:color="auto" w:fill="D6E3BC" w:themeFill="accent3" w:themeFillTint="66"/>
          </w:tcPr>
          <w:p w14:paraId="3110D094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THE ARTS</w:t>
            </w:r>
          </w:p>
          <w:p w14:paraId="6D1E7EA7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7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Becoming a better music teacher</w:t>
              </w:r>
            </w:hyperlink>
          </w:p>
          <w:p w14:paraId="45EDB20C" w14:textId="77777777" w:rsidR="00740FCE" w:rsidRPr="00A45FDE" w:rsidRDefault="002A5799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  <w:hyperlink r:id="rId68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secondary music</w:t>
              </w:r>
            </w:hyperlink>
          </w:p>
        </w:tc>
        <w:tc>
          <w:tcPr>
            <w:tcW w:w="5103" w:type="dxa"/>
            <w:vMerge w:val="restart"/>
            <w:shd w:val="clear" w:color="auto" w:fill="D6E3BC" w:themeFill="accent3" w:themeFillTint="66"/>
          </w:tcPr>
          <w:p w14:paraId="4AD4470F" w14:textId="77777777" w:rsidR="00740FCE" w:rsidRPr="00A45FDE" w:rsidRDefault="00740FCE" w:rsidP="00740FCE">
            <w:pPr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TEACHING AND LEARNING</w:t>
            </w:r>
          </w:p>
          <w:p w14:paraId="4CB6D5FA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69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Inclusive education</w:t>
              </w:r>
            </w:hyperlink>
          </w:p>
          <w:p w14:paraId="1D3BB542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0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Mentoring student teachers</w:t>
              </w:r>
            </w:hyperlink>
          </w:p>
          <w:p w14:paraId="16A56BDD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1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Facilitating learning in practice</w:t>
              </w:r>
            </w:hyperlink>
          </w:p>
          <w:p w14:paraId="6327AA51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2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sustainable development goals</w:t>
              </w:r>
            </w:hyperlink>
          </w:p>
          <w:p w14:paraId="03BDC5A3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3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Supporting successful learning in secondary school</w:t>
              </w:r>
            </w:hyperlink>
          </w:p>
          <w:p w14:paraId="2253BA62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4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Evaluating school classroom discussion</w:t>
              </w:r>
            </w:hyperlink>
          </w:p>
          <w:p w14:paraId="012215FA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5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Making Best Use of Teaching Assistants</w:t>
              </w:r>
            </w:hyperlink>
          </w:p>
          <w:p w14:paraId="13B1B92B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Embedding employability skills in the curriculum</w:t>
              </w:r>
            </w:hyperlink>
          </w:p>
          <w:p w14:paraId="24195395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7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and learning tricky topics</w:t>
              </w:r>
            </w:hyperlink>
          </w:p>
          <w:p w14:paraId="7AA83981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8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Education for all: disability, diversity and inclusion</w:t>
              </w:r>
            </w:hyperlink>
          </w:p>
          <w:p w14:paraId="22B2FF2A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79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Differentiation for learning</w:t>
              </w:r>
            </w:hyperlink>
          </w:p>
          <w:p w14:paraId="47F3C2B4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0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The science of learning</w:t>
              </w:r>
            </w:hyperlink>
          </w:p>
          <w:p w14:paraId="6D81421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1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Meeting the needs of diverse learners</w:t>
              </w:r>
            </w:hyperlink>
          </w:p>
          <w:p w14:paraId="12D05561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2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Leading blended professional learning</w:t>
              </w:r>
            </w:hyperlink>
          </w:p>
          <w:p w14:paraId="5D681D90" w14:textId="77777777" w:rsidR="00740FCE" w:rsidRPr="00A45FDE" w:rsidRDefault="002A5799" w:rsidP="00740FCE">
            <w:pPr>
              <w:tabs>
                <w:tab w:val="left" w:pos="1372"/>
              </w:tabs>
              <w:rPr>
                <w:rFonts w:ascii="Century Gothic" w:hAnsi="Century Gothic" w:cs="Calibri"/>
                <w:sz w:val="20"/>
                <w:szCs w:val="20"/>
              </w:rPr>
            </w:pPr>
            <w:hyperlink r:id="rId83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Looking globally: the future of education</w:t>
              </w:r>
            </w:hyperlink>
          </w:p>
        </w:tc>
        <w:tc>
          <w:tcPr>
            <w:tcW w:w="4335" w:type="dxa"/>
            <w:vMerge/>
            <w:shd w:val="clear" w:color="auto" w:fill="D6E3BC" w:themeFill="accent3" w:themeFillTint="66"/>
          </w:tcPr>
          <w:p w14:paraId="7E430768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40FCE" w:rsidRPr="00A45FDE" w14:paraId="7E10FEF9" w14:textId="77777777" w:rsidTr="00A45FDE">
        <w:trPr>
          <w:trHeight w:val="761"/>
        </w:trPr>
        <w:tc>
          <w:tcPr>
            <w:tcW w:w="5382" w:type="dxa"/>
            <w:shd w:val="clear" w:color="auto" w:fill="D6E3BC" w:themeFill="accent3" w:themeFillTint="66"/>
          </w:tcPr>
          <w:p w14:paraId="0BA927D9" w14:textId="77777777" w:rsidR="00740FCE" w:rsidRPr="00A45FDE" w:rsidRDefault="00740FCE" w:rsidP="00740FCE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MFL</w:t>
            </w:r>
          </w:p>
          <w:p w14:paraId="736A634E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4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Teaching secondary MFL</w:t>
              </w:r>
            </w:hyperlink>
          </w:p>
          <w:p w14:paraId="53709F5F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5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Assessment in secondary MFL</w:t>
              </w:r>
            </w:hyperlink>
          </w:p>
        </w:tc>
        <w:tc>
          <w:tcPr>
            <w:tcW w:w="5103" w:type="dxa"/>
            <w:vMerge/>
            <w:shd w:val="clear" w:color="auto" w:fill="D6E3BC" w:themeFill="accent3" w:themeFillTint="66"/>
          </w:tcPr>
          <w:p w14:paraId="229ED90E" w14:textId="77777777" w:rsidR="00740FCE" w:rsidRPr="00A45FDE" w:rsidRDefault="00740FCE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35" w:type="dxa"/>
            <w:vMerge/>
            <w:shd w:val="clear" w:color="auto" w:fill="D6E3BC" w:themeFill="accent3" w:themeFillTint="66"/>
          </w:tcPr>
          <w:p w14:paraId="42F9A3E2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40FCE" w:rsidRPr="00A45FDE" w14:paraId="41BE88EE" w14:textId="77777777" w:rsidTr="00A45FDE">
        <w:trPr>
          <w:trHeight w:val="761"/>
        </w:trPr>
        <w:tc>
          <w:tcPr>
            <w:tcW w:w="5382" w:type="dxa"/>
            <w:shd w:val="clear" w:color="auto" w:fill="D6E3BC" w:themeFill="accent3" w:themeFillTint="66"/>
          </w:tcPr>
          <w:p w14:paraId="6D12898B" w14:textId="77777777" w:rsidR="00740FCE" w:rsidRPr="00A45FDE" w:rsidRDefault="00740FCE" w:rsidP="00740FCE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RE</w:t>
            </w:r>
          </w:p>
          <w:p w14:paraId="7B3399B2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Muslims and Islam</w:t>
              </w:r>
            </w:hyperlink>
          </w:p>
          <w:p w14:paraId="059C39C7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7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Politics and society</w:t>
              </w:r>
            </w:hyperlink>
          </w:p>
        </w:tc>
        <w:tc>
          <w:tcPr>
            <w:tcW w:w="5103" w:type="dxa"/>
            <w:vMerge/>
            <w:shd w:val="clear" w:color="auto" w:fill="D6E3BC" w:themeFill="accent3" w:themeFillTint="66"/>
          </w:tcPr>
          <w:p w14:paraId="5561415D" w14:textId="77777777" w:rsidR="00740FCE" w:rsidRPr="00A45FDE" w:rsidRDefault="00740FCE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35" w:type="dxa"/>
            <w:vMerge/>
            <w:shd w:val="clear" w:color="auto" w:fill="D6E3BC" w:themeFill="accent3" w:themeFillTint="66"/>
          </w:tcPr>
          <w:p w14:paraId="0F155DDC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40FCE" w:rsidRPr="00A45FDE" w14:paraId="06746AB8" w14:textId="77777777" w:rsidTr="00A45FDE">
        <w:trPr>
          <w:trHeight w:val="971"/>
        </w:trPr>
        <w:tc>
          <w:tcPr>
            <w:tcW w:w="5382" w:type="dxa"/>
            <w:shd w:val="clear" w:color="auto" w:fill="D6E3BC" w:themeFill="accent3" w:themeFillTint="66"/>
          </w:tcPr>
          <w:p w14:paraId="4597DB4B" w14:textId="77777777" w:rsidR="00740FCE" w:rsidRPr="00A45FDE" w:rsidRDefault="00740FCE" w:rsidP="00740FCE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RESEARCH</w:t>
            </w:r>
          </w:p>
          <w:p w14:paraId="6DC49500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8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Engaging with educational research</w:t>
              </w:r>
            </w:hyperlink>
          </w:p>
          <w:p w14:paraId="29950927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89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Education research that matters</w:t>
              </w:r>
            </w:hyperlink>
          </w:p>
          <w:p w14:paraId="558CE33A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90" w:history="1">
              <w:proofErr w:type="spellStart"/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Rosenshine</w:t>
              </w:r>
              <w:proofErr w:type="spellEnd"/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 xml:space="preserve"> masterclass with Tom Sherrington</w:t>
              </w:r>
            </w:hyperlink>
          </w:p>
          <w:p w14:paraId="18F5FB8B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91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Chartered College of Teaching</w:t>
              </w:r>
            </w:hyperlink>
            <w:r w:rsidR="00740FCE" w:rsidRPr="00A45FDE">
              <w:rPr>
                <w:rFonts w:ascii="Century Gothic" w:hAnsi="Century Gothic" w:cs="Calibri"/>
                <w:sz w:val="20"/>
                <w:szCs w:val="20"/>
              </w:rPr>
              <w:t xml:space="preserve"> and free access to EBSCO</w:t>
            </w:r>
          </w:p>
          <w:p w14:paraId="2FBFC44F" w14:textId="77777777" w:rsidR="00740FCE" w:rsidRPr="00A45FDE" w:rsidRDefault="00740FCE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A45FDE">
              <w:rPr>
                <w:rFonts w:ascii="Century Gothic" w:hAnsi="Century Gothic" w:cs="Calibri"/>
                <w:sz w:val="20"/>
                <w:szCs w:val="20"/>
              </w:rPr>
              <w:t xml:space="preserve">Resource library full of free research materials from </w:t>
            </w:r>
            <w:hyperlink r:id="rId92" w:history="1">
              <w:r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Evidence-Based Education</w:t>
              </w:r>
            </w:hyperlink>
          </w:p>
        </w:tc>
        <w:tc>
          <w:tcPr>
            <w:tcW w:w="5103" w:type="dxa"/>
            <w:vMerge/>
            <w:shd w:val="clear" w:color="auto" w:fill="D6E3BC" w:themeFill="accent3" w:themeFillTint="66"/>
          </w:tcPr>
          <w:p w14:paraId="6ADAE91B" w14:textId="77777777" w:rsidR="00740FCE" w:rsidRPr="00A45FDE" w:rsidRDefault="00740FCE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6E3BC" w:themeFill="accent3" w:themeFillTint="66"/>
          </w:tcPr>
          <w:p w14:paraId="6B2DABEA" w14:textId="77777777" w:rsidR="00740FCE" w:rsidRPr="00A45FDE" w:rsidRDefault="00740FCE" w:rsidP="00740FCE">
            <w:pPr>
              <w:tabs>
                <w:tab w:val="left" w:pos="8505"/>
              </w:tabs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A45FDE">
              <w:rPr>
                <w:rFonts w:ascii="Century Gothic" w:hAnsi="Century Gothic" w:cs="Calibri"/>
                <w:b/>
                <w:sz w:val="20"/>
                <w:szCs w:val="20"/>
                <w:shd w:val="clear" w:color="auto" w:fill="B8CCE4" w:themeFill="accent1" w:themeFillTint="66"/>
              </w:rPr>
              <w:t>EARLY CAREER TEACHERS</w:t>
            </w:r>
          </w:p>
          <w:p w14:paraId="52291AA1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93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Becoming a reflective practitioner</w:t>
              </w:r>
            </w:hyperlink>
          </w:p>
          <w:p w14:paraId="0DEF7E9D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94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Learning to teach: an introduction to classroom research</w:t>
              </w:r>
            </w:hyperlink>
          </w:p>
          <w:p w14:paraId="37D904A2" w14:textId="77777777" w:rsidR="00740FCE" w:rsidRPr="00A45FDE" w:rsidRDefault="002A5799" w:rsidP="00740FCE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95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Learning to teach: making sense of learning to teach</w:t>
              </w:r>
            </w:hyperlink>
          </w:p>
          <w:p w14:paraId="1B938C27" w14:textId="77777777" w:rsidR="00740FCE" w:rsidRPr="00A45FDE" w:rsidRDefault="002A5799" w:rsidP="00740FCE">
            <w:pPr>
              <w:tabs>
                <w:tab w:val="left" w:pos="8505"/>
              </w:tabs>
              <w:rPr>
                <w:rFonts w:ascii="Century Gothic" w:hAnsi="Century Gothic" w:cs="Calibri"/>
                <w:sz w:val="20"/>
                <w:szCs w:val="20"/>
              </w:rPr>
            </w:pPr>
            <w:hyperlink r:id="rId96" w:history="1">
              <w:r w:rsidR="00740FCE" w:rsidRPr="00A45FD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Professional development for early career teachers</w:t>
              </w:r>
            </w:hyperlink>
          </w:p>
        </w:tc>
      </w:tr>
    </w:tbl>
    <w:p w14:paraId="3B2ED150" w14:textId="77777777" w:rsidR="00FC55D2" w:rsidRPr="00FC55D2" w:rsidRDefault="00FC55D2" w:rsidP="00911531">
      <w:pPr>
        <w:tabs>
          <w:tab w:val="left" w:pos="8505"/>
        </w:tabs>
        <w:rPr>
          <w:sz w:val="24"/>
        </w:rPr>
      </w:pPr>
    </w:p>
    <w:sectPr w:rsidR="00FC55D2" w:rsidRPr="00FC55D2" w:rsidSect="00C01D45">
      <w:headerReference w:type="default" r:id="rId97"/>
      <w:pgSz w:w="16838" w:h="11906" w:orient="landscape"/>
      <w:pgMar w:top="1440" w:right="1440" w:bottom="144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1E9C" w14:textId="77777777" w:rsidR="00FC55D2" w:rsidRDefault="00FC55D2" w:rsidP="00F05A8B">
      <w:pPr>
        <w:spacing w:after="0" w:line="240" w:lineRule="auto"/>
      </w:pPr>
      <w:r>
        <w:separator/>
      </w:r>
    </w:p>
  </w:endnote>
  <w:endnote w:type="continuationSeparator" w:id="0">
    <w:p w14:paraId="0D232A1B" w14:textId="77777777" w:rsidR="00FC55D2" w:rsidRDefault="00FC55D2" w:rsidP="00F0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9391" w14:textId="77777777" w:rsidR="00FC55D2" w:rsidRDefault="00FC55D2" w:rsidP="00F05A8B">
      <w:pPr>
        <w:spacing w:after="0" w:line="240" w:lineRule="auto"/>
      </w:pPr>
      <w:r>
        <w:separator/>
      </w:r>
    </w:p>
  </w:footnote>
  <w:footnote w:type="continuationSeparator" w:id="0">
    <w:p w14:paraId="3EA7EEC7" w14:textId="77777777" w:rsidR="00FC55D2" w:rsidRDefault="00FC55D2" w:rsidP="00F0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0BBC" w14:textId="77777777" w:rsidR="00FC55D2" w:rsidRPr="00C01D45" w:rsidRDefault="00FC55D2" w:rsidP="00A16F3C">
    <w:pPr>
      <w:rPr>
        <w:vanish/>
        <w:color w:val="FF0000"/>
        <w:sz w:val="18"/>
      </w:rPr>
    </w:pPr>
    <w:r>
      <w:rPr>
        <w:rFonts w:ascii="Calibri" w:hAnsi="Calibri" w:cs="Calibri"/>
        <w:b/>
        <w:sz w:val="28"/>
      </w:rPr>
      <w:t>School Closure CPD Calendar Summer Term 2019-20</w:t>
    </w:r>
    <w:r>
      <w:rPr>
        <w:rFonts w:ascii="Calibri" w:hAnsi="Calibri" w:cs="Calibri"/>
        <w:b/>
        <w:sz w:val="28"/>
      </w:rPr>
      <w:tab/>
    </w:r>
  </w:p>
  <w:p w14:paraId="369FE811" w14:textId="77777777" w:rsidR="00FC55D2" w:rsidRPr="00C01D45" w:rsidRDefault="00FC55D2">
    <w:pPr>
      <w:pStyle w:val="Header"/>
      <w:rPr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BD8"/>
    <w:multiLevelType w:val="hybridMultilevel"/>
    <w:tmpl w:val="1A326F10"/>
    <w:lvl w:ilvl="0" w:tplc="744E6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A02"/>
    <w:multiLevelType w:val="hybridMultilevel"/>
    <w:tmpl w:val="6DD8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133"/>
    <w:multiLevelType w:val="hybridMultilevel"/>
    <w:tmpl w:val="C96E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6D68"/>
    <w:multiLevelType w:val="hybridMultilevel"/>
    <w:tmpl w:val="C4883B6E"/>
    <w:lvl w:ilvl="0" w:tplc="879E2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63925"/>
    <w:multiLevelType w:val="hybridMultilevel"/>
    <w:tmpl w:val="11E857F4"/>
    <w:lvl w:ilvl="0" w:tplc="3FA06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78AA"/>
    <w:multiLevelType w:val="hybridMultilevel"/>
    <w:tmpl w:val="C1D0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A4AE3"/>
    <w:multiLevelType w:val="hybridMultilevel"/>
    <w:tmpl w:val="668E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13403"/>
    <w:multiLevelType w:val="hybridMultilevel"/>
    <w:tmpl w:val="0956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71"/>
    <w:rsid w:val="0002123D"/>
    <w:rsid w:val="00081992"/>
    <w:rsid w:val="000969DB"/>
    <w:rsid w:val="000A4FAC"/>
    <w:rsid w:val="000D19C3"/>
    <w:rsid w:val="000E7B84"/>
    <w:rsid w:val="00100639"/>
    <w:rsid w:val="001049ED"/>
    <w:rsid w:val="0012095B"/>
    <w:rsid w:val="00132E65"/>
    <w:rsid w:val="00142541"/>
    <w:rsid w:val="00155025"/>
    <w:rsid w:val="00162B83"/>
    <w:rsid w:val="0018114B"/>
    <w:rsid w:val="001923F7"/>
    <w:rsid w:val="001A5CE3"/>
    <w:rsid w:val="001C6AE3"/>
    <w:rsid w:val="001F2BB6"/>
    <w:rsid w:val="001F4071"/>
    <w:rsid w:val="00202F5D"/>
    <w:rsid w:val="00227590"/>
    <w:rsid w:val="00233D62"/>
    <w:rsid w:val="00243220"/>
    <w:rsid w:val="00251EC2"/>
    <w:rsid w:val="00262F7B"/>
    <w:rsid w:val="00264C2B"/>
    <w:rsid w:val="00282FD4"/>
    <w:rsid w:val="002A4F68"/>
    <w:rsid w:val="002A5799"/>
    <w:rsid w:val="002B3834"/>
    <w:rsid w:val="002B5418"/>
    <w:rsid w:val="002C594E"/>
    <w:rsid w:val="00375FF2"/>
    <w:rsid w:val="003C2C3F"/>
    <w:rsid w:val="003E35C8"/>
    <w:rsid w:val="00400D79"/>
    <w:rsid w:val="00422193"/>
    <w:rsid w:val="00431858"/>
    <w:rsid w:val="0045389E"/>
    <w:rsid w:val="0047400E"/>
    <w:rsid w:val="00474B40"/>
    <w:rsid w:val="004847E7"/>
    <w:rsid w:val="004A1187"/>
    <w:rsid w:val="00525B1E"/>
    <w:rsid w:val="005406B4"/>
    <w:rsid w:val="0057402B"/>
    <w:rsid w:val="00585A9F"/>
    <w:rsid w:val="005A001E"/>
    <w:rsid w:val="005F5AC9"/>
    <w:rsid w:val="0063720A"/>
    <w:rsid w:val="0065288D"/>
    <w:rsid w:val="00694CB5"/>
    <w:rsid w:val="00740FCE"/>
    <w:rsid w:val="00764DEC"/>
    <w:rsid w:val="00776168"/>
    <w:rsid w:val="007C50E8"/>
    <w:rsid w:val="008104EB"/>
    <w:rsid w:val="00826EC9"/>
    <w:rsid w:val="0087200A"/>
    <w:rsid w:val="008A0FC7"/>
    <w:rsid w:val="00911531"/>
    <w:rsid w:val="00962837"/>
    <w:rsid w:val="00974BAE"/>
    <w:rsid w:val="009D644D"/>
    <w:rsid w:val="00A15727"/>
    <w:rsid w:val="00A16F3C"/>
    <w:rsid w:val="00A32D77"/>
    <w:rsid w:val="00A45FDE"/>
    <w:rsid w:val="00A619CA"/>
    <w:rsid w:val="00A64431"/>
    <w:rsid w:val="00A75571"/>
    <w:rsid w:val="00AA4070"/>
    <w:rsid w:val="00AC165D"/>
    <w:rsid w:val="00AF3D15"/>
    <w:rsid w:val="00B21D44"/>
    <w:rsid w:val="00B403AC"/>
    <w:rsid w:val="00B410AA"/>
    <w:rsid w:val="00B56B46"/>
    <w:rsid w:val="00C01D45"/>
    <w:rsid w:val="00C13416"/>
    <w:rsid w:val="00C32158"/>
    <w:rsid w:val="00C55819"/>
    <w:rsid w:val="00C86796"/>
    <w:rsid w:val="00CC5AAB"/>
    <w:rsid w:val="00D212BA"/>
    <w:rsid w:val="00D23425"/>
    <w:rsid w:val="00D243E4"/>
    <w:rsid w:val="00D27DFE"/>
    <w:rsid w:val="00D56027"/>
    <w:rsid w:val="00D67F86"/>
    <w:rsid w:val="00D90267"/>
    <w:rsid w:val="00DF41F1"/>
    <w:rsid w:val="00E40C0A"/>
    <w:rsid w:val="00E44AD3"/>
    <w:rsid w:val="00E47A68"/>
    <w:rsid w:val="00EB129D"/>
    <w:rsid w:val="00F048B3"/>
    <w:rsid w:val="00F05A8B"/>
    <w:rsid w:val="00F0729B"/>
    <w:rsid w:val="00F36AAC"/>
    <w:rsid w:val="00F37FE7"/>
    <w:rsid w:val="00FA7620"/>
    <w:rsid w:val="00FC55D2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B960"/>
  <w15:docId w15:val="{C1655850-1EE3-4D05-A8A7-0C7C29B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0A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8A0F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A0F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234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0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8B"/>
  </w:style>
  <w:style w:type="paragraph" w:styleId="Footer">
    <w:name w:val="footer"/>
    <w:basedOn w:val="Normal"/>
    <w:link w:val="FooterChar"/>
    <w:uiPriority w:val="99"/>
    <w:unhideWhenUsed/>
    <w:rsid w:val="00F0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8B"/>
  </w:style>
  <w:style w:type="table" w:styleId="LightGrid-Accent5">
    <w:name w:val="Light Grid Accent 5"/>
    <w:basedOn w:val="TableNormal"/>
    <w:uiPriority w:val="62"/>
    <w:rsid w:val="004740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dTable3-Accent5">
    <w:name w:val="Grid Table 3 Accent 5"/>
    <w:basedOn w:val="TableNormal"/>
    <w:uiPriority w:val="48"/>
    <w:rsid w:val="00F36A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F36A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474B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74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uturelearn.com/courses/teaching-students-trauma" TargetMode="External"/><Relationship Id="rId21" Type="http://schemas.openxmlformats.org/officeDocument/2006/relationships/hyperlink" Target="https://8884150-my.sharepoint.com/personal/r_long_waltonledale_lancs_sch_uk/Documents/Research%20Ed%20Loom%20Presentations/M%20Rowland%20Pupil%20Premium.mp4" TargetMode="External"/><Relationship Id="rId34" Type="http://schemas.openxmlformats.org/officeDocument/2006/relationships/hyperlink" Target="https://www.futurelearn.com/courses/emotional-intelligence-at-work" TargetMode="External"/><Relationship Id="rId42" Type="http://schemas.openxmlformats.org/officeDocument/2006/relationships/hyperlink" Target="https://nasen.org.uk/training-and-cpd/online-learning/learning.html" TargetMode="External"/><Relationship Id="rId47" Type="http://schemas.openxmlformats.org/officeDocument/2006/relationships/hyperlink" Target="https://www.futurelearn.com/courses/technology-teaching-learning" TargetMode="External"/><Relationship Id="rId50" Type="http://schemas.openxmlformats.org/officeDocument/2006/relationships/hyperlink" Target="https://education.microsoft.com/en-us/course/bc04fe50/overview" TargetMode="External"/><Relationship Id="rId55" Type="http://schemas.openxmlformats.org/officeDocument/2006/relationships/hyperlink" Target="https://www.futurelearn.com/courses/managing-the-practical-classroom-secondary-science" TargetMode="External"/><Relationship Id="rId63" Type="http://schemas.openxmlformats.org/officeDocument/2006/relationships/hyperlink" Target="https://www.open.edu/openlearn/education-development/using-visualisation-maths-teaching/content-section-0?active-tab=description-tab" TargetMode="External"/><Relationship Id="rId68" Type="http://schemas.openxmlformats.org/officeDocument/2006/relationships/hyperlink" Target="https://www.open.edu/openlearn/education/teaching-secondary-music/content-section-0?active-tab=description-tab" TargetMode="External"/><Relationship Id="rId76" Type="http://schemas.openxmlformats.org/officeDocument/2006/relationships/hyperlink" Target="https://www.tes.com/institute/embedding-employability-skills-CPD" TargetMode="External"/><Relationship Id="rId84" Type="http://schemas.openxmlformats.org/officeDocument/2006/relationships/hyperlink" Target="https://www.open.edu/openlearn/education/teaching-secondary-modern-foreign-languages/content-section-0?active-tab=description-tab" TargetMode="External"/><Relationship Id="rId89" Type="http://schemas.openxmlformats.org/officeDocument/2006/relationships/hyperlink" Target="https://www.futurelearn.com/courses/ways-of-researching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open.edu/openlearn/health-sports-psychology/facilitating-learning-practice/content-section-overview?active-tab=description-tab" TargetMode="External"/><Relationship Id="rId92" Type="http://schemas.openxmlformats.org/officeDocument/2006/relationships/hyperlink" Target="https://evidence-based-education.thinkific.com/courses/resource-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turelearn.com/courses/autism-education" TargetMode="External"/><Relationship Id="rId29" Type="http://schemas.openxmlformats.org/officeDocument/2006/relationships/hyperlink" Target="https://www.open.edu/openlearn/health-sports-psychology/making-sense-mental-health-problems/content-section-0?active-tab=description-tab" TargetMode="External"/><Relationship Id="rId11" Type="http://schemas.openxmlformats.org/officeDocument/2006/relationships/hyperlink" Target="https://www.eventbrite.co.uk/e/webinar-working-memory-in-the-classroom-tickets-100420458294" TargetMode="External"/><Relationship Id="rId24" Type="http://schemas.openxmlformats.org/officeDocument/2006/relationships/hyperlink" Target="https://teams.microsoft.com/_" TargetMode="External"/><Relationship Id="rId32" Type="http://schemas.openxmlformats.org/officeDocument/2006/relationships/hyperlink" Target="https://www.acesonlinelearning.com/" TargetMode="External"/><Relationship Id="rId37" Type="http://schemas.openxmlformats.org/officeDocument/2006/relationships/hyperlink" Target="https://www.futurelearn.com/courses/depression-young-people" TargetMode="External"/><Relationship Id="rId40" Type="http://schemas.openxmlformats.org/officeDocument/2006/relationships/hyperlink" Target="https://education.microsoft.com/en-us/course/30a7b5e8/overview" TargetMode="External"/><Relationship Id="rId45" Type="http://schemas.openxmlformats.org/officeDocument/2006/relationships/hyperlink" Target="https://www.open.edu/openlearn/education-development/education-careers/accessibility-elearning/content-section-0?active-tab=description-tab" TargetMode="External"/><Relationship Id="rId53" Type="http://schemas.openxmlformats.org/officeDocument/2006/relationships/hyperlink" Target="https://www.open.edu/openlearn/education-development/education/involving-the-family-supporting-pupils-literacy-learning/content-section-0?active-tab=description-tab" TargetMode="External"/><Relationship Id="rId58" Type="http://schemas.openxmlformats.org/officeDocument/2006/relationships/hyperlink" Target="https://www.futurelearn.com/courses/introduction-to-curriculum-design-secondary-science" TargetMode="External"/><Relationship Id="rId66" Type="http://schemas.openxmlformats.org/officeDocument/2006/relationships/hyperlink" Target="https://www.futurelearn.com/courses/maths-subject-knowledge-proportion-ratio-scaling" TargetMode="External"/><Relationship Id="rId74" Type="http://schemas.openxmlformats.org/officeDocument/2006/relationships/hyperlink" Target="https://www.open.edu/openlearn/education/educational-technology-and-practice/educational-practice/evaluating-school-classroom-discussion/content-section-0?active-tab=description-tab" TargetMode="External"/><Relationship Id="rId79" Type="http://schemas.openxmlformats.org/officeDocument/2006/relationships/hyperlink" Target="https://www.futurelearn.com/courses/differentiating-for-learning-stem" TargetMode="External"/><Relationship Id="rId87" Type="http://schemas.openxmlformats.org/officeDocument/2006/relationships/hyperlink" Target="https://www.futurelearn.com/subjects/politics-and-society-courses/religi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uturelearn.com/courses/stem-volunteering-feedback" TargetMode="External"/><Relationship Id="rId82" Type="http://schemas.openxmlformats.org/officeDocument/2006/relationships/hyperlink" Target="https://education.microsoft.com/en-us/course/38ba2124/overview" TargetMode="External"/><Relationship Id="rId90" Type="http://schemas.openxmlformats.org/officeDocument/2006/relationships/hyperlink" Target="https://teacherhead.com/2020/03/16/rosenshine-masterclass-captured-free-cpd/" TargetMode="External"/><Relationship Id="rId95" Type="http://schemas.openxmlformats.org/officeDocument/2006/relationships/hyperlink" Target="https://www.open.edu/openlearn/education-development/learning-teach-making-sense-learning-teach/content-section-0?active-tab=description-tab" TargetMode="External"/><Relationship Id="rId19" Type="http://schemas.openxmlformats.org/officeDocument/2006/relationships/hyperlink" Target="https://www.futurelearn.com/courses/developing-vocabulary" TargetMode="External"/><Relationship Id="rId14" Type="http://schemas.openxmlformats.org/officeDocument/2006/relationships/hyperlink" Target="https://8884150-my.sharepoint.com/personal/r_long_waltonledale_lancs_sch_uk/Documents/Research%20Ed%20Loom%20Presentations/C%20Spalding%20-%20Remotivating%20pupils.mp4" TargetMode="External"/><Relationship Id="rId22" Type="http://schemas.openxmlformats.org/officeDocument/2006/relationships/hyperlink" Target="https://www.futurelearn.com/courses/technology-teaching-learning" TargetMode="External"/><Relationship Id="rId27" Type="http://schemas.openxmlformats.org/officeDocument/2006/relationships/hyperlink" Target="https://www.samh.org.uk/about-mental-health/elearning-for-teachers" TargetMode="External"/><Relationship Id="rId30" Type="http://schemas.openxmlformats.org/officeDocument/2006/relationships/hyperlink" Target="https://paceuk.info/training/keep-them-safe/" TargetMode="External"/><Relationship Id="rId35" Type="http://schemas.openxmlformats.org/officeDocument/2006/relationships/hyperlink" Target="https://www.virtual-college.co.uk/courses/safeguarding/understanding-young-minds" TargetMode="External"/><Relationship Id="rId43" Type="http://schemas.openxmlformats.org/officeDocument/2006/relationships/hyperlink" Target="https://www.open.edu/openlearn/education-development/education/take-your-teaching-online/content-section-overview?active-tab=description-tab" TargetMode="External"/><Relationship Id="rId48" Type="http://schemas.openxmlformats.org/officeDocument/2006/relationships/hyperlink" Target="https://www.futurelearn.com/courses/developing-vocabulary" TargetMode="External"/><Relationship Id="rId56" Type="http://schemas.openxmlformats.org/officeDocument/2006/relationships/hyperlink" Target="https://education.microsoft.com/en-us/course/c3c376f8/overview" TargetMode="External"/><Relationship Id="rId64" Type="http://schemas.openxmlformats.org/officeDocument/2006/relationships/hyperlink" Target="https://www.futurelearn.com/courses/maths-subject-knowledge-number" TargetMode="External"/><Relationship Id="rId69" Type="http://schemas.openxmlformats.org/officeDocument/2006/relationships/hyperlink" Target="https://www.futurelearn.com/courses/inclusive-education" TargetMode="External"/><Relationship Id="rId77" Type="http://schemas.openxmlformats.org/officeDocument/2006/relationships/hyperlink" Target="https://www.open.edu/openlearn/education-development/learning/teaching-and-learning-tricky-topics/content-section-overview?active-tab=description-tab" TargetMode="External"/><Relationship Id="rId8" Type="http://schemas.openxmlformats.org/officeDocument/2006/relationships/hyperlink" Target="https://www.eventbrite.co.uk/e/webinar-working-memory-in-the-classroom-tickets-101540678904" TargetMode="External"/><Relationship Id="rId51" Type="http://schemas.openxmlformats.org/officeDocument/2006/relationships/hyperlink" Target="https://www.futurelearn.com/courses/understanding-language" TargetMode="External"/><Relationship Id="rId72" Type="http://schemas.openxmlformats.org/officeDocument/2006/relationships/hyperlink" Target="https://education.microsoft.com/en-us/course/72e17f8d/overview" TargetMode="External"/><Relationship Id="rId80" Type="http://schemas.openxmlformats.org/officeDocument/2006/relationships/hyperlink" Target="https://www.futurelearn.com/courses/science-of-learning" TargetMode="External"/><Relationship Id="rId85" Type="http://schemas.openxmlformats.org/officeDocument/2006/relationships/hyperlink" Target="https://www.open.edu/openlearn/education/assessment-secondary-modern-foreign-languages/content-section-0?active-tab=description-tab" TargetMode="External"/><Relationship Id="rId93" Type="http://schemas.openxmlformats.org/officeDocument/2006/relationships/hyperlink" Target="https://www.open.edu/openlearn/education-development/learning-teach-becoming-reflective-practitioner/content-section-0?active-tab=description-tab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ventbrite.co.uk/e/webinar-verbal-feedback-research-tickets-100312708010" TargetMode="External"/><Relationship Id="rId17" Type="http://schemas.openxmlformats.org/officeDocument/2006/relationships/hyperlink" Target="https://www.open.edu/openlearn/education-development/education-careers/teaching-good-behaviour/content-section-0?active-tab=description-tab" TargetMode="External"/><Relationship Id="rId25" Type="http://schemas.openxmlformats.org/officeDocument/2006/relationships/hyperlink" Target="https://www.virtual-college.co.uk/courses/compliance/introduction-to-gdpr" TargetMode="External"/><Relationship Id="rId33" Type="http://schemas.openxmlformats.org/officeDocument/2006/relationships/hyperlink" Target="https://www.open.edu/openlearn/health-sports-psychology/professional-relationships-young-people/content-section-0?active-tab=description-tab" TargetMode="External"/><Relationship Id="rId38" Type="http://schemas.openxmlformats.org/officeDocument/2006/relationships/hyperlink" Target="https://www.open.edu/openlearn/education-development/education/understanding-dyslexia/content-section-0?active-tab=description-tab" TargetMode="External"/><Relationship Id="rId46" Type="http://schemas.openxmlformats.org/officeDocument/2006/relationships/hyperlink" Target="https://www.futurelearn.com/courses/the-online-educator" TargetMode="External"/><Relationship Id="rId59" Type="http://schemas.openxmlformats.org/officeDocument/2006/relationships/hyperlink" Target="https://www.futurelearn.com/courses/linking-stem-curriculum-learning-to-careers" TargetMode="External"/><Relationship Id="rId67" Type="http://schemas.openxmlformats.org/officeDocument/2006/relationships/hyperlink" Target="https://www.futurelearn.com/courses/becoming-a-better-music-teacher" TargetMode="External"/><Relationship Id="rId20" Type="http://schemas.openxmlformats.org/officeDocument/2006/relationships/hyperlink" Target="https://8884150-my.sharepoint.com/personal/r_long_waltonledale_lancs_sch_uk/Documents/Research%20Ed%20Loom%20Presentations/D%20Didau%20-%20Making%20Kids%20Cleverer_%20What%20knowledge_.mp4" TargetMode="External"/><Relationship Id="rId41" Type="http://schemas.openxmlformats.org/officeDocument/2006/relationships/hyperlink" Target="https://education.microsoft.com/en-us/course/4acb190d/overview" TargetMode="External"/><Relationship Id="rId54" Type="http://schemas.openxmlformats.org/officeDocument/2006/relationships/hyperlink" Target="https://app.senecalearning.com/classroom/course/28e73a94-15be-44ba-b967-d3fb671c12fc" TargetMode="External"/><Relationship Id="rId62" Type="http://schemas.openxmlformats.org/officeDocument/2006/relationships/hyperlink" Target="https://www.open.edu/openlearn/education-development/teaching-mathematics/content-section-overview?active-tab=description-tab" TargetMode="External"/><Relationship Id="rId70" Type="http://schemas.openxmlformats.org/officeDocument/2006/relationships/hyperlink" Target="https://www.open.edu/openlearn/education-development/learning-teach-mentoring-and-tutoring-student-teachers/content-section-0?active-tab=description-tab" TargetMode="External"/><Relationship Id="rId75" Type="http://schemas.openxmlformats.org/officeDocument/2006/relationships/hyperlink" Target="https://www.tes.com/mycourses/courses/making-best-use-of-teaching-assistants-copy-872" TargetMode="External"/><Relationship Id="rId83" Type="http://schemas.openxmlformats.org/officeDocument/2006/relationships/hyperlink" Target="https://www.open.edu/openlearn/education-development/looking-globally-the-future-education/content-section-overview?active-tab=description-tab" TargetMode="External"/><Relationship Id="rId88" Type="http://schemas.openxmlformats.org/officeDocument/2006/relationships/hyperlink" Target="https://www.open.edu/openlearn/education-development/education/engaging-educational-research/content-section-0?active-tab=description-tab" TargetMode="External"/><Relationship Id="rId91" Type="http://schemas.openxmlformats.org/officeDocument/2006/relationships/hyperlink" Target="https://chartered.college/" TargetMode="External"/><Relationship Id="rId96" Type="http://schemas.openxmlformats.org/officeDocument/2006/relationships/hyperlink" Target="https://www.futurelearn.com/courses/early-career-teach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8884150-my.sharepoint.com/personal/r_long_waltonledale_lancs_sch_uk/Documents/Research%20Ed%20Loom%20Presentations/D%20Muijs%20Behaviour.mp4" TargetMode="External"/><Relationship Id="rId23" Type="http://schemas.openxmlformats.org/officeDocument/2006/relationships/hyperlink" Target="https://www.futurelearn.com/courses/planning-for-learning" TargetMode="External"/><Relationship Id="rId28" Type="http://schemas.openxmlformats.org/officeDocument/2006/relationships/hyperlink" Target="https://www.futurelearn.com/courses/child-protection-teachers" TargetMode="External"/><Relationship Id="rId36" Type="http://schemas.openxmlformats.org/officeDocument/2006/relationships/hyperlink" Target="https://www.open.edu/openlearn/education-development/childhood-youth/introduction-child-psychology/content-section-0?active-tab=description-tab" TargetMode="External"/><Relationship Id="rId49" Type="http://schemas.openxmlformats.org/officeDocument/2006/relationships/hyperlink" Target="https://www.open.edu/openlearn/education-development/education/english-grammar-context/content-section-0?active-tab=description-tab" TargetMode="External"/><Relationship Id="rId57" Type="http://schemas.openxmlformats.org/officeDocument/2006/relationships/hyperlink" Target="https://www.futurelearn.com/courses/teaching-biology-inspiring-students-with-plants-in-science" TargetMode="External"/><Relationship Id="rId10" Type="http://schemas.openxmlformats.org/officeDocument/2006/relationships/hyperlink" Target="https://www.eventbrite.co.uk/e/webinar-17-principles-of-effective-teacher-instruction-tickets-101541948702" TargetMode="External"/><Relationship Id="rId31" Type="http://schemas.openxmlformats.org/officeDocument/2006/relationships/hyperlink" Target="https://www.futurelearn.com/courses/young-people-mental-health" TargetMode="External"/><Relationship Id="rId44" Type="http://schemas.openxmlformats.org/officeDocument/2006/relationships/hyperlink" Target="https://www.futurelearn.com/courses/impact-of-technology" TargetMode="External"/><Relationship Id="rId52" Type="http://schemas.openxmlformats.org/officeDocument/2006/relationships/hyperlink" Target="https://www.open.edu/openlearn/languages/understanding-language-and-learning/content-section-0?active-tab=description-tab" TargetMode="External"/><Relationship Id="rId60" Type="http://schemas.openxmlformats.org/officeDocument/2006/relationships/hyperlink" Target="https://www.futurelearn.com/courses/teaching-practical-science-chemistry" TargetMode="External"/><Relationship Id="rId65" Type="http://schemas.openxmlformats.org/officeDocument/2006/relationships/hyperlink" Target="https://www.futurelearn.com/courses/maths-subject-knowledge-fractions-decimals-and-percentages" TargetMode="External"/><Relationship Id="rId73" Type="http://schemas.openxmlformats.org/officeDocument/2006/relationships/hyperlink" Target="https://www.futurelearn.com/courses/supporting-learning-secondary" TargetMode="External"/><Relationship Id="rId78" Type="http://schemas.openxmlformats.org/officeDocument/2006/relationships/hyperlink" Target="https://www.futurelearn.com/courses/education-for-all" TargetMode="External"/><Relationship Id="rId81" Type="http://schemas.openxmlformats.org/officeDocument/2006/relationships/hyperlink" Target="https://education.microsoft.com/en-us/course/a41ac17d/overview" TargetMode="External"/><Relationship Id="rId86" Type="http://schemas.openxmlformats.org/officeDocument/2006/relationships/hyperlink" Target="https://mailchi.mp/pewresearch.org/muslims-and-islam-course" TargetMode="External"/><Relationship Id="rId94" Type="http://schemas.openxmlformats.org/officeDocument/2006/relationships/hyperlink" Target="https://www.open.edu/openlearn/education-development/learning-teach-introduction-classroom-research/content-section-0?active-tab=description-tab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webinar-retrieval-practice-theory-and-application-tickets-101540891540" TargetMode="External"/><Relationship Id="rId13" Type="http://schemas.openxmlformats.org/officeDocument/2006/relationships/hyperlink" Target="https://8884150-my.sharepoint.com/personal/r_long_waltonledale_lancs_sch_uk/Documents/Research%20Ed%20Loom%20Presentations/A%20Robins%20Getting%20through%20to%20locked%20out%20learners.mp4" TargetMode="External"/><Relationship Id="rId18" Type="http://schemas.openxmlformats.org/officeDocument/2006/relationships/hyperlink" Target="https://8884150-my.sharepoint.com/personal/r_long_waltonledale_lancs_sch_uk/Documents/Research%20Ed%20Loom%20Presentations/C%20Sealy%20-%20Cognitive%20Load%20and%20Working%20Memory.mp4" TargetMode="External"/><Relationship Id="rId39" Type="http://schemas.openxmlformats.org/officeDocument/2006/relationships/hyperlink" Target="https://www.open.edu/openlearn/science-maths-technology/understanding-autism/content-section-overview?active-tab=description-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E917-0815-467E-928B-95C91F4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Parkinson</dc:creator>
  <cp:lastModifiedBy>Long, Rachel</cp:lastModifiedBy>
  <cp:revision>2</cp:revision>
  <cp:lastPrinted>2019-06-24T08:24:00Z</cp:lastPrinted>
  <dcterms:created xsi:type="dcterms:W3CDTF">2020-04-09T08:13:00Z</dcterms:created>
  <dcterms:modified xsi:type="dcterms:W3CDTF">2020-04-09T08:13:00Z</dcterms:modified>
</cp:coreProperties>
</file>