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00361362"/>
      <w:bookmarkStart w:id="1" w:name="_Toc443397153"/>
      <w:bookmarkStart w:id="2" w:name="_Toc357771638"/>
      <w:bookmarkStart w:id="3" w:name="_Toc346793416"/>
      <w:bookmarkStart w:id="4" w:name="_Toc328122777"/>
      <w:bookmarkStart w:id="17" w:name="_GoBack"/>
      <w:bookmarkEnd w:id="17"/>
      <w:r>
        <w:t>Pupil premium strategy statement</w:t>
      </w:r>
      <w:bookmarkEnd w:id="0"/>
      <w:bookmarkEnd w:id="1"/>
      <w:bookmarkStart w:id="5" w:name="_Toc364235708"/>
      <w:bookmarkStart w:id="6" w:name="_Toc400361364"/>
      <w:bookmarkStart w:id="7" w:name="_Toc364235752"/>
      <w:bookmarkStart w:id="8" w:name="_Toc338167830"/>
      <w:bookmarkStart w:id="9" w:name="_Toc361136403"/>
      <w:bookmarkStart w:id="10" w:name="_Toc443397154"/>
      <w:bookmarkStart w:id="11" w:name="_Toc364840099"/>
      <w:bookmarkStart w:id="12" w:name="_Toc364235834"/>
      <w:bookmarkStart w:id="13" w:name="_Toc364864309"/>
      <w:r>
        <w:t xml:space="preserve"> – Walton-Le-Dale High School (2023-24)</w:t>
      </w:r>
    </w:p>
    <w:p>
      <w:pPr>
        <w:rPr>
          <w:b/>
        </w:rPr>
      </w:pPr>
      <w:r>
        <w:t xml:space="preserve">This statement details our school’s use of pupil premium (and recovery premium) funding to help improve the attainment of our disadvantaged pupils. </w:t>
      </w:r>
    </w:p>
    <w:p>
      <w:pPr>
        <w:rPr>
          <w:b/>
        </w:rPr>
      </w:pPr>
      <w:r>
        <w:t>It outlines our pupil premium strategy, how we intend to spend the funding in this academic year and the outcomes for disadvantaged pupils last academic year.</w:t>
      </w:r>
    </w:p>
    <w:p>
      <w:pPr>
        <w:pStyle w:val="3"/>
      </w:pPr>
      <w:r>
        <w:t>School overview</w:t>
      </w:r>
      <w:bookmarkEnd w:id="5"/>
      <w:bookmarkEnd w:id="6"/>
      <w:bookmarkEnd w:id="7"/>
      <w:bookmarkEnd w:id="8"/>
      <w:bookmarkEnd w:id="9"/>
      <w:bookmarkEnd w:id="10"/>
      <w:bookmarkEnd w:id="11"/>
      <w:bookmarkEnd w:id="12"/>
      <w:bookmarkEnd w:id="13"/>
    </w:p>
    <w:tbl>
      <w:tblPr>
        <w:tblStyle w:val="12"/>
        <w:tblW w:w="5000" w:type="pct"/>
        <w:tblInd w:w="0" w:type="dxa"/>
        <w:tblLayout w:type="autofit"/>
        <w:tblCellMar>
          <w:top w:w="0" w:type="dxa"/>
          <w:left w:w="10" w:type="dxa"/>
          <w:bottom w:w="0" w:type="dxa"/>
          <w:right w:w="10" w:type="dxa"/>
        </w:tblCellMar>
      </w:tblPr>
      <w:tblGrid>
        <w:gridCol w:w="6672"/>
        <w:gridCol w:w="3040"/>
      </w:tblGrid>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Data</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745</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34.3%</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 xml:space="preserve">Academic year/years that our current pupil premium strategy plan covers </w:t>
            </w:r>
            <w:r>
              <w:rPr>
                <w:b/>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2023-24</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20 October 2023</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31 October 2024</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Vicky Ardern</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Vicky Ardern</w:t>
            </w:r>
          </w:p>
        </w:tc>
      </w:tr>
      <w:tr>
        <w:tblPrEx>
          <w:tblCellMar>
            <w:top w:w="0" w:type="dxa"/>
            <w:left w:w="10" w:type="dxa"/>
            <w:bottom w:w="0" w:type="dxa"/>
            <w:right w:w="10" w:type="dxa"/>
          </w:tblCellMar>
        </w:tblPrEx>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Nicola Clayton</w:t>
            </w:r>
          </w:p>
        </w:tc>
      </w:tr>
      <w:bookmarkEnd w:id="2"/>
      <w:bookmarkEnd w:id="3"/>
      <w:bookmarkEnd w:id="4"/>
    </w:tbl>
    <w:p>
      <w:pPr>
        <w:pStyle w:val="3"/>
      </w:pPr>
      <w:r>
        <w:t>Funding overview</w:t>
      </w:r>
    </w:p>
    <w:tbl>
      <w:tblPr>
        <w:tblStyle w:val="12"/>
        <w:tblW w:w="9486" w:type="dxa"/>
        <w:tblInd w:w="0" w:type="dxa"/>
        <w:tblLayout w:type="autofit"/>
        <w:tblCellMar>
          <w:top w:w="0" w:type="dxa"/>
          <w:left w:w="10" w:type="dxa"/>
          <w:bottom w:w="0" w:type="dxa"/>
          <w:right w:w="10" w:type="dxa"/>
        </w:tblCellMar>
      </w:tblPr>
      <w:tblGrid>
        <w:gridCol w:w="6516"/>
        <w:gridCol w:w="2970"/>
      </w:tblGrid>
      <w:tr>
        <w:tblPrEx>
          <w:tblCellMar>
            <w:top w:w="0" w:type="dxa"/>
            <w:left w:w="10" w:type="dxa"/>
            <w:bottom w:w="0" w:type="dxa"/>
            <w:right w:w="10" w:type="dxa"/>
          </w:tblCellMar>
        </w:tblPrEx>
        <w:trPr>
          <w:trHeight w:val="374" w:hRule="atLeast"/>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pPr>
              <w:pStyle w:val="63"/>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pPr>
              <w:pStyle w:val="63"/>
            </w:pPr>
            <w:r>
              <w:rPr>
                <w:b/>
              </w:rPr>
              <w:t>Amount</w:t>
            </w:r>
          </w:p>
        </w:tc>
      </w:tr>
      <w:tr>
        <w:tblPrEx>
          <w:tblCellMar>
            <w:top w:w="0" w:type="dxa"/>
            <w:left w:w="10" w:type="dxa"/>
            <w:bottom w:w="0" w:type="dxa"/>
            <w:right w:w="10" w:type="dxa"/>
          </w:tblCellMar>
        </w:tblPrEx>
        <w:trPr>
          <w:trHeight w:val="374" w:hRule="atLeast"/>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pPr>
              <w:pStyle w:val="63"/>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£252 540</w:t>
            </w:r>
          </w:p>
        </w:tc>
      </w:tr>
      <w:tr>
        <w:tblPrEx>
          <w:tblCellMar>
            <w:top w:w="0" w:type="dxa"/>
            <w:left w:w="10" w:type="dxa"/>
            <w:bottom w:w="0" w:type="dxa"/>
            <w:right w:w="10" w:type="dxa"/>
          </w:tblCellMar>
        </w:tblPrEx>
        <w:trPr>
          <w:trHeight w:val="374" w:hRule="atLeast"/>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pPr>
              <w:pStyle w:val="63"/>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£68 172</w:t>
            </w:r>
          </w:p>
        </w:tc>
      </w:tr>
      <w:tr>
        <w:tblPrEx>
          <w:tblCellMar>
            <w:top w:w="0" w:type="dxa"/>
            <w:left w:w="10" w:type="dxa"/>
            <w:bottom w:w="0" w:type="dxa"/>
            <w:right w:w="10" w:type="dxa"/>
          </w:tblCellMar>
        </w:tblPrEx>
        <w:trPr>
          <w:trHeight w:val="374" w:hRule="atLeast"/>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pPr>
              <w:pStyle w:val="63"/>
              <w:spacing w:after="120"/>
            </w:pPr>
            <w:r>
              <w:t xml:space="preserve">Pupil premium (and recovery premium*) funding carried forward from previous years </w:t>
            </w:r>
            <w:r>
              <w:rPr>
                <w:i/>
                <w:iCs/>
              </w:rPr>
              <w:t>(enter £0 if not applicable)</w:t>
            </w:r>
          </w:p>
          <w:p>
            <w:pPr>
              <w:pStyle w:val="63"/>
              <w:rPr>
                <w:i/>
                <w:iCs/>
              </w:rPr>
            </w:pPr>
            <w:r>
              <w:rPr>
                <w:i/>
                <w:iCs/>
              </w:rPr>
              <w:t xml:space="preserve">*Recovery premium received in academic year 2021 to 2022 can be carried forward to academic year 2022 to 2023. Recovery premium received in academic year 2022 to 2023 cannot be carried forward to 2023 to 2024.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£0</w:t>
            </w:r>
          </w:p>
        </w:tc>
      </w:tr>
      <w:tr>
        <w:tblPrEx>
          <w:tblCellMar>
            <w:top w:w="0" w:type="dxa"/>
            <w:left w:w="10" w:type="dxa"/>
            <w:bottom w:w="0" w:type="dxa"/>
            <w:right w:w="10" w:type="dxa"/>
          </w:tblCellMar>
        </w:tblPrEx>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spacing w:after="120"/>
              <w:rPr>
                <w:b/>
              </w:rPr>
            </w:pPr>
            <w:r>
              <w:rPr>
                <w:b/>
              </w:rPr>
              <w:t>Total budget for this academic year</w:t>
            </w:r>
          </w:p>
          <w:p>
            <w:pPr>
              <w:pStyle w:val="63"/>
              <w:rPr>
                <w:i/>
                <w:iCs/>
              </w:rPr>
            </w:pPr>
            <w:r>
              <w:rPr>
                <w:i/>
                <w:iCs/>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r>
              <w:t>£320 712</w:t>
            </w:r>
          </w:p>
        </w:tc>
      </w:tr>
    </w:tbl>
    <w:p>
      <w:pPr>
        <w:pStyle w:val="2"/>
      </w:pPr>
    </w:p>
    <w:p>
      <w:pPr>
        <w:pStyle w:val="2"/>
      </w:pPr>
      <w:r>
        <w:t>Part A: Pupil premium strategy plan</w:t>
      </w:r>
    </w:p>
    <w:p>
      <w:pPr>
        <w:pStyle w:val="3"/>
      </w:pPr>
      <w:bookmarkStart w:id="14" w:name="_Toc346793418"/>
      <w:bookmarkStart w:id="15" w:name="_Toc357771640"/>
      <w:r>
        <w:t>Statement of intent</w:t>
      </w:r>
    </w:p>
    <w:tbl>
      <w:tblPr>
        <w:tblStyle w:val="12"/>
        <w:tblW w:w="9486" w:type="dxa"/>
        <w:tblInd w:w="0" w:type="dxa"/>
        <w:tblLayout w:type="autofit"/>
        <w:tblCellMar>
          <w:top w:w="0" w:type="dxa"/>
          <w:left w:w="10" w:type="dxa"/>
          <w:bottom w:w="0" w:type="dxa"/>
          <w:right w:w="10" w:type="dxa"/>
        </w:tblCellMar>
      </w:tblPr>
      <w:tblGrid>
        <w:gridCol w:w="9486"/>
      </w:tblGrid>
      <w:tr>
        <w:tblPrEx>
          <w:tblCellMar>
            <w:top w:w="0" w:type="dxa"/>
            <w:left w:w="10" w:type="dxa"/>
            <w:bottom w:w="0" w:type="dxa"/>
            <w:right w:w="10" w:type="dxa"/>
          </w:tblCellMar>
        </w:tblPrEx>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before="120"/>
              <w:rPr>
                <w:rFonts w:cs="Arial"/>
                <w:iCs/>
                <w:color w:val="auto"/>
              </w:rPr>
            </w:pPr>
            <w:r>
              <w:rPr>
                <w:rFonts w:cs="Arial"/>
                <w:iCs/>
                <w:color w:val="auto"/>
              </w:rPr>
              <w:t>Our intention is that all pupils, irrespective of their background or the challenges they face, make good progress and achieve high attainment across the curriculum.</w:t>
            </w:r>
          </w:p>
          <w:p>
            <w:pPr>
              <w:spacing w:before="120"/>
              <w:rPr>
                <w:rFonts w:cs="Arial"/>
                <w:iCs/>
                <w:color w:val="auto"/>
              </w:rPr>
            </w:pPr>
            <w:r>
              <w:rPr>
                <w:rFonts w:cs="Arial"/>
                <w:iCs/>
                <w:color w:val="auto"/>
              </w:rPr>
              <w:t>It is a very important part of our ethos that students are treated as individuals and that we work hard to overcome their barriers to learning, whatever they may be</w:t>
            </w:r>
          </w:p>
          <w:p>
            <w:pPr>
              <w:rPr>
                <w:rFonts w:cs="Arial"/>
                <w:iCs/>
                <w:color w:val="auto"/>
                <w:lang w:val="en-US"/>
              </w:rPr>
            </w:pPr>
            <w:r>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Pr>
                <w:iCs/>
                <w:color w:val="auto"/>
                <w:lang w:val="en-US"/>
              </w:rPr>
              <w:t xml:space="preserve">Implicit in the intended outcomes detailed below, is the intention that non-disadvantaged pupils’ attainment will be sustained and </w:t>
            </w:r>
            <w:r>
              <w:rPr>
                <w:rFonts w:cs="Arial"/>
                <w:iCs/>
                <w:color w:val="auto"/>
                <w:lang w:val="en-US"/>
              </w:rPr>
              <w:t>improved alongside progress for their disadvantaged peers.</w:t>
            </w:r>
          </w:p>
          <w:p>
            <w:pPr>
              <w:rPr>
                <w:rFonts w:cs="Arial"/>
                <w:iCs/>
                <w:color w:val="auto"/>
                <w:lang w:val="en-US"/>
              </w:rPr>
            </w:pPr>
            <w:r>
              <w:rPr>
                <w:rFonts w:cs="Arial"/>
                <w:iCs/>
                <w:color w:val="auto"/>
                <w:lang w:val="en-US"/>
              </w:rPr>
              <w:t>We are also aware that our disadvantaged students often have lower reading ages and literacy skills than their more advantaged peers and therefore a significant aspect of our strategy is to provide support to address these issues.</w:t>
            </w:r>
          </w:p>
          <w:p>
            <w:pPr>
              <w:rPr>
                <w:rFonts w:cs="Arial"/>
                <w:color w:val="auto"/>
              </w:rPr>
            </w:pPr>
            <w:r>
              <w:rPr>
                <w:rFonts w:cs="Arial"/>
                <w:color w:val="auto"/>
              </w:rPr>
              <w:t xml:space="preserve">Our strategy is also integral to wider school plans for education recovery following the COVID-19 pandemic, notably in its targeted support through the National Tutoring Programme for pupils whose education has been worst affected, including non-disadvantaged pupils.    </w:t>
            </w:r>
          </w:p>
        </w:tc>
      </w:tr>
    </w:tbl>
    <w:p>
      <w:pPr>
        <w:pStyle w:val="3"/>
        <w:spacing w:before="600"/>
      </w:pPr>
      <w:r>
        <w:t>Challenges</w:t>
      </w:r>
    </w:p>
    <w:p>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Style w:val="12"/>
        <w:tblW w:w="5000" w:type="pct"/>
        <w:tblInd w:w="0" w:type="dxa"/>
        <w:tblLayout w:type="autofit"/>
        <w:tblCellMar>
          <w:top w:w="0" w:type="dxa"/>
          <w:left w:w="10" w:type="dxa"/>
          <w:bottom w:w="0" w:type="dxa"/>
          <w:right w:w="10" w:type="dxa"/>
        </w:tblCellMar>
      </w:tblPr>
      <w:tblGrid>
        <w:gridCol w:w="1512"/>
        <w:gridCol w:w="8200"/>
      </w:tblGrid>
      <w:tr>
        <w:tblPrEx>
          <w:tblCellMar>
            <w:top w:w="0" w:type="dxa"/>
            <w:left w:w="10" w:type="dxa"/>
            <w:bottom w:w="0" w:type="dxa"/>
            <w:right w:w="10" w:type="dxa"/>
          </w:tblCellMar>
        </w:tblPrEx>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pPr>
              <w:pStyle w:val="61"/>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pPr>
              <w:pStyle w:val="61"/>
              <w:jc w:val="left"/>
            </w:pPr>
            <w:r>
              <w:t xml:space="preserve">Detail of challenge </w:t>
            </w:r>
          </w:p>
        </w:tc>
      </w:tr>
      <w:tr>
        <w:tblPrEx>
          <w:tblCellMar>
            <w:top w:w="0" w:type="dxa"/>
            <w:left w:w="10" w:type="dxa"/>
            <w:bottom w:w="0" w:type="dxa"/>
            <w:right w:w="10" w:type="dxa"/>
          </w:tblCellMar>
        </w:tblPrEx>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pPr>
            <w:r>
              <w:rPr>
                <w:b/>
                <w:bCs/>
                <w:color w:val="000000"/>
                <w:sz w:val="27"/>
                <w:szCs w:val="27"/>
              </w:rPr>
              <w:t>Outcomes.</w:t>
            </w:r>
            <w:r>
              <w:rPr>
                <w:color w:val="000000"/>
                <w:sz w:val="27"/>
                <w:szCs w:val="27"/>
              </w:rPr>
              <w:t xml:space="preserve"> There is a significant gap in results at GCSE between our disadvantaged and other learners (-0.68 compared to -0.45), this was particularly evident in Maths (-0.89 compared to -0.51)</w:t>
            </w:r>
          </w:p>
        </w:tc>
      </w:tr>
      <w:tr>
        <w:tblPrEx>
          <w:tblCellMar>
            <w:top w:w="0" w:type="dxa"/>
            <w:left w:w="10" w:type="dxa"/>
            <w:bottom w:w="0" w:type="dxa"/>
            <w:right w:w="10" w:type="dxa"/>
          </w:tblCellMar>
        </w:tblPrEx>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rPr>
                <w:sz w:val="22"/>
                <w:szCs w:val="22"/>
              </w:rPr>
            </w:pPr>
            <w:r>
              <w:rPr>
                <w:b/>
                <w:bCs/>
                <w:color w:val="000000"/>
                <w:sz w:val="27"/>
                <w:szCs w:val="27"/>
              </w:rPr>
              <w:t>Attendance</w:t>
            </w:r>
            <w:r>
              <w:rPr>
                <w:color w:val="000000"/>
                <w:sz w:val="27"/>
                <w:szCs w:val="27"/>
              </w:rPr>
              <w:t xml:space="preserve">. Before the pandemic the persistent absence of our disadvantaged students was significantly higher than national – particularly disadvantaged girls. During the pandemic, whilst data is not directly comparable, disadvantaged students continued to be disproportionately absent. </w:t>
            </w:r>
          </w:p>
        </w:tc>
      </w:tr>
      <w:tr>
        <w:tblPrEx>
          <w:tblCellMar>
            <w:top w:w="0" w:type="dxa"/>
            <w:left w:w="10" w:type="dxa"/>
            <w:bottom w:w="0" w:type="dxa"/>
            <w:right w:w="10" w:type="dxa"/>
          </w:tblCellMar>
        </w:tblPrEx>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rPr>
                <w:sz w:val="22"/>
                <w:szCs w:val="22"/>
              </w:rPr>
            </w:pPr>
            <w:r>
              <w:rPr>
                <w:b/>
                <w:bCs/>
                <w:color w:val="000000"/>
                <w:sz w:val="27"/>
                <w:szCs w:val="27"/>
              </w:rPr>
              <w:t>Literacy.</w:t>
            </w:r>
            <w:r>
              <w:rPr>
                <w:color w:val="000000"/>
                <w:sz w:val="27"/>
                <w:szCs w:val="27"/>
              </w:rPr>
              <w:t xml:space="preserve"> Disadvantaged students have lower reading ages than their more advantaged peers. This leads to significant difficulties in accessing the curriculum.</w:t>
            </w:r>
          </w:p>
        </w:tc>
      </w:tr>
      <w:tr>
        <w:tblPrEx>
          <w:tblCellMar>
            <w:top w:w="0" w:type="dxa"/>
            <w:left w:w="10" w:type="dxa"/>
            <w:bottom w:w="0" w:type="dxa"/>
            <w:right w:w="10" w:type="dxa"/>
          </w:tblCellMar>
        </w:tblPrEx>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rPr>
                <w:iCs/>
                <w:sz w:val="22"/>
              </w:rPr>
            </w:pPr>
            <w:r>
              <w:rPr>
                <w:b/>
                <w:bCs/>
                <w:color w:val="000000"/>
                <w:sz w:val="27"/>
                <w:szCs w:val="27"/>
              </w:rPr>
              <w:t>Behaviour.</w:t>
            </w:r>
            <w:r>
              <w:rPr>
                <w:color w:val="000000"/>
                <w:sz w:val="27"/>
                <w:szCs w:val="27"/>
              </w:rPr>
              <w:t xml:space="preserve"> Disadvantaged students are more often suspended from school</w:t>
            </w:r>
          </w:p>
        </w:tc>
      </w:tr>
      <w:tr>
        <w:tblPrEx>
          <w:tblCellMar>
            <w:top w:w="0" w:type="dxa"/>
            <w:left w:w="10" w:type="dxa"/>
            <w:bottom w:w="0" w:type="dxa"/>
            <w:right w:w="10" w:type="dxa"/>
          </w:tblCellMar>
        </w:tblPrEx>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bookmarkStart w:id="16" w:name="_Toc443397160"/>
            <w:r>
              <w:rPr>
                <w:sz w:val="22"/>
                <w:szCs w:val="22"/>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rPr>
                <w:iCs/>
                <w:sz w:val="22"/>
              </w:rPr>
            </w:pPr>
            <w:r>
              <w:rPr>
                <w:b/>
                <w:bCs/>
                <w:color w:val="000000"/>
                <w:sz w:val="27"/>
                <w:szCs w:val="27"/>
              </w:rPr>
              <w:t>Cultural capital</w:t>
            </w:r>
            <w:r>
              <w:rPr>
                <w:color w:val="000000"/>
                <w:sz w:val="27"/>
                <w:szCs w:val="27"/>
              </w:rPr>
              <w:t>. Disadvantaged students have less access to co-curricular activities than their more advantaged peers</w:t>
            </w:r>
          </w:p>
        </w:tc>
      </w:tr>
    </w:tbl>
    <w:p>
      <w:pPr>
        <w:pStyle w:val="3"/>
        <w:spacing w:before="600"/>
      </w:pPr>
      <w:r>
        <w:t xml:space="preserve">Intended outcomes </w:t>
      </w:r>
    </w:p>
    <w:p>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Style w:val="12"/>
        <w:tblW w:w="5000" w:type="pct"/>
        <w:tblInd w:w="0" w:type="dxa"/>
        <w:tblLayout w:type="autofit"/>
        <w:tblCellMar>
          <w:top w:w="0" w:type="dxa"/>
          <w:left w:w="10" w:type="dxa"/>
          <w:bottom w:w="0" w:type="dxa"/>
          <w:right w:w="10" w:type="dxa"/>
        </w:tblCellMar>
      </w:tblPr>
      <w:tblGrid>
        <w:gridCol w:w="4930"/>
        <w:gridCol w:w="4782"/>
      </w:tblGrid>
      <w:tr>
        <w:tblPrEx>
          <w:tblCellMar>
            <w:top w:w="0" w:type="dxa"/>
            <w:left w:w="10" w:type="dxa"/>
            <w:bottom w:w="0" w:type="dxa"/>
            <w:right w:w="10" w:type="dxa"/>
          </w:tblCellMar>
        </w:tblPrEx>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pPr>
              <w:pStyle w:val="61"/>
              <w:jc w:val="left"/>
            </w:pPr>
            <w: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pPr>
              <w:pStyle w:val="61"/>
              <w:jc w:val="left"/>
            </w:pPr>
            <w:r>
              <w:t>Success criteria</w:t>
            </w:r>
          </w:p>
        </w:tc>
      </w:tr>
      <w:tr>
        <w:tblPrEx>
          <w:tblCellMar>
            <w:top w:w="0" w:type="dxa"/>
            <w:left w:w="10" w:type="dxa"/>
            <w:bottom w:w="0" w:type="dxa"/>
            <w:right w:w="10" w:type="dxa"/>
          </w:tblCellMar>
        </w:tblPrEx>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Improved attainment among disadvantaged pupils across the curriculum at the end of KS4, particularly in EBacc subjects and with a focus on maths.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rPr>
                <w:sz w:val="22"/>
                <w:szCs w:val="22"/>
              </w:rPr>
            </w:pPr>
            <w:r>
              <w:rPr>
                <w:sz w:val="22"/>
                <w:szCs w:val="22"/>
              </w:rPr>
              <w:t xml:space="preserve">2024/25 KS4 outcomes to demonstrate that disadvantaged pupils achieve improved attainment and progress 8 scores. </w:t>
            </w:r>
          </w:p>
        </w:tc>
      </w:tr>
      <w:tr>
        <w:tblPrEx>
          <w:tblCellMar>
            <w:top w:w="0" w:type="dxa"/>
            <w:left w:w="10" w:type="dxa"/>
            <w:bottom w:w="0" w:type="dxa"/>
            <w:right w:w="10" w:type="dxa"/>
          </w:tblCellMar>
        </w:tblPrEx>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Improved reading comprehension among disadvantaged pupils across KS3.</w:t>
            </w:r>
          </w:p>
          <w:p>
            <w:pPr>
              <w:pStyle w:val="63"/>
              <w:rPr>
                <w:sz w:val="22"/>
                <w:szCs w:val="22"/>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rPr>
                <w:sz w:val="22"/>
                <w:szCs w:val="22"/>
              </w:rPr>
            </w:pPr>
            <w:r>
              <w:rPr>
                <w:sz w:val="22"/>
                <w:szCs w:val="22"/>
              </w:rPr>
              <w:t xml:space="preserve">Reading comprehension tests demonstrate an improvement in comprehension skills among disadvantaged pupils and a smaller disparity between the scores of disadvantaged pupils and their non-disadvantaged peers. Teachers should also have recognised this improvement through engagement in lessons and book scrutiny. </w:t>
            </w:r>
          </w:p>
        </w:tc>
      </w:tr>
      <w:tr>
        <w:tblPrEx>
          <w:tblCellMar>
            <w:top w:w="0" w:type="dxa"/>
            <w:left w:w="10" w:type="dxa"/>
            <w:bottom w:w="0" w:type="dxa"/>
            <w:right w:w="10" w:type="dxa"/>
          </w:tblCellMar>
        </w:tblPrEx>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To achieve and sustain improved wellbeing for all pupils, including those who are disadvantaged.</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spacing w:before="60" w:after="60" w:line="240" w:lineRule="auto"/>
              <w:ind w:left="28" w:right="57"/>
              <w:rPr>
                <w:sz w:val="22"/>
                <w:szCs w:val="22"/>
              </w:rPr>
            </w:pPr>
            <w:r>
              <w:rPr>
                <w:sz w:val="22"/>
                <w:szCs w:val="22"/>
              </w:rPr>
              <w:t>Sustained high levels of wellbeing by 2024/25 demonstrated by:</w:t>
            </w:r>
          </w:p>
          <w:p>
            <w:pPr>
              <w:numPr>
                <w:ilvl w:val="0"/>
                <w:numId w:val="12"/>
              </w:numPr>
              <w:autoSpaceDN/>
              <w:spacing w:before="60" w:after="120" w:line="240" w:lineRule="auto"/>
              <w:ind w:right="57" w:hanging="357"/>
              <w:rPr>
                <w:sz w:val="22"/>
                <w:szCs w:val="22"/>
              </w:rPr>
            </w:pPr>
            <w:r>
              <w:rPr>
                <w:sz w:val="22"/>
                <w:szCs w:val="22"/>
              </w:rPr>
              <w:t>qualitative data from student voice, student and parent surveys and teacher observations.</w:t>
            </w:r>
          </w:p>
          <w:p>
            <w:pPr>
              <w:pStyle w:val="80"/>
              <w:jc w:val="left"/>
              <w:rPr>
                <w:sz w:val="22"/>
                <w:szCs w:val="22"/>
              </w:rPr>
            </w:pPr>
            <w:r>
              <w:rPr>
                <w:sz w:val="22"/>
                <w:szCs w:val="22"/>
              </w:rPr>
              <w:t xml:space="preserve">a significant increase in participation in enrichment activities, particularly among disadvantaged pupils.    </w:t>
            </w:r>
          </w:p>
        </w:tc>
      </w:tr>
      <w:tr>
        <w:tblPrEx>
          <w:tblCellMar>
            <w:top w:w="0" w:type="dxa"/>
            <w:left w:w="10" w:type="dxa"/>
            <w:bottom w:w="0" w:type="dxa"/>
            <w:right w:w="10" w:type="dxa"/>
          </w:tblCellMar>
        </w:tblPrEx>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3"/>
              <w:rPr>
                <w:sz w:val="22"/>
                <w:szCs w:val="22"/>
              </w:rPr>
            </w:pPr>
            <w:r>
              <w:rPr>
                <w:sz w:val="22"/>
                <w:szCs w:val="22"/>
              </w:rPr>
              <w:t>To achieve and sustain improved attendance for all pupils, particularly our disadvantaged pupils.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80"/>
              <w:jc w:val="left"/>
              <w:rPr>
                <w:sz w:val="22"/>
                <w:szCs w:val="22"/>
              </w:rPr>
            </w:pPr>
          </w:p>
          <w:p>
            <w:pPr>
              <w:pStyle w:val="80"/>
              <w:jc w:val="left"/>
              <w:rPr>
                <w:sz w:val="22"/>
                <w:szCs w:val="22"/>
              </w:rPr>
            </w:pPr>
          </w:p>
        </w:tc>
      </w:tr>
    </w:tbl>
    <w:p/>
    <w:p/>
    <w:p>
      <w:pPr>
        <w:pStyle w:val="3"/>
      </w:pPr>
      <w:r>
        <w:t>Activity in this academic year</w:t>
      </w:r>
    </w:p>
    <w:p>
      <w:pPr>
        <w:spacing w:after="480"/>
      </w:pPr>
      <w:r>
        <w:t xml:space="preserve">This details how we intend to spend our pupil premium (and recovery premium) funding </w:t>
      </w:r>
      <w:r>
        <w:rPr>
          <w:b/>
          <w:bCs/>
        </w:rPr>
        <w:t>this academic year</w:t>
      </w:r>
      <w:r>
        <w:t xml:space="preserve"> to address the challenges listed above.</w:t>
      </w:r>
    </w:p>
    <w:p>
      <w:pPr>
        <w:pStyle w:val="4"/>
      </w:pPr>
      <w:r>
        <w:t>Teaching (for example, CPD, recruitment and retention)</w:t>
      </w:r>
    </w:p>
    <w:p>
      <w:r>
        <w:t>Budgeted cost: £44 547</w:t>
      </w:r>
    </w:p>
    <w:tbl>
      <w:tblPr>
        <w:tblStyle w:val="12"/>
        <w:tblW w:w="5000" w:type="pct"/>
        <w:tblInd w:w="0" w:type="dxa"/>
        <w:tblLayout w:type="autofit"/>
        <w:tblCellMar>
          <w:top w:w="0" w:type="dxa"/>
          <w:left w:w="10" w:type="dxa"/>
          <w:bottom w:w="0" w:type="dxa"/>
          <w:right w:w="10" w:type="dxa"/>
        </w:tblCellMar>
      </w:tblPr>
      <w:tblGrid>
        <w:gridCol w:w="2752"/>
        <w:gridCol w:w="4355"/>
        <w:gridCol w:w="2605"/>
      </w:tblGrid>
      <w:tr>
        <w:tblPrEx>
          <w:tblCellMar>
            <w:top w:w="0" w:type="dxa"/>
            <w:left w:w="10" w:type="dxa"/>
            <w:bottom w:w="0" w:type="dxa"/>
            <w:right w:w="10" w:type="dxa"/>
          </w:tblCellMar>
        </w:tblPrEx>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Challenge number(s) addressed</w:t>
            </w:r>
          </w:p>
        </w:tc>
      </w:tr>
      <w:tr>
        <w:tblPrEx>
          <w:tblCellMar>
            <w:top w:w="0" w:type="dxa"/>
            <w:left w:w="10" w:type="dxa"/>
            <w:bottom w:w="0" w:type="dxa"/>
            <w:right w:w="10" w:type="dxa"/>
          </w:tblCellMar>
        </w:tblPrEx>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before="0" w:beforeAutospacing="0" w:after="0" w:afterAutospacing="0"/>
            </w:pPr>
            <w:r>
              <w:rPr>
                <w:rFonts w:ascii="Arial" w:hAnsi="Arial" w:eastAsia="Arial" w:cs="Arial"/>
                <w:color w:val="0C0C0C" w:themeColor="text1" w:themeShade="FF" w:themeTint="F2"/>
                <w:sz w:val="22"/>
                <w:szCs w:val="22"/>
              </w:rPr>
              <w:t>Ensure that Key Stage 4 is generously staffed to ensure continuity of provision by specialist teachers</w:t>
            </w:r>
          </w:p>
          <w:p>
            <w:pPr>
              <w:spacing w:before="0" w:beforeAutospacing="0" w:after="0" w:afterAutospacing="0"/>
              <w:rPr>
                <w:rFonts w:ascii="Arial" w:hAnsi="Arial" w:eastAsia="Arial" w:cs="Arial"/>
                <w:i/>
                <w:iCs/>
                <w:color w:val="000000" w:themeColor="text1" w:themeShade="FF" w:themeTint="FF"/>
                <w:sz w:val="22"/>
                <w:szCs w:val="22"/>
              </w:rPr>
            </w:pPr>
            <w:r>
              <w:rPr>
                <w:rFonts w:ascii="Arial" w:hAnsi="Arial" w:eastAsia="Arial" w:cs="Arial"/>
                <w:i/>
                <w:iCs/>
                <w:color w:val="000000" w:themeColor="text1" w:themeShade="FF" w:themeTint="FF"/>
                <w:sz w:val="22"/>
                <w:szCs w:val="22"/>
              </w:rPr>
              <w:t>Additional staffing costs £41 333</w:t>
            </w:r>
          </w:p>
          <w:p>
            <w:pPr>
              <w:spacing w:before="0" w:beforeAutospacing="0" w:after="0" w:afterAutospacing="0"/>
            </w:pPr>
            <w:r>
              <w:rPr>
                <w:rFonts w:ascii="Arial" w:hAnsi="Arial" w:eastAsia="Arial" w:cs="Arial"/>
                <w:i/>
                <w:iCs/>
                <w:color w:val="0C0C0C" w:themeColor="text1" w:themeShade="FF" w:themeTint="F2"/>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before="0" w:beforeAutospacing="0" w:after="0" w:afterAutospacing="0"/>
              <w:jc w:val="left"/>
              <w:rPr>
                <w:rFonts w:ascii="Arial" w:hAnsi="Arial" w:eastAsia="Arial" w:cs="Arial"/>
                <w:color w:val="0C0C0C" w:themeColor="text1" w:themeShade="FF" w:themeTint="F2"/>
                <w:sz w:val="22"/>
                <w:szCs w:val="22"/>
              </w:rPr>
            </w:pPr>
            <w:r>
              <w:rPr>
                <w:rFonts w:ascii="Arial" w:hAnsi="Arial" w:eastAsia="Arial" w:cs="Arial"/>
                <w:color w:val="0C0C0C" w:themeColor="text1" w:themeShade="FF" w:themeTint="F2"/>
                <w:sz w:val="22"/>
                <w:szCs w:val="22"/>
              </w:rPr>
              <w:t>Specialist staff expertise is a significant contributory factor in student success. This includes over staffing in the Core subject areas to allow specialist provision in our new alternative provision, “The Bridge”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1,2,4</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Strategic Leadership of alternative provision</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Additional staffing cost £3214</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Leadership of curriculum provision within The Bridge and Reflect</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1,2,4</w:t>
            </w:r>
          </w:p>
        </w:tc>
      </w:tr>
    </w:tbl>
    <w:p/>
    <w:p>
      <w:pPr>
        <w:pStyle w:val="4"/>
      </w:pPr>
      <w:r>
        <w:t xml:space="preserve">Targeted academic support (for example, tutoring, one-to-one support, structured interventions) </w:t>
      </w:r>
    </w:p>
    <w:p>
      <w:r>
        <w:t>Budgeted cost: £ 101 964</w:t>
      </w:r>
    </w:p>
    <w:tbl>
      <w:tblPr>
        <w:tblStyle w:val="12"/>
        <w:tblW w:w="5000" w:type="pct"/>
        <w:tblInd w:w="0" w:type="dxa"/>
        <w:tblLayout w:type="autofit"/>
        <w:tblCellMar>
          <w:top w:w="0" w:type="dxa"/>
          <w:left w:w="10" w:type="dxa"/>
          <w:bottom w:w="0" w:type="dxa"/>
          <w:right w:w="10" w:type="dxa"/>
        </w:tblCellMar>
      </w:tblPr>
      <w:tblGrid>
        <w:gridCol w:w="2752"/>
        <w:gridCol w:w="4355"/>
        <w:gridCol w:w="2605"/>
      </w:tblGrid>
      <w:tr>
        <w:tblPrEx>
          <w:tblCellMar>
            <w:top w:w="0" w:type="dxa"/>
            <w:left w:w="10" w:type="dxa"/>
            <w:bottom w:w="0" w:type="dxa"/>
            <w:right w:w="10" w:type="dxa"/>
          </w:tblCellMar>
        </w:tblPrEx>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Challenge number(s) addressed</w:t>
            </w:r>
          </w:p>
        </w:tc>
      </w:tr>
      <w:tr>
        <w:tblPrEx>
          <w:tblCellMar>
            <w:top w:w="0" w:type="dxa"/>
            <w:left w:w="10" w:type="dxa"/>
            <w:bottom w:w="0" w:type="dxa"/>
            <w:right w:w="10" w:type="dxa"/>
          </w:tblCellMar>
        </w:tblPrEx>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Reading programme and phonics</w:t>
            </w:r>
          </w:p>
          <w:p>
            <w:pPr>
              <w:pStyle w:val="63"/>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(£ 15 000)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 xml:space="preserve">EEF Reading comprehension strategies.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1,3</w:t>
            </w:r>
          </w:p>
        </w:tc>
      </w:tr>
      <w:tr>
        <w:tblPrEx>
          <w:tblCellMar>
            <w:top w:w="0" w:type="dxa"/>
            <w:left w:w="10" w:type="dxa"/>
            <w:bottom w:w="0" w:type="dxa"/>
            <w:right w:w="10" w:type="dxa"/>
          </w:tblCellMar>
        </w:tblPrEx>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before="0" w:beforeAutospacing="0" w:after="0" w:afterAutospacing="0"/>
            </w:pPr>
            <w:r>
              <w:rPr>
                <w:rFonts w:ascii="Arial" w:hAnsi="Arial" w:eastAsia="Arial" w:cs="Arial"/>
                <w:color w:val="000000" w:themeColor="text1" w:themeShade="FF" w:themeTint="FF"/>
                <w:sz w:val="22"/>
                <w:szCs w:val="22"/>
              </w:rPr>
              <w:t xml:space="preserve">Strategic leadership of literacy.  </w:t>
            </w:r>
            <w:r>
              <w:rPr>
                <w:rFonts w:ascii="Arial" w:hAnsi="Arial" w:eastAsia="Arial" w:cs="Arial"/>
                <w:i/>
                <w:iCs/>
                <w:color w:val="000000" w:themeColor="text1" w:themeShade="FF" w:themeTint="FF"/>
                <w:sz w:val="22"/>
                <w:szCs w:val="22"/>
              </w:rPr>
              <w:t>(£3 169)</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before="0" w:beforeAutospacing="0" w:after="0" w:afterAutospacing="0"/>
              <w:jc w:val="left"/>
            </w:pPr>
            <w:r>
              <w:rPr>
                <w:rFonts w:ascii="Arial" w:hAnsi="Arial" w:eastAsia="Arial" w:cs="Arial"/>
                <w:color w:val="0C0C0C" w:themeColor="text1" w:themeShade="FF" w:themeTint="F2"/>
                <w:sz w:val="22"/>
                <w:szCs w:val="22"/>
              </w:rPr>
              <w:t>EEF research into impact of targeted academic support.  Requires co-ordination across the school</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1,3</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bidi w:val="0"/>
              <w:spacing w:before="0" w:beforeAutospacing="0" w:after="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TA3 (£22000) &amp; HLTA</w:t>
            </w:r>
          </w:p>
          <w:p>
            <w:pPr>
              <w:bidi w:val="0"/>
              <w:spacing w:before="0" w:beforeAutospacing="0" w:after="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(£32000)</w:t>
            </w:r>
          </w:p>
          <w:p>
            <w:pPr>
              <w:bidi w:val="0"/>
              <w:spacing w:before="0" w:beforeAutospacing="0" w:after="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Licences for IDL £5000</w:t>
            </w:r>
          </w:p>
          <w:p>
            <w:pPr>
              <w:bidi w:val="0"/>
              <w:spacing w:before="0" w:beforeAutospacing="0" w:after="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Licences for GL</w:t>
            </w:r>
          </w:p>
          <w:p>
            <w:pPr>
              <w:bidi w:val="0"/>
              <w:spacing w:before="0" w:beforeAutospacing="0" w:after="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Assessment £10000</w:t>
            </w:r>
          </w:p>
          <w:p>
            <w:pPr>
              <w:rPr>
                <w:rFonts w:ascii="Arial" w:hAnsi="Arial" w:eastAsia="Arial" w:cs="Arial"/>
                <w:color w:val="000000" w:themeColor="text1" w:themeShade="FF" w:themeTint="FF"/>
                <w:sz w:val="22"/>
                <w:szCs w:val="22"/>
              </w:rPr>
            </w:pP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Whole school approach to literacy support – identified in “Brilliant Teaching and Learning” strand of the School Improvement Plan. This is based on the EEF “Improving Literacy in Secondary Schools”</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1,3</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Tutoring</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Subject support &amp; Holiday schools</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£14 795</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EEF research into tutoring as a means of raising attainment</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1,3</w:t>
            </w:r>
          </w:p>
        </w:tc>
      </w:tr>
    </w:tbl>
    <w:p/>
    <w:p>
      <w:pPr>
        <w:pStyle w:val="4"/>
      </w:pPr>
      <w:r>
        <w:t>Wider strategies (for example, related to attendance, behaviour, wellbeing)</w:t>
      </w:r>
    </w:p>
    <w:p>
      <w:pPr>
        <w:spacing w:before="240" w:after="120"/>
      </w:pPr>
      <w:r>
        <w:t>Budgeted cost: £ 174 201</w:t>
      </w:r>
    </w:p>
    <w:tbl>
      <w:tblPr>
        <w:tblStyle w:val="12"/>
        <w:tblW w:w="5000" w:type="pct"/>
        <w:tblInd w:w="0" w:type="dxa"/>
        <w:tblLayout w:type="autofit"/>
        <w:tblCellMar>
          <w:top w:w="0" w:type="dxa"/>
          <w:left w:w="10" w:type="dxa"/>
          <w:bottom w:w="0" w:type="dxa"/>
          <w:right w:w="10" w:type="dxa"/>
        </w:tblCellMar>
      </w:tblPr>
      <w:tblGrid>
        <w:gridCol w:w="2752"/>
        <w:gridCol w:w="4355"/>
        <w:gridCol w:w="2605"/>
      </w:tblGrid>
      <w:tr>
        <w:tblPrEx>
          <w:tblCellMar>
            <w:top w:w="0" w:type="dxa"/>
            <w:left w:w="10" w:type="dxa"/>
            <w:bottom w:w="0" w:type="dxa"/>
            <w:right w:w="10" w:type="dxa"/>
          </w:tblCellMar>
        </w:tblPrEx>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Challenge number(s) addressed</w:t>
            </w:r>
          </w:p>
        </w:tc>
      </w:tr>
      <w:tr>
        <w:tblPrEx>
          <w:tblCellMar>
            <w:top w:w="0" w:type="dxa"/>
            <w:left w:w="10" w:type="dxa"/>
            <w:bottom w:w="0" w:type="dxa"/>
            <w:right w:w="10" w:type="dxa"/>
          </w:tblCellMar>
        </w:tblPrEx>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
              <w:rPr>
                <w:rFonts w:ascii="Arial" w:hAnsi="Arial" w:eastAsia="Arial" w:cs="Arial"/>
                <w:i/>
                <w:iCs/>
                <w:color w:val="0C0C0C" w:themeColor="text1" w:themeShade="FF" w:themeTint="F2"/>
                <w:sz w:val="22"/>
                <w:szCs w:val="22"/>
                <w:lang w:val="en-GB"/>
              </w:rPr>
              <w:t xml:space="preserve">Provision of professional development to support the improvement of teaching and learning </w:t>
            </w:r>
          </w:p>
          <w:p>
            <w:pPr>
              <w:spacing w:after="240" w:afterAutospacing="0" w:line="288" w:lineRule="auto"/>
            </w:pPr>
            <w:r>
              <w:rPr>
                <w:rFonts w:ascii="Arial" w:hAnsi="Arial" w:eastAsia="Arial" w:cs="Arial"/>
                <w:i/>
                <w:iCs/>
                <w:color w:val="0C0C0C" w:themeColor="text1" w:themeShade="FF" w:themeTint="F2"/>
                <w:sz w:val="22"/>
                <w:szCs w:val="22"/>
                <w:lang w:val="en-GB"/>
              </w:rPr>
              <w:t>(CPD funding £10,000)</w:t>
            </w:r>
          </w:p>
          <w:p>
            <w:pPr>
              <w:pStyle w:val="63"/>
              <w:rPr>
                <w:i/>
                <w:iCs/>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ind w:left="0"/>
              <w:jc w:val="left"/>
              <w:rPr>
                <w:sz w:val="22"/>
                <w:szCs w:val="22"/>
              </w:rPr>
            </w:pPr>
            <w:r>
              <w:rPr>
                <w:sz w:val="22"/>
                <w:szCs w:val="22"/>
              </w:rPr>
              <w:t>Improved relationships is a key strategy in improving outcomes for disadvantaged students.</w:t>
            </w:r>
          </w:p>
          <w:p>
            <w:pPr>
              <w:pStyle w:val="80"/>
              <w:ind w:left="0"/>
              <w:jc w:val="left"/>
              <w:rPr>
                <w:sz w:val="22"/>
                <w:szCs w:val="22"/>
              </w:rPr>
            </w:pPr>
            <w:r>
              <w:rPr>
                <w:sz w:val="22"/>
                <w:szCs w:val="22"/>
              </w:rPr>
              <w:t xml:space="preserve">This is a focus for the whole school with the implementations of a behaviour curriculum and a focus on positive language. </w:t>
            </w:r>
          </w:p>
          <w:p>
            <w:pPr>
              <w:pStyle w:val="80"/>
              <w:ind w:left="0"/>
              <w:jc w:val="left"/>
              <w:rPr>
                <w:sz w:val="22"/>
                <w:szCs w:val="22"/>
              </w:rPr>
            </w:pPr>
            <w:r>
              <w:rPr>
                <w:sz w:val="22"/>
                <w:szCs w:val="22"/>
              </w:rPr>
              <w:t>Professional development is central to the improvement of behaviour and relationships</w:t>
            </w:r>
          </w:p>
          <w:p>
            <w:pPr>
              <w:pStyle w:val="80"/>
              <w:ind w:left="0"/>
              <w:jc w:val="left"/>
              <w:rPr>
                <w:sz w:val="22"/>
                <w:szCs w:val="22"/>
              </w:rPr>
            </w:pPr>
          </w:p>
          <w:p>
            <w:pPr>
              <w:pStyle w:val="80"/>
              <w:ind w:left="0"/>
              <w:jc w:val="left"/>
              <w:rPr>
                <w:sz w:val="22"/>
                <w:szCs w:val="22"/>
              </w:rPr>
            </w:pPr>
            <w:r>
              <w:rPr>
                <w:sz w:val="22"/>
                <w:szCs w:val="22"/>
              </w:rPr>
              <w:t>EEF Behaviour strategies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rPr>
                <w:sz w:val="22"/>
                <w:szCs w:val="22"/>
              </w:rPr>
            </w:pPr>
            <w:r>
              <w:rPr>
                <w:sz w:val="22"/>
                <w:szCs w:val="22"/>
              </w:rPr>
              <w:t>1,2,4</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Appointment of 5 House Achievement Leaders</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(£130 000)</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after="240" w:afterAutospacing="0" w:line="288" w:lineRule="auto"/>
              <w:jc w:val="left"/>
            </w:pPr>
            <w:r>
              <w:rPr>
                <w:rFonts w:ascii="Arial" w:hAnsi="Arial" w:eastAsia="Arial" w:cs="Arial"/>
                <w:color w:val="0C0C0C" w:themeColor="text1" w:themeShade="FF" w:themeTint="F2"/>
                <w:sz w:val="22"/>
                <w:szCs w:val="22"/>
                <w:lang w:val="en-GB"/>
              </w:rPr>
              <w:t>Low level intervention to address behavioural issues before they escalate reduce the number of days of suspension for disadvantaged students.</w:t>
            </w:r>
          </w:p>
          <w:p>
            <w:pPr>
              <w:spacing w:after="240" w:afterAutospacing="0" w:line="288" w:lineRule="auto"/>
              <w:jc w:val="left"/>
              <w:rPr>
                <w:rFonts w:ascii="Arial" w:hAnsi="Arial" w:eastAsia="Arial" w:cs="Arial"/>
                <w:color w:val="0C0C0C" w:themeColor="text1" w:themeShade="FF" w:themeTint="F2"/>
                <w:sz w:val="22"/>
                <w:szCs w:val="22"/>
                <w:lang w:val="en-GB"/>
              </w:rPr>
            </w:pPr>
            <w:r>
              <w:rPr>
                <w:rFonts w:ascii="Arial" w:hAnsi="Arial" w:eastAsia="Arial" w:cs="Arial"/>
                <w:color w:val="0C0C0C" w:themeColor="text1" w:themeShade="FF" w:themeTint="F2"/>
                <w:sz w:val="22"/>
                <w:szCs w:val="22"/>
                <w:lang w:val="en-GB"/>
              </w:rPr>
              <w:t>Improved relationships and trust in school to improve attendance of most vulnerable students.</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C0C0C" w:themeColor="text1" w:themeShade="FF" w:themeTint="F2"/>
                <w:sz w:val="22"/>
                <w:szCs w:val="22"/>
              </w:rPr>
            </w:pPr>
            <w:r>
              <w:rPr>
                <w:rFonts w:ascii="Arial" w:hAnsi="Arial" w:eastAsia="Arial" w:cs="Arial"/>
                <w:color w:val="0C0C0C" w:themeColor="text1" w:themeShade="FF" w:themeTint="F2"/>
                <w:sz w:val="22"/>
                <w:szCs w:val="22"/>
              </w:rPr>
              <w:t>2,4</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before="0" w:beforeAutospacing="0" w:after="0" w:afterAutospacing="0"/>
            </w:pPr>
            <w:r>
              <w:rPr>
                <w:rFonts w:ascii="Arial" w:hAnsi="Arial" w:eastAsia="Arial" w:cs="Arial"/>
                <w:color w:val="0C0C0C" w:themeColor="text1" w:themeShade="FF" w:themeTint="F2"/>
                <w:sz w:val="22"/>
                <w:szCs w:val="22"/>
              </w:rPr>
              <w:t>Counselling support</w:t>
            </w:r>
          </w:p>
          <w:p>
            <w:pPr>
              <w:spacing w:before="0" w:beforeAutospacing="0" w:after="0" w:afterAutospacing="0"/>
            </w:pPr>
            <w:r>
              <w:rPr>
                <w:rFonts w:ascii="Arial" w:hAnsi="Arial" w:eastAsia="Arial" w:cs="Arial"/>
                <w:i/>
                <w:iCs/>
                <w:color w:val="000000" w:themeColor="text1" w:themeShade="FF" w:themeTint="FF"/>
                <w:sz w:val="22"/>
                <w:szCs w:val="22"/>
              </w:rPr>
              <w:t>(£9 000)</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before="0" w:beforeAutospacing="0" w:after="0" w:afterAutospacing="0"/>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Students benefit from one-to-one counselling to address individual personal issues and improve wellbeing and attendance. Provision in this area has been increased this year.</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2, 4</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Lead Teacher – Behaviour</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(£7847)</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Appointment of a Lead teacher for Behaviour systems. This teacher has a significantly reduced timetable and TLR to implement a new behaviour curriculum and monitor conduct across school. Offer support to students and families experiencing difficulties.</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3</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 xml:space="preserve">Lead Teacher – wider life of school </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(£7847)</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Appointment of a Lead teacher for Behaviour systems. This teacher has a significantly reduced timetable and TLR to implement a new behaviour curriculum and monitor conduct across school. Offer support to students and families experiencing difficulties.</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5</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Associate Assistant Headteacher – Attendance</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£3169</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AHT appointed to oversee and lead Attendance team with a particular focus on attendance of disadvantaged students</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2</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Associate Assistant Headteacher – CPD</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£3169</w:t>
            </w:r>
          </w:p>
          <w:p>
            <w:pPr>
              <w:rPr>
                <w:rFonts w:ascii="Arial" w:hAnsi="Arial" w:eastAsia="Arial" w:cs="Arial"/>
                <w:color w:val="000000" w:themeColor="text1" w:themeShade="FF" w:themeTint="FF"/>
                <w:sz w:val="22"/>
                <w:szCs w:val="22"/>
              </w:rPr>
            </w:pP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AHT appointed to oversee and lead CPD across the school, with a particular focus on attendance of disadvantaged students</w:t>
            </w:r>
          </w:p>
          <w:p>
            <w:pPr>
              <w:jc w:val="left"/>
              <w:rPr>
                <w:rFonts w:ascii="Arial" w:hAnsi="Arial" w:eastAsia="Arial" w:cs="Arial"/>
                <w:color w:val="000000" w:themeColor="text1" w:themeShade="FF" w:themeTint="FF"/>
                <w:sz w:val="22"/>
                <w:szCs w:val="22"/>
              </w:rPr>
            </w:pP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1</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Associate Assistant Headteacher - Data</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£3169</w:t>
            </w:r>
          </w:p>
          <w:p>
            <w:pPr>
              <w:rPr>
                <w:rFonts w:ascii="Arial" w:hAnsi="Arial" w:eastAsia="Arial" w:cs="Arial"/>
                <w:color w:val="000000" w:themeColor="text1" w:themeShade="FF" w:themeTint="FF"/>
                <w:sz w:val="22"/>
                <w:szCs w:val="22"/>
              </w:rPr>
            </w:pP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AHT appointed to create data tracking systems and analysis of student progress with a particular focus on attendance of disadvantaged students</w:t>
            </w:r>
          </w:p>
          <w:p>
            <w:pPr>
              <w:jc w:val="left"/>
              <w:rPr>
                <w:rFonts w:ascii="Arial" w:hAnsi="Arial" w:eastAsia="Arial" w:cs="Arial"/>
                <w:color w:val="000000" w:themeColor="text1" w:themeShade="FF" w:themeTint="FF"/>
                <w:sz w:val="22"/>
                <w:szCs w:val="22"/>
              </w:rPr>
            </w:pP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1</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Behaviour support</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 xml:space="preserve">TA3 </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£22 000</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Classcharts licence</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£3000</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Schoolcomms licence</w:t>
            </w:r>
          </w:p>
          <w:p>
            <w:pPr>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£5000</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Low level intervention to address behavioural issues before they escalate reduce the number of days of suspension for disadvantaged students. Software to swiftly monitor issues and to communicate with home is important. Behaviour interventions are identified in the EEF Toolkit</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4</w:t>
            </w:r>
          </w:p>
        </w:tc>
      </w:tr>
      <w:tr>
        <w:tblPrEx>
          <w:tblCellMar>
            <w:top w:w="0" w:type="dxa"/>
            <w:left w:w="10" w:type="dxa"/>
            <w:bottom w:w="0" w:type="dxa"/>
            <w:right w:w="10" w:type="dxa"/>
          </w:tblCellMar>
        </w:tblPrEx>
        <w:trPr>
          <w:trHeight w:val="300" w:hRule="atLeast"/>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bidi w:val="0"/>
              <w:spacing w:before="0" w:beforeAutospacing="0" w:after="24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Pastoral support</w:t>
            </w:r>
          </w:p>
          <w:p>
            <w:pPr>
              <w:bidi w:val="0"/>
              <w:spacing w:before="0" w:beforeAutospacing="0" w:after="24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Uniform/bus passes</w:t>
            </w:r>
          </w:p>
          <w:p>
            <w:pPr>
              <w:bidi w:val="0"/>
              <w:spacing w:before="0" w:beforeAutospacing="0" w:after="24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£32000</w:t>
            </w:r>
          </w:p>
          <w:p>
            <w:pPr>
              <w:bidi w:val="0"/>
              <w:spacing w:before="0" w:beforeAutospacing="0" w:after="24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Breakfast provision</w:t>
            </w:r>
          </w:p>
          <w:p>
            <w:pPr>
              <w:bidi w:val="0"/>
              <w:spacing w:before="0" w:beforeAutospacing="0" w:after="240" w:afterAutospacing="0" w:line="288" w:lineRule="auto"/>
              <w:ind w:left="0" w:right="0"/>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£20000</w:t>
            </w:r>
          </w:p>
        </w:tc>
        <w:tc>
          <w:tcPr>
            <w:tcW w:w="43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Financial issues mean that some students are reluctant to attend school due to inability to purchase uniform or to travel. Students are arriving in school hungry and unable to focus. Integrated work between pastoral support, attendance and family support to address areas of need</w:t>
            </w:r>
          </w:p>
        </w:tc>
        <w:tc>
          <w:tcPr>
            <w:tcW w:w="2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jc w:val="left"/>
              <w:rPr>
                <w:rFonts w:ascii="Arial" w:hAnsi="Arial" w:eastAsia="Arial" w:cs="Arial"/>
                <w:color w:val="000000" w:themeColor="text1" w:themeShade="FF" w:themeTint="FF"/>
                <w:sz w:val="22"/>
                <w:szCs w:val="22"/>
              </w:rPr>
            </w:pPr>
            <w:r>
              <w:rPr>
                <w:rFonts w:ascii="Arial" w:hAnsi="Arial" w:eastAsia="Arial" w:cs="Arial"/>
                <w:color w:val="000000" w:themeColor="text1" w:themeShade="FF" w:themeTint="FF"/>
                <w:sz w:val="22"/>
                <w:szCs w:val="22"/>
              </w:rPr>
              <w:t>1,2</w:t>
            </w:r>
          </w:p>
        </w:tc>
      </w:tr>
    </w:tbl>
    <w:p>
      <w:pPr>
        <w:spacing w:before="240" w:after="0"/>
        <w:rPr>
          <w:b/>
          <w:bCs/>
          <w:color w:val="104F75"/>
          <w:sz w:val="28"/>
          <w:szCs w:val="28"/>
        </w:rPr>
      </w:pPr>
    </w:p>
    <w:p>
      <w:pPr>
        <w:rPr>
          <w:b/>
          <w:bCs/>
          <w:color w:val="104F75"/>
          <w:sz w:val="28"/>
          <w:szCs w:val="28"/>
        </w:rPr>
      </w:pPr>
      <w:r>
        <w:rPr>
          <w:b/>
          <w:bCs/>
          <w:color w:val="104F75"/>
          <w:sz w:val="28"/>
          <w:szCs w:val="28"/>
        </w:rPr>
        <w:t>Total budgeted cost: £ 320 712</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t>Part B: Review of the previous academic year</w:t>
      </w:r>
    </w:p>
    <w:p>
      <w:pPr>
        <w:pStyle w:val="2"/>
      </w:pPr>
      <w:r>
        <w:t>Outcomes for disadvantaged pupils</w:t>
      </w:r>
    </w:p>
    <w:tbl>
      <w:tblPr>
        <w:tblStyle w:val="12"/>
        <w:tblW w:w="9493" w:type="dxa"/>
        <w:tblInd w:w="0" w:type="dxa"/>
        <w:tblLayout w:type="autofit"/>
        <w:tblCellMar>
          <w:top w:w="0" w:type="dxa"/>
          <w:left w:w="10" w:type="dxa"/>
          <w:bottom w:w="0" w:type="dxa"/>
          <w:right w:w="10" w:type="dxa"/>
        </w:tblCellMar>
      </w:tblPr>
      <w:tblGrid>
        <w:gridCol w:w="9493"/>
      </w:tblGrid>
      <w:tr>
        <w:tblPrEx>
          <w:tblCellMar>
            <w:top w:w="0" w:type="dxa"/>
            <w:left w:w="10" w:type="dxa"/>
            <w:bottom w:w="0" w:type="dxa"/>
            <w:right w:w="10" w:type="dxa"/>
          </w:tblCellMar>
        </w:tblPrEx>
        <w:trPr>
          <w:trHeight w:val="1102" w:hRule="atLeast"/>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rPr>
                <w:i/>
                <w:iCs/>
                <w:lang w:eastAsia="en-US"/>
              </w:rPr>
            </w:pPr>
          </w:p>
          <w:p>
            <w:r>
              <w:drawing>
                <wp:inline distT="0" distB="0" distL="114300" distR="114300">
                  <wp:extent cx="4462145" cy="2240280"/>
                  <wp:effectExtent l="0" t="0" r="0" b="0"/>
                  <wp:docPr id="1272844078" name="Picture 127284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44078" name="Picture 127284407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62404" cy="2240498"/>
                          </a:xfrm>
                          <a:prstGeom prst="rect">
                            <a:avLst/>
                          </a:prstGeom>
                        </pic:spPr>
                      </pic:pic>
                    </a:graphicData>
                  </a:graphic>
                </wp:inline>
              </w:drawing>
            </w:r>
          </w:p>
          <w:p/>
          <w:p>
            <w:r>
              <w:drawing>
                <wp:inline distT="0" distB="0" distL="114300" distR="114300">
                  <wp:extent cx="4485005" cy="2233295"/>
                  <wp:effectExtent l="0" t="0" r="0" b="0"/>
                  <wp:docPr id="783558567" name="Picture 78355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58567" name="Picture 78355856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85318" cy="2233315"/>
                          </a:xfrm>
                          <a:prstGeom prst="rect">
                            <a:avLst/>
                          </a:prstGeom>
                        </pic:spPr>
                      </pic:pic>
                    </a:graphicData>
                  </a:graphic>
                </wp:inline>
              </w:drawing>
            </w:r>
          </w:p>
          <w:p>
            <w:r>
              <w:drawing>
                <wp:inline distT="0" distB="0" distL="114300" distR="114300">
                  <wp:extent cx="5077460" cy="1047115"/>
                  <wp:effectExtent l="0" t="0" r="0" b="0"/>
                  <wp:docPr id="1931361391" name="Picture 193136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61391" name="Picture 193136139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77980" cy="1047333"/>
                          </a:xfrm>
                          <a:prstGeom prst="rect">
                            <a:avLst/>
                          </a:prstGeom>
                        </pic:spPr>
                      </pic:pic>
                    </a:graphicData>
                  </a:graphic>
                </wp:inline>
              </w:drawing>
            </w:r>
          </w:p>
          <w:p>
            <w:pPr>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It can be seen from the data and diagrams above, that the focus on the quality of teaching across the school has had a positive impact on outcomes for disadvantaged pupils in 2023 results.</w:t>
            </w:r>
          </w:p>
          <w:p>
            <w:pPr>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A key issue for disadvantaged students continues to be lower attendance. Moving into 23-24, therefore, the focus is on ensuring that students are in school and continuing with the focus on high quality teaching and learning.</w:t>
            </w:r>
          </w:p>
        </w:tc>
      </w:tr>
    </w:tbl>
    <w:p>
      <w:pPr>
        <w:pStyle w:val="3"/>
      </w:pPr>
      <w:r>
        <w:t>Externally provided programmes</w:t>
      </w:r>
    </w:p>
    <w:p>
      <w:pPr>
        <w:rPr>
          <w:i/>
          <w:iCs/>
        </w:rPr>
      </w:pPr>
      <w:r>
        <w:rPr>
          <w:i/>
          <w:iCs/>
        </w:rPr>
        <w:t xml:space="preserve">Please include the names of any non-DfE programmes that you used your pupil premium (or recovery premium) to fund in the previous academic year. </w:t>
      </w:r>
    </w:p>
    <w:tbl>
      <w:tblPr>
        <w:tblStyle w:val="12"/>
        <w:tblW w:w="5000" w:type="pct"/>
        <w:tblInd w:w="0" w:type="dxa"/>
        <w:tblLayout w:type="autofit"/>
        <w:tblCellMar>
          <w:top w:w="0" w:type="dxa"/>
          <w:left w:w="10" w:type="dxa"/>
          <w:bottom w:w="0" w:type="dxa"/>
          <w:right w:w="10" w:type="dxa"/>
        </w:tblCellMar>
      </w:tblPr>
      <w:tblGrid>
        <w:gridCol w:w="4930"/>
        <w:gridCol w:w="4782"/>
      </w:tblGrid>
      <w:tr>
        <w:tblPrEx>
          <w:tblCellMar>
            <w:top w:w="0" w:type="dxa"/>
            <w:left w:w="10" w:type="dxa"/>
            <w:bottom w:w="0" w:type="dxa"/>
            <w:right w:w="10" w:type="dxa"/>
          </w:tblCellMar>
        </w:tblPrEx>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pPr>
              <w:pStyle w:val="61"/>
              <w:jc w:val="left"/>
            </w:pPr>
            <w:r>
              <w:t>Provider</w:t>
            </w:r>
          </w:p>
        </w:tc>
      </w:tr>
      <w:tr>
        <w:tblPrEx>
          <w:tblCellMar>
            <w:top w:w="0" w:type="dxa"/>
            <w:left w:w="10" w:type="dxa"/>
            <w:bottom w:w="0" w:type="dxa"/>
            <w:right w:w="10" w:type="dxa"/>
          </w:tblCellMar>
        </w:tblPrEx>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pPr>
          </w:p>
        </w:tc>
      </w:tr>
      <w:tr>
        <w:tblPrEx>
          <w:tblCellMar>
            <w:top w:w="0" w:type="dxa"/>
            <w:left w:w="10" w:type="dxa"/>
            <w:bottom w:w="0" w:type="dxa"/>
            <w:right w:w="10" w:type="dxa"/>
          </w:tblCellMar>
        </w:tblPrEx>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63"/>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pStyle w:val="80"/>
              <w:jc w:val="left"/>
            </w:pPr>
          </w:p>
        </w:tc>
      </w:tr>
    </w:tbl>
    <w:p>
      <w:pPr>
        <w:pStyle w:val="3"/>
      </w:pPr>
      <w:r>
        <w:t>Service pupil premium funding (optional)</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6" w:type="dxa"/>
            <w:shd w:val="clear" w:color="auto" w:fill="D8E2E9"/>
          </w:tcPr>
          <w:p>
            <w:pPr>
              <w:spacing w:before="60" w:after="60"/>
              <w:rPr>
                <w:b/>
                <w:bCs/>
              </w:rPr>
            </w:pPr>
            <w:r>
              <w:rPr>
                <w:i/>
                <w:iCs/>
              </w:rPr>
              <w:t xml:space="preserve">For schools that receive this funding, you may wish to provide the following information: </w:t>
            </w:r>
            <w:r>
              <w:rPr>
                <w:b/>
                <w:bCs/>
                <w:color w:val="000000"/>
                <w:szCs w:val="28"/>
              </w:rPr>
              <w:t>How our service pupil premium allocation was spent last academic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6" w:type="dxa"/>
            <w:shd w:val="clear" w:color="auto" w:fill="D8E2E9"/>
          </w:tcPr>
          <w:p>
            <w:pPr>
              <w:spacing w:before="60" w:after="60"/>
              <w:rPr>
                <w:b/>
                <w:bCs/>
              </w:rPr>
            </w:pPr>
            <w:r>
              <w:rPr>
                <w:b/>
                <w:bCs/>
                <w:color w:val="000000"/>
                <w:szCs w:val="28"/>
              </w:rPr>
              <w:t>The impact of that spending on service pupil premium eligible pupils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6" w:type="dxa"/>
          </w:tcPr>
          <w:p/>
        </w:tc>
      </w:tr>
    </w:tbl>
    <w:p>
      <w:pPr>
        <w:spacing w:after="0" w:line="240" w:lineRule="auto"/>
      </w:pPr>
    </w:p>
    <w:p>
      <w:pPr>
        <w:pStyle w:val="2"/>
      </w:pPr>
      <w:r>
        <w:t>Further information (optional)</w:t>
      </w:r>
    </w:p>
    <w:tbl>
      <w:tblPr>
        <w:tblStyle w:val="12"/>
        <w:tblW w:w="9486" w:type="dxa"/>
        <w:tblInd w:w="0" w:type="dxa"/>
        <w:tblLayout w:type="autofit"/>
        <w:tblCellMar>
          <w:top w:w="0" w:type="dxa"/>
          <w:left w:w="10" w:type="dxa"/>
          <w:bottom w:w="0" w:type="dxa"/>
          <w:right w:w="10" w:type="dxa"/>
        </w:tblCellMar>
      </w:tblPr>
      <w:tblGrid>
        <w:gridCol w:w="9486"/>
      </w:tblGrid>
      <w:tr>
        <w:tblPrEx>
          <w:tblCellMar>
            <w:top w:w="0" w:type="dxa"/>
            <w:left w:w="10" w:type="dxa"/>
            <w:bottom w:w="0" w:type="dxa"/>
            <w:right w:w="10" w:type="dxa"/>
          </w:tblCellMar>
        </w:tblPrEx>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pPr>
              <w:spacing w:before="120" w:after="120"/>
              <w:rPr>
                <w:rFonts w:ascii="Arial" w:hAnsi="Arial" w:eastAsia="Arial" w:cs="Arial"/>
                <w:color w:val="000000" w:themeColor="text1" w:themeShade="FF" w:themeTint="FF"/>
                <w:sz w:val="22"/>
                <w:szCs w:val="22"/>
                <w:lang w:val="en-GB"/>
              </w:rPr>
            </w:pPr>
            <w:r>
              <w:rPr>
                <w:rFonts w:ascii="Arial" w:hAnsi="Arial" w:eastAsia="Arial" w:cs="Arial"/>
                <w:color w:val="000000" w:themeColor="text1" w:themeShade="FF" w:themeTint="FF"/>
                <w:sz w:val="22"/>
                <w:szCs w:val="22"/>
                <w:lang w:val="en-GB"/>
              </w:rPr>
              <w:t>It is our considered opinion, based on the work of Professor Becky Francis (now at the EEF), that improving teaching and learning is the key driver in improving the outcomes of our disadvantaged students. Our school improvement plan is sharply focused on that priority, and that is supported by this pupil premium strategy. As mentioned above, the strongest correlation in our results is between attendance and performance and therefore our improvement plan also prioritises attendance.</w:t>
            </w:r>
          </w:p>
        </w:tc>
      </w:tr>
      <w:bookmarkEnd w:id="14"/>
      <w:bookmarkEnd w:id="15"/>
      <w:bookmarkEnd w:id="16"/>
    </w:tbl>
    <w:p/>
    <w:sectPr>
      <w:headerReference r:id="rId5" w:type="default"/>
      <w:footerReference r:id="rId6" w:type="default"/>
      <w:pgSz w:w="11906" w:h="16838"/>
      <w:pgMar w:top="1134" w:right="1276" w:bottom="1134" w:left="1134"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arlett">
    <w:panose1 w:val="00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9761E"/>
    <w:multiLevelType w:val="multilevel"/>
    <w:tmpl w:val="1499761E"/>
    <w:lvl w:ilvl="0" w:tentative="0">
      <w:start w:val="0"/>
      <w:numFmt w:val="bullet"/>
      <w:pStyle w:val="27"/>
      <w:lvlText w:val=""/>
      <w:lvlJc w:val="left"/>
      <w:pPr>
        <w:ind w:left="720" w:hanging="360"/>
      </w:pPr>
      <w:rPr>
        <w:rFonts w:ascii="Symbol" w:hAnsi="Symbol"/>
      </w:rPr>
    </w:lvl>
    <w:lvl w:ilvl="1" w:tentative="0">
      <w:start w:val="0"/>
      <w:numFmt w:val="bullet"/>
      <w:lvlText w:val=""/>
      <w:lvlJc w:val="left"/>
      <w:pPr>
        <w:ind w:left="1440" w:hanging="360"/>
      </w:pPr>
      <w:rPr>
        <w:rFonts w:ascii="Symbol" w:hAnsi="Symbol"/>
        <w:color w:val="auto"/>
        <w:sz w:val="24"/>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
    <w:nsid w:val="212E2A8F"/>
    <w:multiLevelType w:val="multilevel"/>
    <w:tmpl w:val="212E2A8F"/>
    <w:lvl w:ilvl="0" w:tentative="0">
      <w:start w:val="1"/>
      <w:numFmt w:val="decimal"/>
      <w:pStyle w:val="97"/>
      <w:lvlText w:val="%1."/>
      <w:lvlJc w:val="left"/>
    </w:lvl>
    <w:lvl w:ilvl="1" w:tentative="0">
      <w:start w:val="1"/>
      <w:numFmt w:val="lowerLetter"/>
      <w:lvlText w:val="%2."/>
      <w:lvlJc w:val="left"/>
      <w:pPr>
        <w:ind w:left="1440" w:hanging="720"/>
      </w:pPr>
    </w:lvl>
    <w:lvl w:ilvl="2" w:tentative="0">
      <w:start w:val="1"/>
      <w:numFmt w:val="lowerRoman"/>
      <w:lvlText w:val="%3)"/>
      <w:lvlJc w:val="left"/>
      <w:pPr>
        <w:ind w:left="2160" w:hanging="720"/>
      </w:pPr>
      <w:rPr>
        <w:rFonts w:ascii="Arial" w:hAnsi="Arial"/>
        <w:color w:val="auto"/>
        <w:sz w:val="22"/>
        <w:szCs w:val="22"/>
      </w:rPr>
    </w:lvl>
    <w:lvl w:ilvl="3" w:tentative="0">
      <w:start w:val="1"/>
      <w:numFmt w:val="lowerLetter"/>
      <w:lvlText w:val="%4)"/>
      <w:lvlJc w:val="left"/>
      <w:pPr>
        <w:ind w:left="2880" w:hanging="720"/>
      </w:pPr>
    </w:lvl>
    <w:lvl w:ilvl="4" w:tentative="0">
      <w:start w:val="1"/>
      <w:numFmt w:val="decimal"/>
      <w:lvlText w:val="(%5)"/>
      <w:lvlJc w:val="left"/>
      <w:pPr>
        <w:ind w:left="3600" w:hanging="720"/>
      </w:pPr>
    </w:lvl>
    <w:lvl w:ilvl="5" w:tentative="0">
      <w:start w:val="1"/>
      <w:numFmt w:val="lowerRoman"/>
      <w:lvlText w:val="(%6)"/>
      <w:lvlJc w:val="left"/>
      <w:pPr>
        <w:ind w:left="4320" w:hanging="720"/>
      </w:pPr>
    </w:lvl>
    <w:lvl w:ilvl="6" w:tentative="0">
      <w:start w:val="1"/>
      <w:numFmt w:val="decimal"/>
      <w:lvlText w:val="%7."/>
      <w:lvlJc w:val="left"/>
      <w:pPr>
        <w:ind w:left="5040" w:hanging="720"/>
      </w:pPr>
    </w:lvl>
    <w:lvl w:ilvl="7" w:tentative="0">
      <w:start w:val="1"/>
      <w:numFmt w:val="lowerLetter"/>
      <w:lvlText w:val="%8."/>
      <w:lvlJc w:val="left"/>
      <w:pPr>
        <w:ind w:left="5760" w:hanging="720"/>
      </w:pPr>
    </w:lvl>
    <w:lvl w:ilvl="8" w:tentative="0">
      <w:start w:val="1"/>
      <w:numFmt w:val="lowerRoman"/>
      <w:lvlText w:val="%9."/>
      <w:lvlJc w:val="left"/>
      <w:pPr>
        <w:ind w:left="6480" w:hanging="720"/>
      </w:pPr>
    </w:lvl>
  </w:abstractNum>
  <w:abstractNum w:abstractNumId="2">
    <w:nsid w:val="25265E8B"/>
    <w:multiLevelType w:val="multilevel"/>
    <w:tmpl w:val="25265E8B"/>
    <w:lvl w:ilvl="0" w:tentative="0">
      <w:start w:val="1"/>
      <w:numFmt w:val="none"/>
      <w:lvlText w:val="%1"/>
      <w:lvlJc w:val="left"/>
    </w:lvl>
    <w:lvl w:ilvl="1" w:tentative="0">
      <w:start w:val="1"/>
      <w:numFmt w:val="none"/>
      <w:lvlText w:val="%2"/>
      <w:lvlJc w:val="left"/>
    </w:lvl>
    <w:lvl w:ilvl="2" w:tentative="0">
      <w:start w:val="1"/>
      <w:numFmt w:val="none"/>
      <w:lvlText w:val="%3"/>
      <w:lvlJc w:val="left"/>
    </w:lvl>
    <w:lvl w:ilvl="3" w:tentative="0">
      <w:start w:val="1"/>
      <w:numFmt w:val="none"/>
      <w:lvlText w:val="%4"/>
      <w:lvlJc w:val="left"/>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26D7422D"/>
    <w:multiLevelType w:val="multilevel"/>
    <w:tmpl w:val="26D7422D"/>
    <w:lvl w:ilvl="0" w:tentative="0">
      <w:start w:val="1"/>
      <w:numFmt w:val="decimal"/>
      <w:pStyle w:val="77"/>
      <w:lvlText w:val="%1."/>
      <w:lvlJc w:val="left"/>
    </w:lvl>
    <w:lvl w:ilvl="1" w:tentative="0">
      <w:start w:val="1"/>
      <w:numFmt w:val="decimal"/>
      <w:lvlText w:val="%1.%2."/>
      <w:lvlJc w:val="left"/>
      <w:pPr>
        <w:ind w:left="1440" w:hanging="720"/>
      </w:pPr>
    </w:lvl>
    <w:lvl w:ilvl="2" w:tentative="0">
      <w:start w:val="1"/>
      <w:numFmt w:val="decimal"/>
      <w:lvlText w:val="%1.%2.%3"/>
      <w:lvlJc w:val="left"/>
      <w:pPr>
        <w:ind w:left="2160" w:hanging="720"/>
      </w:pPr>
    </w:lvl>
    <w:lvl w:ilvl="3" w:tentative="0">
      <w:start w:val="1"/>
      <w:numFmt w:val="decimal"/>
      <w:lvlText w:val="%1.%2.%3.%4"/>
      <w:lvlJc w:val="left"/>
      <w:pPr>
        <w:ind w:left="3240" w:hanging="1080"/>
      </w:pPr>
    </w:lvl>
    <w:lvl w:ilvl="4" w:tentative="0">
      <w:start w:val="1"/>
      <w:numFmt w:val="decimal"/>
      <w:lvlText w:val="%1.%2.%3.%4.%5"/>
      <w:lvlJc w:val="left"/>
      <w:pPr>
        <w:ind w:left="3960" w:hanging="1080"/>
      </w:pPr>
    </w:lvl>
    <w:lvl w:ilvl="5" w:tentative="0">
      <w:start w:val="1"/>
      <w:numFmt w:val="decimal"/>
      <w:lvlText w:val="%1.%2.%3.%4.%5.%6"/>
      <w:lvlJc w:val="left"/>
      <w:pPr>
        <w:ind w:left="4968" w:hanging="1368"/>
      </w:pPr>
    </w:lvl>
    <w:lvl w:ilvl="6" w:tentative="0">
      <w:start w:val="1"/>
      <w:numFmt w:val="decimal"/>
      <w:lvlText w:val="%1.%2.%3.%4.%5.%6.%7"/>
      <w:lvlJc w:val="left"/>
      <w:pPr>
        <w:ind w:left="5976" w:hanging="1656"/>
      </w:pPr>
    </w:lvl>
    <w:lvl w:ilvl="7" w:tentative="0">
      <w:start w:val="1"/>
      <w:numFmt w:val="decimal"/>
      <w:lvlText w:val="%1.%2.%3.%4.%5.%6.%7.%8"/>
      <w:lvlJc w:val="left"/>
      <w:pPr>
        <w:ind w:left="6696" w:hanging="1656"/>
      </w:pPr>
    </w:lvl>
    <w:lvl w:ilvl="8" w:tentative="0">
      <w:start w:val="1"/>
      <w:numFmt w:val="decimal"/>
      <w:lvlText w:val="%1.%2.%3.%4.%5.%6.%7.%8.%9"/>
      <w:lvlJc w:val="left"/>
      <w:pPr>
        <w:ind w:left="7560" w:hanging="1800"/>
      </w:pPr>
    </w:lvl>
  </w:abstractNum>
  <w:abstractNum w:abstractNumId="4">
    <w:nsid w:val="2F3F4978"/>
    <w:multiLevelType w:val="multilevel"/>
    <w:tmpl w:val="2F3F4978"/>
    <w:lvl w:ilvl="0" w:tentative="0">
      <w:start w:val="0"/>
      <w:numFmt w:val="bullet"/>
      <w:pStyle w:val="31"/>
      <w:lvlText w:val=""/>
      <w:lvlJc w:val="left"/>
      <w:pPr>
        <w:ind w:left="1209" w:hanging="360"/>
      </w:pPr>
      <w:rPr>
        <w:rFonts w:ascii="Symbol" w:hAnsi="Symbol"/>
      </w:rPr>
    </w:lvl>
    <w:lvl w:ilvl="1" w:tentative="0">
      <w:start w:val="1"/>
      <w:numFmt w:val="none"/>
      <w:lvlText w:val="%2"/>
      <w:lvlJc w:val="left"/>
    </w:lvl>
    <w:lvl w:ilvl="2" w:tentative="0">
      <w:start w:val="1"/>
      <w:numFmt w:val="none"/>
      <w:lvlText w:val="%3"/>
      <w:lvlJc w:val="left"/>
    </w:lvl>
    <w:lvl w:ilvl="3" w:tentative="0">
      <w:start w:val="1"/>
      <w:numFmt w:val="none"/>
      <w:lvlText w:val="%4"/>
      <w:lvlJc w:val="left"/>
    </w:lvl>
    <w:lvl w:ilvl="4" w:tentative="0">
      <w:start w:val="1"/>
      <w:numFmt w:val="none"/>
      <w:lvlText w:val="%5"/>
      <w:lvlJc w:val="left"/>
    </w:lvl>
    <w:lvl w:ilvl="5" w:tentative="0">
      <w:start w:val="1"/>
      <w:numFmt w:val="none"/>
      <w:lvlText w:val="%6"/>
      <w:lvlJc w:val="left"/>
    </w:lvl>
    <w:lvl w:ilvl="6" w:tentative="0">
      <w:start w:val="1"/>
      <w:numFmt w:val="none"/>
      <w:lvlText w:val="%7"/>
      <w:lvlJc w:val="left"/>
    </w:lvl>
    <w:lvl w:ilvl="7" w:tentative="0">
      <w:start w:val="1"/>
      <w:numFmt w:val="none"/>
      <w:lvlText w:val="%8"/>
      <w:lvlJc w:val="left"/>
    </w:lvl>
    <w:lvl w:ilvl="8" w:tentative="0">
      <w:start w:val="1"/>
      <w:numFmt w:val="none"/>
      <w:lvlText w:val="%9"/>
      <w:lvlJc w:val="left"/>
    </w:lvl>
  </w:abstractNum>
  <w:abstractNum w:abstractNumId="5">
    <w:nsid w:val="3FE9198B"/>
    <w:multiLevelType w:val="multilevel"/>
    <w:tmpl w:val="3FE9198B"/>
    <w:lvl w:ilvl="0" w:tentative="0">
      <w:start w:val="0"/>
      <w:numFmt w:val="bullet"/>
      <w:pStyle w:val="29"/>
      <w:lvlText w:val=""/>
      <w:lvlJc w:val="left"/>
      <w:pPr>
        <w:ind w:left="643" w:hanging="360"/>
      </w:pPr>
      <w:rPr>
        <w:rFonts w:ascii="Symbol" w:hAnsi="Symbol"/>
      </w:rPr>
    </w:lvl>
    <w:lvl w:ilvl="1" w:tentative="0">
      <w:start w:val="1"/>
      <w:numFmt w:val="none"/>
      <w:lvlText w:val="%2"/>
      <w:lvlJc w:val="left"/>
    </w:lvl>
    <w:lvl w:ilvl="2" w:tentative="0">
      <w:start w:val="1"/>
      <w:numFmt w:val="none"/>
      <w:lvlText w:val="%3"/>
      <w:lvlJc w:val="left"/>
    </w:lvl>
    <w:lvl w:ilvl="3" w:tentative="0">
      <w:start w:val="1"/>
      <w:numFmt w:val="none"/>
      <w:lvlText w:val="%4"/>
      <w:lvlJc w:val="left"/>
    </w:lvl>
    <w:lvl w:ilvl="4" w:tentative="0">
      <w:start w:val="1"/>
      <w:numFmt w:val="none"/>
      <w:lvlText w:val="%5"/>
      <w:lvlJc w:val="left"/>
    </w:lvl>
    <w:lvl w:ilvl="5" w:tentative="0">
      <w:start w:val="1"/>
      <w:numFmt w:val="none"/>
      <w:lvlText w:val="%6"/>
      <w:lvlJc w:val="left"/>
    </w:lvl>
    <w:lvl w:ilvl="6" w:tentative="0">
      <w:start w:val="1"/>
      <w:numFmt w:val="none"/>
      <w:lvlText w:val="%7"/>
      <w:lvlJc w:val="left"/>
    </w:lvl>
    <w:lvl w:ilvl="7" w:tentative="0">
      <w:start w:val="1"/>
      <w:numFmt w:val="none"/>
      <w:lvlText w:val="%8"/>
      <w:lvlJc w:val="left"/>
    </w:lvl>
    <w:lvl w:ilvl="8" w:tentative="0">
      <w:start w:val="1"/>
      <w:numFmt w:val="none"/>
      <w:lvlText w:val="%9"/>
      <w:lvlJc w:val="left"/>
    </w:lvl>
  </w:abstractNum>
  <w:abstractNum w:abstractNumId="6">
    <w:nsid w:val="68F37F9D"/>
    <w:multiLevelType w:val="multilevel"/>
    <w:tmpl w:val="68F37F9D"/>
    <w:lvl w:ilvl="0" w:tentative="0">
      <w:start w:val="0"/>
      <w:numFmt w:val="bullet"/>
      <w:pStyle w:val="30"/>
      <w:lvlText w:val=""/>
      <w:lvlJc w:val="left"/>
      <w:pPr>
        <w:ind w:left="926" w:hanging="360"/>
      </w:pPr>
      <w:rPr>
        <w:rFonts w:ascii="Symbol" w:hAnsi="Symbol"/>
      </w:rPr>
    </w:lvl>
    <w:lvl w:ilvl="1" w:tentative="0">
      <w:start w:val="1"/>
      <w:numFmt w:val="none"/>
      <w:lvlText w:val="%2"/>
      <w:lvlJc w:val="left"/>
    </w:lvl>
    <w:lvl w:ilvl="2" w:tentative="0">
      <w:start w:val="1"/>
      <w:numFmt w:val="none"/>
      <w:lvlText w:val="%3"/>
      <w:lvlJc w:val="left"/>
    </w:lvl>
    <w:lvl w:ilvl="3" w:tentative="0">
      <w:start w:val="1"/>
      <w:numFmt w:val="none"/>
      <w:lvlText w:val="%4"/>
      <w:lvlJc w:val="left"/>
    </w:lvl>
    <w:lvl w:ilvl="4" w:tentative="0">
      <w:start w:val="1"/>
      <w:numFmt w:val="none"/>
      <w:lvlText w:val="%5"/>
      <w:lvlJc w:val="left"/>
    </w:lvl>
    <w:lvl w:ilvl="5" w:tentative="0">
      <w:start w:val="1"/>
      <w:numFmt w:val="none"/>
      <w:lvlText w:val="%6"/>
      <w:lvlJc w:val="left"/>
    </w:lvl>
    <w:lvl w:ilvl="6" w:tentative="0">
      <w:start w:val="1"/>
      <w:numFmt w:val="none"/>
      <w:lvlText w:val="%7"/>
      <w:lvlJc w:val="left"/>
    </w:lvl>
    <w:lvl w:ilvl="7" w:tentative="0">
      <w:start w:val="1"/>
      <w:numFmt w:val="none"/>
      <w:lvlText w:val="%8"/>
      <w:lvlJc w:val="left"/>
    </w:lvl>
    <w:lvl w:ilvl="8" w:tentative="0">
      <w:start w:val="1"/>
      <w:numFmt w:val="none"/>
      <w:lvlText w:val="%9"/>
      <w:lvlJc w:val="left"/>
    </w:lvl>
  </w:abstractNum>
  <w:abstractNum w:abstractNumId="7">
    <w:nsid w:val="6BE87082"/>
    <w:multiLevelType w:val="multilevel"/>
    <w:tmpl w:val="6BE87082"/>
    <w:lvl w:ilvl="0" w:tentative="0">
      <w:start w:val="0"/>
      <w:numFmt w:val="bullet"/>
      <w:pStyle w:val="92"/>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rPr>
    </w:lvl>
    <w:lvl w:ilvl="2" w:tentative="0">
      <w:start w:val="0"/>
      <w:numFmt w:val="bullet"/>
      <w:lvlText w:val=""/>
      <w:lvlJc w:val="left"/>
      <w:pPr>
        <w:ind w:left="2160" w:hanging="360"/>
      </w:pPr>
      <w:rPr>
        <w:rFonts w:ascii="Marlett" w:hAnsi="Marlett"/>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rPr>
    </w:lvl>
    <w:lvl w:ilvl="5" w:tentative="0">
      <w:start w:val="0"/>
      <w:numFmt w:val="bullet"/>
      <w:lvlText w:val=""/>
      <w:lvlJc w:val="left"/>
      <w:pPr>
        <w:ind w:left="4320" w:hanging="360"/>
      </w:pPr>
      <w:rPr>
        <w:rFonts w:ascii="Marlett" w:hAnsi="Marlett"/>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rPr>
    </w:lvl>
    <w:lvl w:ilvl="8" w:tentative="0">
      <w:start w:val="0"/>
      <w:numFmt w:val="bullet"/>
      <w:lvlText w:val=""/>
      <w:lvlJc w:val="left"/>
      <w:pPr>
        <w:ind w:left="6480" w:hanging="360"/>
      </w:pPr>
      <w:rPr>
        <w:rFonts w:ascii="Marlett" w:hAnsi="Marlett"/>
      </w:rPr>
    </w:lvl>
  </w:abstractNum>
  <w:abstractNum w:abstractNumId="8">
    <w:nsid w:val="6D3426CA"/>
    <w:multiLevelType w:val="multilevel"/>
    <w:tmpl w:val="6D3426CA"/>
    <w:lvl w:ilvl="0" w:tentative="0">
      <w:start w:val="1"/>
      <w:numFmt w:val="bullet"/>
      <w:lvlText w:val=""/>
      <w:lvlJc w:val="left"/>
      <w:pPr>
        <w:ind w:left="414" w:hanging="360"/>
      </w:pPr>
      <w:rPr>
        <w:rFonts w:hint="default" w:ascii="Symbol" w:hAnsi="Symbol"/>
      </w:rPr>
    </w:lvl>
    <w:lvl w:ilvl="1" w:tentative="0">
      <w:start w:val="1"/>
      <w:numFmt w:val="bullet"/>
      <w:lvlText w:val="o"/>
      <w:lvlJc w:val="left"/>
      <w:pPr>
        <w:ind w:left="1134" w:hanging="360"/>
      </w:pPr>
      <w:rPr>
        <w:rFonts w:hint="default" w:ascii="Courier New" w:hAnsi="Courier New" w:cs="Courier New"/>
      </w:rPr>
    </w:lvl>
    <w:lvl w:ilvl="2" w:tentative="0">
      <w:start w:val="1"/>
      <w:numFmt w:val="bullet"/>
      <w:lvlText w:val=""/>
      <w:lvlJc w:val="left"/>
      <w:pPr>
        <w:ind w:left="1854" w:hanging="360"/>
      </w:pPr>
      <w:rPr>
        <w:rFonts w:hint="default" w:ascii="Wingdings" w:hAnsi="Wingdings"/>
      </w:rPr>
    </w:lvl>
    <w:lvl w:ilvl="3" w:tentative="0">
      <w:start w:val="1"/>
      <w:numFmt w:val="bullet"/>
      <w:lvlText w:val=""/>
      <w:lvlJc w:val="left"/>
      <w:pPr>
        <w:ind w:left="2574" w:hanging="360"/>
      </w:pPr>
      <w:rPr>
        <w:rFonts w:hint="default" w:ascii="Symbol" w:hAnsi="Symbol"/>
      </w:rPr>
    </w:lvl>
    <w:lvl w:ilvl="4" w:tentative="0">
      <w:start w:val="1"/>
      <w:numFmt w:val="bullet"/>
      <w:lvlText w:val="o"/>
      <w:lvlJc w:val="left"/>
      <w:pPr>
        <w:ind w:left="3294" w:hanging="360"/>
      </w:pPr>
      <w:rPr>
        <w:rFonts w:hint="default" w:ascii="Courier New" w:hAnsi="Courier New" w:cs="Courier New"/>
      </w:rPr>
    </w:lvl>
    <w:lvl w:ilvl="5" w:tentative="0">
      <w:start w:val="1"/>
      <w:numFmt w:val="bullet"/>
      <w:lvlText w:val=""/>
      <w:lvlJc w:val="left"/>
      <w:pPr>
        <w:ind w:left="4014" w:hanging="360"/>
      </w:pPr>
      <w:rPr>
        <w:rFonts w:hint="default" w:ascii="Wingdings" w:hAnsi="Wingdings"/>
      </w:rPr>
    </w:lvl>
    <w:lvl w:ilvl="6" w:tentative="0">
      <w:start w:val="1"/>
      <w:numFmt w:val="bullet"/>
      <w:lvlText w:val=""/>
      <w:lvlJc w:val="left"/>
      <w:pPr>
        <w:ind w:left="4734" w:hanging="360"/>
      </w:pPr>
      <w:rPr>
        <w:rFonts w:hint="default" w:ascii="Symbol" w:hAnsi="Symbol"/>
      </w:rPr>
    </w:lvl>
    <w:lvl w:ilvl="7" w:tentative="0">
      <w:start w:val="1"/>
      <w:numFmt w:val="bullet"/>
      <w:lvlText w:val="o"/>
      <w:lvlJc w:val="left"/>
      <w:pPr>
        <w:ind w:left="5454" w:hanging="360"/>
      </w:pPr>
      <w:rPr>
        <w:rFonts w:hint="default" w:ascii="Courier New" w:hAnsi="Courier New" w:cs="Courier New"/>
      </w:rPr>
    </w:lvl>
    <w:lvl w:ilvl="8" w:tentative="0">
      <w:start w:val="1"/>
      <w:numFmt w:val="bullet"/>
      <w:lvlText w:val=""/>
      <w:lvlJc w:val="left"/>
      <w:pPr>
        <w:ind w:left="6174" w:hanging="360"/>
      </w:pPr>
      <w:rPr>
        <w:rFonts w:hint="default" w:ascii="Wingdings" w:hAnsi="Wingdings"/>
      </w:rPr>
    </w:lvl>
  </w:abstractNum>
  <w:abstractNum w:abstractNumId="9">
    <w:nsid w:val="719A5F31"/>
    <w:multiLevelType w:val="multilevel"/>
    <w:tmpl w:val="719A5F31"/>
    <w:lvl w:ilvl="0" w:tentative="0">
      <w:start w:val="1"/>
      <w:numFmt w:val="decimal"/>
      <w:pStyle w:val="90"/>
      <w:lvlText w:val="%1."/>
      <w:lvlJc w:val="left"/>
    </w:lvl>
    <w:lvl w:ilvl="1" w:tentative="0">
      <w:start w:val="1"/>
      <w:numFmt w:val="lowerLetter"/>
      <w:lvlText w:val="%2."/>
      <w:lvlJc w:val="left"/>
      <w:pPr>
        <w:ind w:left="1440" w:hanging="720"/>
      </w:pPr>
    </w:lvl>
    <w:lvl w:ilvl="2" w:tentative="0">
      <w:start w:val="1"/>
      <w:numFmt w:val="lowerRoman"/>
      <w:lvlText w:val="%3)"/>
      <w:lvlJc w:val="left"/>
      <w:pPr>
        <w:ind w:left="2160" w:hanging="720"/>
      </w:pPr>
    </w:lvl>
    <w:lvl w:ilvl="3" w:tentative="0">
      <w:start w:val="1"/>
      <w:numFmt w:val="lowerLetter"/>
      <w:lvlText w:val="%4)"/>
      <w:lvlJc w:val="left"/>
      <w:pPr>
        <w:ind w:left="2880" w:hanging="720"/>
      </w:pPr>
    </w:lvl>
    <w:lvl w:ilvl="4" w:tentative="0">
      <w:start w:val="1"/>
      <w:numFmt w:val="decimal"/>
      <w:lvlText w:val="(%5)"/>
      <w:lvlJc w:val="left"/>
      <w:pPr>
        <w:ind w:left="3600" w:hanging="720"/>
      </w:pPr>
    </w:lvl>
    <w:lvl w:ilvl="5" w:tentative="0">
      <w:start w:val="1"/>
      <w:numFmt w:val="lowerRoman"/>
      <w:lvlText w:val="(%6)"/>
      <w:lvlJc w:val="left"/>
      <w:pPr>
        <w:ind w:left="4320" w:hanging="720"/>
      </w:pPr>
    </w:lvl>
    <w:lvl w:ilvl="6" w:tentative="0">
      <w:start w:val="1"/>
      <w:numFmt w:val="decimal"/>
      <w:lvlText w:val="%7."/>
      <w:lvlJc w:val="left"/>
      <w:pPr>
        <w:ind w:left="5040" w:hanging="720"/>
      </w:pPr>
    </w:lvl>
    <w:lvl w:ilvl="7" w:tentative="0">
      <w:start w:val="1"/>
      <w:numFmt w:val="lowerLetter"/>
      <w:lvlText w:val="%8."/>
      <w:lvlJc w:val="left"/>
      <w:pPr>
        <w:ind w:left="5760" w:hanging="720"/>
      </w:pPr>
    </w:lvl>
    <w:lvl w:ilvl="8" w:tentative="0">
      <w:start w:val="1"/>
      <w:numFmt w:val="lowerRoman"/>
      <w:lvlText w:val="%9."/>
      <w:lvlJc w:val="left"/>
      <w:pPr>
        <w:ind w:left="6480" w:hanging="720"/>
      </w:pPr>
    </w:lvl>
  </w:abstractNum>
  <w:abstractNum w:abstractNumId="10">
    <w:nsid w:val="71A22097"/>
    <w:multiLevelType w:val="multilevel"/>
    <w:tmpl w:val="71A22097"/>
    <w:lvl w:ilvl="0" w:tentative="0">
      <w:start w:val="0"/>
      <w:numFmt w:val="bullet"/>
      <w:pStyle w:val="105"/>
      <w:lvlText w:val=""/>
      <w:lvlJc w:val="left"/>
      <w:pPr>
        <w:ind w:left="1080" w:hanging="360"/>
      </w:pPr>
      <w:rPr>
        <w:rFonts w:ascii="Symbol" w:hAnsi="Symbol"/>
      </w:rPr>
    </w:lvl>
    <w:lvl w:ilvl="1" w:tentative="0">
      <w:start w:val="0"/>
      <w:numFmt w:val="bullet"/>
      <w:lvlText w:val="o"/>
      <w:lvlJc w:val="left"/>
      <w:pPr>
        <w:ind w:left="1800" w:hanging="360"/>
      </w:pPr>
      <w:rPr>
        <w:rFonts w:ascii="Courier New" w:hAnsi="Courier New" w:cs="Courier New"/>
      </w:rPr>
    </w:lvl>
    <w:lvl w:ilvl="2" w:tentative="0">
      <w:start w:val="0"/>
      <w:numFmt w:val="bullet"/>
      <w:lvlText w:val=""/>
      <w:lvlJc w:val="left"/>
      <w:pPr>
        <w:ind w:left="2520" w:hanging="360"/>
      </w:pPr>
      <w:rPr>
        <w:rFonts w:ascii="Wingdings" w:hAnsi="Wingdings"/>
      </w:rPr>
    </w:lvl>
    <w:lvl w:ilvl="3" w:tentative="0">
      <w:start w:val="0"/>
      <w:numFmt w:val="bullet"/>
      <w:lvlText w:val=""/>
      <w:lvlJc w:val="left"/>
      <w:pPr>
        <w:ind w:left="3240" w:hanging="360"/>
      </w:pPr>
      <w:rPr>
        <w:rFonts w:ascii="Symbol" w:hAnsi="Symbol"/>
      </w:rPr>
    </w:lvl>
    <w:lvl w:ilvl="4" w:tentative="0">
      <w:start w:val="0"/>
      <w:numFmt w:val="bullet"/>
      <w:lvlText w:val="o"/>
      <w:lvlJc w:val="left"/>
      <w:pPr>
        <w:ind w:left="3960" w:hanging="360"/>
      </w:pPr>
      <w:rPr>
        <w:rFonts w:ascii="Courier New" w:hAnsi="Courier New" w:cs="Courier New"/>
      </w:rPr>
    </w:lvl>
    <w:lvl w:ilvl="5" w:tentative="0">
      <w:start w:val="0"/>
      <w:numFmt w:val="bullet"/>
      <w:lvlText w:val=""/>
      <w:lvlJc w:val="left"/>
      <w:pPr>
        <w:ind w:left="4680" w:hanging="360"/>
      </w:pPr>
      <w:rPr>
        <w:rFonts w:ascii="Wingdings" w:hAnsi="Wingdings"/>
      </w:rPr>
    </w:lvl>
    <w:lvl w:ilvl="6" w:tentative="0">
      <w:start w:val="0"/>
      <w:numFmt w:val="bullet"/>
      <w:lvlText w:val=""/>
      <w:lvlJc w:val="left"/>
      <w:pPr>
        <w:ind w:left="5400" w:hanging="360"/>
      </w:pPr>
      <w:rPr>
        <w:rFonts w:ascii="Symbol" w:hAnsi="Symbol"/>
      </w:rPr>
    </w:lvl>
    <w:lvl w:ilvl="7" w:tentative="0">
      <w:start w:val="0"/>
      <w:numFmt w:val="bullet"/>
      <w:lvlText w:val="o"/>
      <w:lvlJc w:val="left"/>
      <w:pPr>
        <w:ind w:left="6120" w:hanging="360"/>
      </w:pPr>
      <w:rPr>
        <w:rFonts w:ascii="Courier New" w:hAnsi="Courier New" w:cs="Courier New"/>
      </w:rPr>
    </w:lvl>
    <w:lvl w:ilvl="8" w:tentative="0">
      <w:start w:val="0"/>
      <w:numFmt w:val="bullet"/>
      <w:lvlText w:val=""/>
      <w:lvlJc w:val="left"/>
      <w:pPr>
        <w:ind w:left="6840" w:hanging="360"/>
      </w:pPr>
      <w:rPr>
        <w:rFonts w:ascii="Wingdings" w:hAnsi="Wingdings"/>
      </w:rPr>
    </w:lvl>
  </w:abstractNum>
  <w:abstractNum w:abstractNumId="11">
    <w:nsid w:val="75CE2048"/>
    <w:multiLevelType w:val="multilevel"/>
    <w:tmpl w:val="75CE2048"/>
    <w:lvl w:ilvl="0" w:tentative="0">
      <w:start w:val="0"/>
      <w:numFmt w:val="bullet"/>
      <w:pStyle w:val="53"/>
      <w:lvlText w:val=""/>
      <w:lvlJc w:val="left"/>
      <w:pPr>
        <w:ind w:left="720" w:hanging="360"/>
      </w:pPr>
      <w:rPr>
        <w:rFonts w:ascii="Symbol" w:hAnsi="Symbol"/>
      </w:rPr>
    </w:lvl>
    <w:lvl w:ilvl="1" w:tentative="0">
      <w:start w:val="0"/>
      <w:numFmt w:val="bullet"/>
      <w:lvlText w:val=""/>
      <w:lvlJc w:val="left"/>
      <w:pPr>
        <w:ind w:left="1440" w:hanging="360"/>
      </w:pPr>
      <w:rPr>
        <w:rFonts w:ascii="Symbol" w:hAnsi="Symbol"/>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num w:numId="1">
    <w:abstractNumId w:val="2"/>
  </w:num>
  <w:num w:numId="2">
    <w:abstractNumId w:val="0"/>
  </w:num>
  <w:num w:numId="3">
    <w:abstractNumId w:val="5"/>
  </w:num>
  <w:num w:numId="4">
    <w:abstractNumId w:val="6"/>
  </w:num>
  <w:num w:numId="5">
    <w:abstractNumId w:val="4"/>
  </w:num>
  <w:num w:numId="6">
    <w:abstractNumId w:val="11"/>
  </w:num>
  <w:num w:numId="7">
    <w:abstractNumId w:val="3"/>
  </w:num>
  <w:num w:numId="8">
    <w:abstractNumId w:val="9"/>
  </w:num>
  <w:num w:numId="9">
    <w:abstractNumId w:val="7"/>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3A45"/>
    <w:rsid w:val="00023729"/>
    <w:rsid w:val="000243B4"/>
    <w:rsid w:val="00043235"/>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363C9"/>
    <w:rsid w:val="002523E3"/>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4491"/>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45E0D"/>
    <w:rsid w:val="0075337B"/>
    <w:rsid w:val="00755CD4"/>
    <w:rsid w:val="00757F96"/>
    <w:rsid w:val="00785285"/>
    <w:rsid w:val="0078529D"/>
    <w:rsid w:val="00787DC1"/>
    <w:rsid w:val="00794070"/>
    <w:rsid w:val="007A713B"/>
    <w:rsid w:val="007B64E5"/>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20EC7"/>
    <w:rsid w:val="00A30FF4"/>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4F81"/>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D710B"/>
    <w:rsid w:val="00FE3136"/>
    <w:rsid w:val="00FE50A3"/>
    <w:rsid w:val="00FF369D"/>
    <w:rsid w:val="00FF6FB0"/>
    <w:rsid w:val="02231F40"/>
    <w:rsid w:val="03CEDD10"/>
    <w:rsid w:val="041D43D9"/>
    <w:rsid w:val="056919C4"/>
    <w:rsid w:val="05B6D577"/>
    <w:rsid w:val="05E06A53"/>
    <w:rsid w:val="067E6689"/>
    <w:rsid w:val="069AA0E3"/>
    <w:rsid w:val="077CE878"/>
    <w:rsid w:val="0786331E"/>
    <w:rsid w:val="07896E63"/>
    <w:rsid w:val="07FFD3D3"/>
    <w:rsid w:val="08530CC3"/>
    <w:rsid w:val="08A0BA86"/>
    <w:rsid w:val="0A3C189F"/>
    <w:rsid w:val="0AA72B48"/>
    <w:rsid w:val="0AB72FDE"/>
    <w:rsid w:val="0B240EAF"/>
    <w:rsid w:val="0B46A632"/>
    <w:rsid w:val="0C42FED7"/>
    <w:rsid w:val="0C7CD775"/>
    <w:rsid w:val="0CF8E29E"/>
    <w:rsid w:val="0DDECF38"/>
    <w:rsid w:val="0E18A7D6"/>
    <w:rsid w:val="0E64DAE9"/>
    <w:rsid w:val="0E94B2FF"/>
    <w:rsid w:val="11011363"/>
    <w:rsid w:val="11267162"/>
    <w:rsid w:val="11504898"/>
    <w:rsid w:val="11941097"/>
    <w:rsid w:val="13173609"/>
    <w:rsid w:val="144E10BC"/>
    <w:rsid w:val="145E1224"/>
    <w:rsid w:val="16DEB889"/>
    <w:rsid w:val="16F666CB"/>
    <w:rsid w:val="1804E5B2"/>
    <w:rsid w:val="190B3CCC"/>
    <w:rsid w:val="192DF793"/>
    <w:rsid w:val="1A172959"/>
    <w:rsid w:val="1A9C2522"/>
    <w:rsid w:val="1BAEA675"/>
    <w:rsid w:val="1BD35E77"/>
    <w:rsid w:val="1C01BDBA"/>
    <w:rsid w:val="1CBF4D92"/>
    <w:rsid w:val="1D6FD573"/>
    <w:rsid w:val="209487BE"/>
    <w:rsid w:val="20BBADBE"/>
    <w:rsid w:val="224106F8"/>
    <w:rsid w:val="22616E90"/>
    <w:rsid w:val="2296D177"/>
    <w:rsid w:val="22A6D859"/>
    <w:rsid w:val="241F17A8"/>
    <w:rsid w:val="2497129E"/>
    <w:rsid w:val="254ED084"/>
    <w:rsid w:val="25903524"/>
    <w:rsid w:val="265DCC6D"/>
    <w:rsid w:val="266610BE"/>
    <w:rsid w:val="2687C85F"/>
    <w:rsid w:val="27A3C2CE"/>
    <w:rsid w:val="2801E11F"/>
    <w:rsid w:val="2860AB8E"/>
    <w:rsid w:val="28841448"/>
    <w:rsid w:val="299DB180"/>
    <w:rsid w:val="2AE9A606"/>
    <w:rsid w:val="2AF2FFB3"/>
    <w:rsid w:val="2B42D098"/>
    <w:rsid w:val="2B4DC214"/>
    <w:rsid w:val="2BBACDD6"/>
    <w:rsid w:val="2BEA19DF"/>
    <w:rsid w:val="2BF43399"/>
    <w:rsid w:val="2C8054D8"/>
    <w:rsid w:val="2CBAAEF9"/>
    <w:rsid w:val="2D766F44"/>
    <w:rsid w:val="2EA9816B"/>
    <w:rsid w:val="2EF5B2CA"/>
    <w:rsid w:val="2FFB967E"/>
    <w:rsid w:val="30BA1529"/>
    <w:rsid w:val="312FA750"/>
    <w:rsid w:val="3153C5FB"/>
    <w:rsid w:val="31AD15F9"/>
    <w:rsid w:val="31CC4DD9"/>
    <w:rsid w:val="31CF8F1F"/>
    <w:rsid w:val="31E8D808"/>
    <w:rsid w:val="335F2F07"/>
    <w:rsid w:val="36995E60"/>
    <w:rsid w:val="3708B235"/>
    <w:rsid w:val="380BAE89"/>
    <w:rsid w:val="38E05D0F"/>
    <w:rsid w:val="39772FA6"/>
    <w:rsid w:val="3978003D"/>
    <w:rsid w:val="39901944"/>
    <w:rsid w:val="39AE6667"/>
    <w:rsid w:val="39BF1373"/>
    <w:rsid w:val="39F22FF6"/>
    <w:rsid w:val="3A3F1ACF"/>
    <w:rsid w:val="3AAC6A7C"/>
    <w:rsid w:val="3BDC2358"/>
    <w:rsid w:val="3BE13FA2"/>
    <w:rsid w:val="3C9678A2"/>
    <w:rsid w:val="3CE60729"/>
    <w:rsid w:val="3D2DD860"/>
    <w:rsid w:val="3D77F3B9"/>
    <w:rsid w:val="3D9B605F"/>
    <w:rsid w:val="3DC610A2"/>
    <w:rsid w:val="3E46F2AA"/>
    <w:rsid w:val="3EA4202B"/>
    <w:rsid w:val="3EDD5816"/>
    <w:rsid w:val="40AD377D"/>
    <w:rsid w:val="4178BA04"/>
    <w:rsid w:val="418407A1"/>
    <w:rsid w:val="4244845B"/>
    <w:rsid w:val="425B0F5B"/>
    <w:rsid w:val="42800AA4"/>
    <w:rsid w:val="431BB4EE"/>
    <w:rsid w:val="43E054BC"/>
    <w:rsid w:val="44355226"/>
    <w:rsid w:val="44606287"/>
    <w:rsid w:val="44AFE81A"/>
    <w:rsid w:val="4583059E"/>
    <w:rsid w:val="4695DADC"/>
    <w:rsid w:val="473555C6"/>
    <w:rsid w:val="47C101CF"/>
    <w:rsid w:val="48279276"/>
    <w:rsid w:val="48BAA660"/>
    <w:rsid w:val="491E3A64"/>
    <w:rsid w:val="49EB8B63"/>
    <w:rsid w:val="4A59DB3F"/>
    <w:rsid w:val="4A822F24"/>
    <w:rsid w:val="4B18B991"/>
    <w:rsid w:val="4BEB66A1"/>
    <w:rsid w:val="4BF5ABA0"/>
    <w:rsid w:val="4BF69EA0"/>
    <w:rsid w:val="4C6E033A"/>
    <w:rsid w:val="4D873702"/>
    <w:rsid w:val="4F1E90DA"/>
    <w:rsid w:val="4F57F69D"/>
    <w:rsid w:val="503BB93B"/>
    <w:rsid w:val="50BED7C4"/>
    <w:rsid w:val="518CE920"/>
    <w:rsid w:val="51905173"/>
    <w:rsid w:val="525AA825"/>
    <w:rsid w:val="525C2E31"/>
    <w:rsid w:val="53F67886"/>
    <w:rsid w:val="54431EBD"/>
    <w:rsid w:val="55DC8867"/>
    <w:rsid w:val="56E49D65"/>
    <w:rsid w:val="572E1948"/>
    <w:rsid w:val="57B021FD"/>
    <w:rsid w:val="58C9E9A9"/>
    <w:rsid w:val="5917976C"/>
    <w:rsid w:val="5A891261"/>
    <w:rsid w:val="5A8FAB10"/>
    <w:rsid w:val="5B0C5CB8"/>
    <w:rsid w:val="5B99E887"/>
    <w:rsid w:val="5C1F090F"/>
    <w:rsid w:val="5C40C457"/>
    <w:rsid w:val="5C4F382E"/>
    <w:rsid w:val="5CE92CA0"/>
    <w:rsid w:val="5DA54852"/>
    <w:rsid w:val="5E23B399"/>
    <w:rsid w:val="5E269C42"/>
    <w:rsid w:val="5E324B7D"/>
    <w:rsid w:val="5E49FBC1"/>
    <w:rsid w:val="5EC6172C"/>
    <w:rsid w:val="5F284F91"/>
    <w:rsid w:val="5F3A7B6B"/>
    <w:rsid w:val="5F506A3F"/>
    <w:rsid w:val="611987E6"/>
    <w:rsid w:val="617B4808"/>
    <w:rsid w:val="6190723B"/>
    <w:rsid w:val="622C6425"/>
    <w:rsid w:val="625D1A15"/>
    <w:rsid w:val="625FF053"/>
    <w:rsid w:val="6355977F"/>
    <w:rsid w:val="6407D6AB"/>
    <w:rsid w:val="66D2E545"/>
    <w:rsid w:val="672F3982"/>
    <w:rsid w:val="699EEDA0"/>
    <w:rsid w:val="6B554509"/>
    <w:rsid w:val="6CF1156A"/>
    <w:rsid w:val="6D28B1AF"/>
    <w:rsid w:val="6D4E669C"/>
    <w:rsid w:val="6D616F43"/>
    <w:rsid w:val="6E9606B2"/>
    <w:rsid w:val="6EA3C87B"/>
    <w:rsid w:val="6EB73EE5"/>
    <w:rsid w:val="6F353D2E"/>
    <w:rsid w:val="70058404"/>
    <w:rsid w:val="70F30CDE"/>
    <w:rsid w:val="7271005E"/>
    <w:rsid w:val="72B7E3DE"/>
    <w:rsid w:val="73A98A6A"/>
    <w:rsid w:val="73B4FD00"/>
    <w:rsid w:val="73BE753F"/>
    <w:rsid w:val="746C7A02"/>
    <w:rsid w:val="74F0AC24"/>
    <w:rsid w:val="75768F0E"/>
    <w:rsid w:val="758E963E"/>
    <w:rsid w:val="75B1AA2C"/>
    <w:rsid w:val="75B5A265"/>
    <w:rsid w:val="75E46907"/>
    <w:rsid w:val="76457A9E"/>
    <w:rsid w:val="76E6D8D4"/>
    <w:rsid w:val="77C09179"/>
    <w:rsid w:val="78F0721F"/>
    <w:rsid w:val="7AC2F5C3"/>
    <w:rsid w:val="7B5A52D3"/>
    <w:rsid w:val="7B61EF6A"/>
    <w:rsid w:val="7CA34081"/>
    <w:rsid w:val="7DE1D3CA"/>
    <w:rsid w:val="7E5182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240" w:line="288" w:lineRule="auto"/>
    </w:pPr>
    <w:rPr>
      <w:rFonts w:ascii="Arial" w:hAnsi="Arial" w:eastAsia="Times New Roman" w:cs="Times New Roman"/>
      <w:color w:val="0D0D0D"/>
      <w:sz w:val="24"/>
      <w:szCs w:val="24"/>
      <w:lang w:val="en-GB" w:eastAsia="en-GB" w:bidi="ar-SA"/>
    </w:rPr>
  </w:style>
  <w:style w:type="paragraph" w:styleId="2">
    <w:name w:val="heading 1"/>
    <w:basedOn w:val="1"/>
    <w:next w:val="1"/>
    <w:qFormat/>
    <w:uiPriority w:val="9"/>
    <w:pPr>
      <w:pageBreakBefore/>
      <w:spacing w:line="240" w:lineRule="auto"/>
      <w:outlineLvl w:val="0"/>
    </w:pPr>
    <w:rPr>
      <w:b/>
      <w:color w:val="104F75"/>
      <w:sz w:val="36"/>
    </w:rPr>
  </w:style>
  <w:style w:type="paragraph" w:styleId="3">
    <w:name w:val="heading 2"/>
    <w:basedOn w:val="1"/>
    <w:next w:val="1"/>
    <w:unhideWhenUsed/>
    <w:qFormat/>
    <w:uiPriority w:val="9"/>
    <w:pPr>
      <w:keepNext/>
      <w:spacing w:before="480" w:line="240" w:lineRule="auto"/>
      <w:outlineLvl w:val="1"/>
    </w:pPr>
    <w:rPr>
      <w:b/>
      <w:color w:val="104F75"/>
      <w:sz w:val="32"/>
      <w:szCs w:val="32"/>
    </w:rPr>
  </w:style>
  <w:style w:type="paragraph" w:styleId="4">
    <w:name w:val="heading 3"/>
    <w:basedOn w:val="3"/>
    <w:next w:val="1"/>
    <w:unhideWhenUsed/>
    <w:qFormat/>
    <w:uiPriority w:val="9"/>
    <w:pPr>
      <w:spacing w:before="360"/>
      <w:outlineLvl w:val="2"/>
    </w:pPr>
    <w:rPr>
      <w:bCs/>
      <w:sz w:val="28"/>
      <w:szCs w:val="28"/>
    </w:rPr>
  </w:style>
  <w:style w:type="paragraph" w:styleId="5">
    <w:name w:val="heading 4"/>
    <w:basedOn w:val="3"/>
    <w:next w:val="1"/>
    <w:semiHidden/>
    <w:unhideWhenUsed/>
    <w:qFormat/>
    <w:uiPriority w:val="9"/>
    <w:pPr>
      <w:spacing w:before="240"/>
      <w:outlineLvl w:val="3"/>
    </w:pPr>
    <w:rPr>
      <w:bCs/>
      <w:sz w:val="24"/>
      <w:szCs w:val="28"/>
    </w:rPr>
  </w:style>
  <w:style w:type="paragraph" w:styleId="6">
    <w:name w:val="heading 5"/>
    <w:basedOn w:val="1"/>
    <w:next w:val="1"/>
    <w:semiHidden/>
    <w:unhideWhenUsed/>
    <w:qFormat/>
    <w:uiPriority w:val="9"/>
    <w:pPr>
      <w:numPr>
        <w:ilvl w:val="4"/>
        <w:numId w:val="1"/>
      </w:numPr>
      <w:spacing w:before="240" w:after="60"/>
      <w:outlineLvl w:val="4"/>
    </w:pPr>
    <w:rPr>
      <w:rFonts w:ascii="Calibri" w:hAnsi="Calibri"/>
      <w:b/>
      <w:bCs/>
      <w:i/>
      <w:iCs/>
      <w:sz w:val="26"/>
      <w:szCs w:val="26"/>
    </w:rPr>
  </w:style>
  <w:style w:type="paragraph" w:styleId="7">
    <w:name w:val="heading 6"/>
    <w:basedOn w:val="1"/>
    <w:next w:val="1"/>
    <w:semiHidden/>
    <w:unhideWhenUsed/>
    <w:qFormat/>
    <w:uiPriority w:val="9"/>
    <w:pPr>
      <w:numPr>
        <w:ilvl w:val="5"/>
        <w:numId w:val="1"/>
      </w:numPr>
      <w:spacing w:before="240" w:after="60"/>
      <w:outlineLvl w:val="5"/>
    </w:pPr>
    <w:rPr>
      <w:rFonts w:ascii="Calibri" w:hAnsi="Calibri"/>
      <w:b/>
      <w:bCs/>
      <w:szCs w:val="22"/>
    </w:rPr>
  </w:style>
  <w:style w:type="paragraph" w:styleId="8">
    <w:name w:val="heading 7"/>
    <w:basedOn w:val="1"/>
    <w:next w:val="1"/>
    <w:uiPriority w:val="0"/>
    <w:pPr>
      <w:numPr>
        <w:ilvl w:val="6"/>
        <w:numId w:val="1"/>
      </w:numPr>
      <w:spacing w:before="240" w:after="60"/>
      <w:outlineLvl w:val="6"/>
    </w:pPr>
    <w:rPr>
      <w:rFonts w:ascii="Calibri" w:hAnsi="Calibri"/>
    </w:rPr>
  </w:style>
  <w:style w:type="paragraph" w:styleId="9">
    <w:name w:val="heading 8"/>
    <w:basedOn w:val="1"/>
    <w:next w:val="1"/>
    <w:uiPriority w:val="0"/>
    <w:pPr>
      <w:numPr>
        <w:ilvl w:val="7"/>
        <w:numId w:val="1"/>
      </w:numPr>
      <w:spacing w:before="240" w:after="60"/>
      <w:outlineLvl w:val="7"/>
    </w:pPr>
    <w:rPr>
      <w:rFonts w:ascii="Calibri" w:hAnsi="Calibri"/>
      <w:i/>
      <w:iCs/>
    </w:rPr>
  </w:style>
  <w:style w:type="paragraph" w:styleId="10">
    <w:name w:val="heading 9"/>
    <w:basedOn w:val="1"/>
    <w:next w:val="1"/>
    <w:uiPriority w:val="0"/>
    <w:pPr>
      <w:numPr>
        <w:ilvl w:val="8"/>
        <w:numId w:val="1"/>
      </w:numPr>
      <w:spacing w:before="240" w:after="60"/>
      <w:outlineLvl w:val="8"/>
    </w:pPr>
    <w:rPr>
      <w:rFonts w:ascii="Cambria" w:hAnsi="Cambria"/>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uiPriority w:val="0"/>
    <w:pPr>
      <w:spacing w:after="0" w:line="240" w:lineRule="auto"/>
    </w:pPr>
    <w:rPr>
      <w:rFonts w:ascii="Tahoma" w:hAnsi="Tahoma" w:cs="Tahoma"/>
      <w:sz w:val="16"/>
      <w:szCs w:val="16"/>
    </w:rPr>
  </w:style>
  <w:style w:type="paragraph" w:styleId="14">
    <w:name w:val="Body Text"/>
    <w:basedOn w:val="1"/>
    <w:uiPriority w:val="0"/>
    <w:pPr>
      <w:spacing w:after="120"/>
    </w:pPr>
  </w:style>
  <w:style w:type="paragraph" w:styleId="15">
    <w:name w:val="Body Text Indent"/>
    <w:basedOn w:val="1"/>
    <w:uiPriority w:val="0"/>
    <w:pPr>
      <w:widowControl w:val="0"/>
      <w:overflowPunct w:val="0"/>
      <w:autoSpaceDE w:val="0"/>
      <w:spacing w:after="0" w:line="240" w:lineRule="auto"/>
      <w:ind w:left="288"/>
      <w:textAlignment w:val="baseline"/>
    </w:pPr>
    <w:rPr>
      <w:color w:val="auto"/>
      <w:szCs w:val="20"/>
      <w:lang w:eastAsia="en-US"/>
    </w:rPr>
  </w:style>
  <w:style w:type="paragraph" w:styleId="16">
    <w:name w:val="caption"/>
    <w:basedOn w:val="1"/>
    <w:next w:val="1"/>
    <w:qFormat/>
    <w:uiPriority w:val="0"/>
    <w:pPr>
      <w:spacing w:before="120" w:after="120"/>
      <w:jc w:val="center"/>
    </w:pPr>
    <w:rPr>
      <w:b/>
      <w:bCs/>
      <w:color w:val="000000"/>
      <w:sz w:val="20"/>
      <w:szCs w:val="20"/>
    </w:rPr>
  </w:style>
  <w:style w:type="character" w:styleId="17">
    <w:name w:val="annotation reference"/>
    <w:basedOn w:val="11"/>
    <w:uiPriority w:val="0"/>
  </w:style>
  <w:style w:type="paragraph" w:styleId="18">
    <w:name w:val="annotation text"/>
    <w:basedOn w:val="1"/>
    <w:qFormat/>
    <w:uiPriority w:val="0"/>
    <w:pPr>
      <w:spacing w:line="240" w:lineRule="auto"/>
    </w:pPr>
    <w:rPr>
      <w:sz w:val="20"/>
      <w:szCs w:val="20"/>
    </w:rPr>
  </w:style>
  <w:style w:type="paragraph" w:styleId="19">
    <w:name w:val="annotation subject"/>
    <w:basedOn w:val="18"/>
    <w:next w:val="18"/>
    <w:qFormat/>
    <w:uiPriority w:val="0"/>
    <w:rPr>
      <w:b/>
      <w:bCs/>
    </w:rPr>
  </w:style>
  <w:style w:type="paragraph" w:styleId="20">
    <w:name w:val="Date"/>
    <w:basedOn w:val="1"/>
    <w:next w:val="1"/>
    <w:uiPriority w:val="0"/>
    <w:rPr>
      <w:rFonts w:cs="Arial"/>
      <w:b/>
      <w:bCs/>
      <w:color w:val="104F75"/>
      <w:sz w:val="44"/>
      <w:szCs w:val="44"/>
    </w:rPr>
  </w:style>
  <w:style w:type="character" w:styleId="21">
    <w:name w:val="FollowedHyperlink"/>
    <w:basedOn w:val="11"/>
    <w:qFormat/>
    <w:uiPriority w:val="0"/>
    <w:rPr>
      <w:color w:val="0000FF"/>
      <w:u w:val="single"/>
    </w:rPr>
  </w:style>
  <w:style w:type="paragraph" w:styleId="22">
    <w:name w:val="footer"/>
    <w:basedOn w:val="1"/>
    <w:qFormat/>
    <w:uiPriority w:val="0"/>
    <w:pPr>
      <w:tabs>
        <w:tab w:val="center" w:pos="4513"/>
        <w:tab w:val="right" w:pos="9026"/>
      </w:tabs>
      <w:spacing w:after="0" w:line="240" w:lineRule="auto"/>
    </w:pPr>
  </w:style>
  <w:style w:type="character" w:styleId="23">
    <w:name w:val="footnote reference"/>
    <w:basedOn w:val="11"/>
    <w:qFormat/>
    <w:uiPriority w:val="0"/>
    <w:rPr>
      <w:position w:val="0"/>
      <w:vertAlign w:val="superscript"/>
    </w:rPr>
  </w:style>
  <w:style w:type="paragraph" w:styleId="24">
    <w:name w:val="footnote text"/>
    <w:basedOn w:val="1"/>
    <w:qFormat/>
    <w:uiPriority w:val="0"/>
    <w:pPr>
      <w:spacing w:after="60" w:line="240" w:lineRule="auto"/>
    </w:pPr>
    <w:rPr>
      <w:sz w:val="20"/>
      <w:szCs w:val="20"/>
    </w:rPr>
  </w:style>
  <w:style w:type="paragraph" w:styleId="25">
    <w:name w:val="header"/>
    <w:basedOn w:val="1"/>
    <w:qFormat/>
    <w:uiPriority w:val="0"/>
    <w:pPr>
      <w:tabs>
        <w:tab w:val="center" w:pos="4513"/>
        <w:tab w:val="right" w:pos="9026"/>
      </w:tabs>
      <w:spacing w:after="0" w:line="240" w:lineRule="auto"/>
    </w:pPr>
  </w:style>
  <w:style w:type="character" w:styleId="26">
    <w:name w:val="Hyperlink"/>
    <w:qFormat/>
    <w:uiPriority w:val="0"/>
    <w:rPr>
      <w:rFonts w:ascii="Arial" w:hAnsi="Arial"/>
      <w:color w:val="0000FF"/>
      <w:sz w:val="24"/>
      <w:u w:val="single"/>
    </w:rPr>
  </w:style>
  <w:style w:type="paragraph" w:styleId="27">
    <w:name w:val="List Bullet"/>
    <w:basedOn w:val="28"/>
    <w:qFormat/>
    <w:uiPriority w:val="0"/>
    <w:pPr>
      <w:numPr>
        <w:ilvl w:val="0"/>
        <w:numId w:val="2"/>
      </w:numPr>
      <w:contextualSpacing/>
    </w:pPr>
  </w:style>
  <w:style w:type="paragraph" w:styleId="28">
    <w:name w:val="List Bullet 5"/>
    <w:basedOn w:val="1"/>
    <w:qFormat/>
    <w:uiPriority w:val="0"/>
  </w:style>
  <w:style w:type="paragraph" w:styleId="29">
    <w:name w:val="List Bullet 2"/>
    <w:basedOn w:val="1"/>
    <w:uiPriority w:val="0"/>
    <w:pPr>
      <w:numPr>
        <w:ilvl w:val="0"/>
        <w:numId w:val="3"/>
      </w:numPr>
      <w:tabs>
        <w:tab w:val="left" w:pos="491"/>
      </w:tabs>
      <w:contextualSpacing/>
    </w:pPr>
  </w:style>
  <w:style w:type="paragraph" w:styleId="30">
    <w:name w:val="List Bullet 3"/>
    <w:basedOn w:val="1"/>
    <w:uiPriority w:val="0"/>
    <w:pPr>
      <w:numPr>
        <w:ilvl w:val="0"/>
        <w:numId w:val="4"/>
      </w:numPr>
      <w:contextualSpacing/>
    </w:pPr>
  </w:style>
  <w:style w:type="paragraph" w:styleId="31">
    <w:name w:val="List Bullet 4"/>
    <w:basedOn w:val="1"/>
    <w:uiPriority w:val="0"/>
    <w:pPr>
      <w:numPr>
        <w:ilvl w:val="0"/>
        <w:numId w:val="5"/>
      </w:numPr>
      <w:contextualSpacing/>
    </w:pPr>
  </w:style>
  <w:style w:type="character" w:styleId="32">
    <w:name w:val="page number"/>
    <w:basedOn w:val="11"/>
    <w:uiPriority w:val="0"/>
  </w:style>
  <w:style w:type="paragraph" w:styleId="33">
    <w:name w:val="Subtitle"/>
    <w:basedOn w:val="1"/>
    <w:qFormat/>
    <w:uiPriority w:val="11"/>
    <w:pPr>
      <w:widowControl w:val="0"/>
      <w:overflowPunct w:val="0"/>
      <w:autoSpaceDE w:val="0"/>
      <w:spacing w:after="60" w:line="240" w:lineRule="auto"/>
      <w:jc w:val="center"/>
      <w:textAlignment w:val="baseline"/>
    </w:pPr>
    <w:rPr>
      <w:i/>
      <w:color w:val="auto"/>
      <w:szCs w:val="20"/>
      <w:lang w:eastAsia="en-US"/>
    </w:rPr>
  </w:style>
  <w:style w:type="table" w:styleId="34">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
    <w:name w:val="table of figures"/>
    <w:basedOn w:val="1"/>
    <w:next w:val="1"/>
    <w:uiPriority w:val="0"/>
    <w:pPr>
      <w:spacing w:after="120"/>
    </w:pPr>
  </w:style>
  <w:style w:type="paragraph" w:styleId="36">
    <w:name w:val="Title"/>
    <w:basedOn w:val="1"/>
    <w:next w:val="1"/>
    <w:qFormat/>
    <w:uiPriority w:val="10"/>
    <w:pPr>
      <w:spacing w:before="240" w:line="240" w:lineRule="auto"/>
    </w:pPr>
    <w:rPr>
      <w:b/>
      <w:color w:val="104F75"/>
      <w:sz w:val="96"/>
      <w:szCs w:val="120"/>
    </w:rPr>
  </w:style>
  <w:style w:type="paragraph" w:styleId="37">
    <w:name w:val="toc 1"/>
    <w:basedOn w:val="1"/>
    <w:next w:val="1"/>
    <w:uiPriority w:val="0"/>
    <w:pPr>
      <w:tabs>
        <w:tab w:val="right" w:pos="9498"/>
      </w:tabs>
      <w:spacing w:after="120"/>
    </w:pPr>
  </w:style>
  <w:style w:type="paragraph" w:styleId="38">
    <w:name w:val="toc 2"/>
    <w:basedOn w:val="1"/>
    <w:next w:val="1"/>
    <w:qFormat/>
    <w:uiPriority w:val="0"/>
    <w:pPr>
      <w:tabs>
        <w:tab w:val="right" w:pos="9498"/>
      </w:tabs>
      <w:spacing w:after="120"/>
      <w:ind w:left="238"/>
    </w:pPr>
  </w:style>
  <w:style w:type="paragraph" w:styleId="39">
    <w:name w:val="toc 3"/>
    <w:basedOn w:val="1"/>
    <w:next w:val="1"/>
    <w:qFormat/>
    <w:uiPriority w:val="0"/>
    <w:pPr>
      <w:tabs>
        <w:tab w:val="right" w:pos="9498"/>
      </w:tabs>
      <w:spacing w:after="120"/>
      <w:ind w:left="480"/>
    </w:pPr>
  </w:style>
  <w:style w:type="character" w:customStyle="1" w:styleId="40">
    <w:name w:val="Heading 1 Char"/>
    <w:qFormat/>
    <w:uiPriority w:val="0"/>
    <w:rPr>
      <w:b/>
      <w:color w:val="104F75"/>
      <w:sz w:val="36"/>
      <w:szCs w:val="24"/>
    </w:rPr>
  </w:style>
  <w:style w:type="character" w:customStyle="1" w:styleId="41">
    <w:name w:val="Heading 2 Char"/>
    <w:qFormat/>
    <w:uiPriority w:val="0"/>
    <w:rPr>
      <w:b/>
      <w:color w:val="104F75"/>
      <w:sz w:val="32"/>
      <w:szCs w:val="32"/>
    </w:rPr>
  </w:style>
  <w:style w:type="character" w:customStyle="1" w:styleId="42">
    <w:name w:val="Heading 3 Char"/>
    <w:qFormat/>
    <w:uiPriority w:val="0"/>
    <w:rPr>
      <w:b/>
      <w:bCs/>
      <w:color w:val="104F75"/>
      <w:sz w:val="28"/>
      <w:szCs w:val="28"/>
    </w:rPr>
  </w:style>
  <w:style w:type="paragraph" w:customStyle="1" w:styleId="43">
    <w:name w:val="TOC Heading"/>
    <w:basedOn w:val="1"/>
    <w:next w:val="1"/>
    <w:uiPriority w:val="0"/>
    <w:pPr>
      <w:pageBreakBefore/>
    </w:pPr>
    <w:rPr>
      <w:rFonts w:cs="Arial"/>
      <w:b/>
      <w:color w:val="365F91"/>
      <w:sz w:val="36"/>
      <w:szCs w:val="28"/>
      <w:lang w:eastAsia="ja-JP"/>
    </w:rPr>
  </w:style>
  <w:style w:type="paragraph" w:customStyle="1" w:styleId="44">
    <w:name w:val="TitleText"/>
    <w:basedOn w:val="1"/>
    <w:qFormat/>
    <w:uiPriority w:val="0"/>
    <w:pPr>
      <w:spacing w:before="3600" w:line="240" w:lineRule="auto"/>
    </w:pPr>
    <w:rPr>
      <w:rFonts w:cs="Arial"/>
      <w:b/>
      <w:color w:val="104F75"/>
      <w:sz w:val="92"/>
      <w:szCs w:val="92"/>
    </w:rPr>
  </w:style>
  <w:style w:type="character" w:customStyle="1" w:styleId="45">
    <w:name w:val="TitleText Char"/>
    <w:uiPriority w:val="0"/>
    <w:rPr>
      <w:rFonts w:cs="Arial"/>
      <w:b/>
      <w:color w:val="104F75"/>
      <w:sz w:val="92"/>
      <w:szCs w:val="92"/>
    </w:rPr>
  </w:style>
  <w:style w:type="paragraph" w:customStyle="1" w:styleId="46">
    <w:name w:val="SubtitleText"/>
    <w:basedOn w:val="1"/>
    <w:qFormat/>
    <w:uiPriority w:val="0"/>
    <w:pPr>
      <w:spacing w:after="1520"/>
    </w:pPr>
    <w:rPr>
      <w:rFonts w:cs="Arial"/>
      <w:b/>
      <w:color w:val="104F75"/>
      <w:sz w:val="48"/>
      <w:szCs w:val="48"/>
    </w:rPr>
  </w:style>
  <w:style w:type="character" w:customStyle="1" w:styleId="47">
    <w:name w:val="SubtitleText Char"/>
    <w:qFormat/>
    <w:uiPriority w:val="0"/>
    <w:rPr>
      <w:rFonts w:cs="Arial"/>
      <w:b/>
      <w:color w:val="104F75"/>
      <w:sz w:val="48"/>
      <w:szCs w:val="48"/>
    </w:rPr>
  </w:style>
  <w:style w:type="paragraph" w:customStyle="1" w:styleId="48">
    <w:name w:val="CopyrightBox"/>
    <w:basedOn w:val="1"/>
    <w:qFormat/>
    <w:uiPriority w:val="0"/>
  </w:style>
  <w:style w:type="character" w:customStyle="1" w:styleId="49">
    <w:name w:val="CopyrightBox Char"/>
    <w:uiPriority w:val="0"/>
    <w:rPr>
      <w:color w:val="0D0D0D"/>
      <w:sz w:val="24"/>
      <w:szCs w:val="24"/>
    </w:rPr>
  </w:style>
  <w:style w:type="paragraph" w:customStyle="1" w:styleId="50">
    <w:name w:val="CopyrightSpacing"/>
    <w:basedOn w:val="1"/>
    <w:qFormat/>
    <w:uiPriority w:val="0"/>
    <w:pPr>
      <w:spacing w:before="6000" w:after="120"/>
    </w:pPr>
  </w:style>
  <w:style w:type="character" w:customStyle="1" w:styleId="51">
    <w:name w:val="CopyrightSpacing Char"/>
    <w:qFormat/>
    <w:uiPriority w:val="0"/>
    <w:rPr>
      <w:sz w:val="24"/>
      <w:szCs w:val="24"/>
    </w:rPr>
  </w:style>
  <w:style w:type="character" w:customStyle="1" w:styleId="52">
    <w:name w:val="Title Char"/>
    <w:qFormat/>
    <w:uiPriority w:val="0"/>
    <w:rPr>
      <w:rFonts w:ascii="Arial" w:hAnsi="Arial" w:cs="Arial"/>
      <w:b/>
      <w:color w:val="104F75"/>
      <w:sz w:val="96"/>
      <w:szCs w:val="120"/>
      <w:lang w:eastAsia="en-US"/>
    </w:rPr>
  </w:style>
  <w:style w:type="paragraph" w:styleId="53">
    <w:name w:val="List Paragraph"/>
    <w:basedOn w:val="1"/>
    <w:qFormat/>
    <w:uiPriority w:val="34"/>
    <w:pPr>
      <w:numPr>
        <w:ilvl w:val="0"/>
        <w:numId w:val="6"/>
      </w:numPr>
      <w:contextualSpacing/>
    </w:pPr>
  </w:style>
  <w:style w:type="character" w:customStyle="1" w:styleId="54">
    <w:name w:val="Heading 4 Char"/>
    <w:qFormat/>
    <w:uiPriority w:val="0"/>
    <w:rPr>
      <w:b/>
      <w:bCs/>
      <w:color w:val="104F75"/>
      <w:sz w:val="24"/>
      <w:szCs w:val="28"/>
    </w:rPr>
  </w:style>
  <w:style w:type="character" w:customStyle="1" w:styleId="55">
    <w:name w:val="Heading 5 Char"/>
    <w:uiPriority w:val="0"/>
    <w:rPr>
      <w:rFonts w:ascii="Calibri" w:hAnsi="Calibri"/>
      <w:b/>
      <w:bCs/>
      <w:i/>
      <w:iCs/>
      <w:color w:val="0D0D0D"/>
      <w:sz w:val="26"/>
      <w:szCs w:val="26"/>
    </w:rPr>
  </w:style>
  <w:style w:type="character" w:customStyle="1" w:styleId="56">
    <w:name w:val="Heading 6 Char"/>
    <w:qFormat/>
    <w:uiPriority w:val="0"/>
    <w:rPr>
      <w:rFonts w:ascii="Calibri" w:hAnsi="Calibri"/>
      <w:b/>
      <w:bCs/>
      <w:color w:val="0D0D0D"/>
      <w:sz w:val="24"/>
      <w:szCs w:val="22"/>
    </w:rPr>
  </w:style>
  <w:style w:type="character" w:customStyle="1" w:styleId="57">
    <w:name w:val="Heading 7 Char"/>
    <w:qFormat/>
    <w:uiPriority w:val="0"/>
    <w:rPr>
      <w:rFonts w:ascii="Calibri" w:hAnsi="Calibri"/>
      <w:color w:val="0D0D0D"/>
      <w:sz w:val="24"/>
      <w:szCs w:val="24"/>
    </w:rPr>
  </w:style>
  <w:style w:type="character" w:customStyle="1" w:styleId="58">
    <w:name w:val="Heading 8 Char"/>
    <w:uiPriority w:val="0"/>
    <w:rPr>
      <w:rFonts w:ascii="Calibri" w:hAnsi="Calibri"/>
      <w:i/>
      <w:iCs/>
      <w:color w:val="0D0D0D"/>
      <w:sz w:val="24"/>
      <w:szCs w:val="24"/>
    </w:rPr>
  </w:style>
  <w:style w:type="character" w:customStyle="1" w:styleId="59">
    <w:name w:val="Heading 9 Char"/>
    <w:qFormat/>
    <w:uiPriority w:val="0"/>
    <w:rPr>
      <w:rFonts w:ascii="Cambria" w:hAnsi="Cambria"/>
      <w:color w:val="0D0D0D"/>
      <w:sz w:val="24"/>
      <w:szCs w:val="22"/>
    </w:rPr>
  </w:style>
  <w:style w:type="character" w:customStyle="1" w:styleId="60">
    <w:name w:val="Body Text Char"/>
    <w:basedOn w:val="11"/>
    <w:qFormat/>
    <w:uiPriority w:val="0"/>
    <w:rPr>
      <w:color w:val="0D0D0D"/>
      <w:sz w:val="24"/>
      <w:szCs w:val="24"/>
    </w:rPr>
  </w:style>
  <w:style w:type="paragraph" w:customStyle="1" w:styleId="61">
    <w:name w:val="TableHeader"/>
    <w:uiPriority w:val="0"/>
    <w:pPr>
      <w:suppressAutoHyphens/>
      <w:autoSpaceDN w:val="0"/>
      <w:spacing w:before="60" w:after="60"/>
      <w:ind w:left="57" w:right="57"/>
      <w:jc w:val="center"/>
    </w:pPr>
    <w:rPr>
      <w:rFonts w:ascii="Arial" w:hAnsi="Arial" w:eastAsia="Times New Roman" w:cs="Times New Roman"/>
      <w:b/>
      <w:color w:val="0D0D0D"/>
      <w:sz w:val="24"/>
      <w:szCs w:val="24"/>
      <w:lang w:val="en-GB" w:eastAsia="en-GB" w:bidi="ar-SA"/>
    </w:rPr>
  </w:style>
  <w:style w:type="character" w:customStyle="1" w:styleId="62">
    <w:name w:val="Balloon Text Char"/>
    <w:uiPriority w:val="0"/>
    <w:rPr>
      <w:rFonts w:ascii="Tahoma" w:hAnsi="Tahoma" w:cs="Tahoma"/>
      <w:sz w:val="16"/>
      <w:szCs w:val="16"/>
    </w:rPr>
  </w:style>
  <w:style w:type="paragraph" w:customStyle="1" w:styleId="63">
    <w:name w:val="TableRow"/>
    <w:qFormat/>
    <w:uiPriority w:val="0"/>
    <w:pPr>
      <w:suppressAutoHyphens/>
      <w:autoSpaceDN w:val="0"/>
      <w:spacing w:before="60" w:after="60"/>
      <w:ind w:left="57" w:right="57"/>
    </w:pPr>
    <w:rPr>
      <w:rFonts w:ascii="Arial" w:hAnsi="Arial" w:eastAsia="Times New Roman" w:cs="Times New Roman"/>
      <w:color w:val="0D0D0D"/>
      <w:sz w:val="24"/>
      <w:szCs w:val="24"/>
      <w:lang w:val="en-GB" w:eastAsia="en-GB" w:bidi="ar-SA"/>
    </w:rPr>
  </w:style>
  <w:style w:type="character" w:customStyle="1" w:styleId="64">
    <w:name w:val="TableRow Char"/>
    <w:uiPriority w:val="0"/>
    <w:rPr>
      <w:color w:val="0D0D0D"/>
      <w:sz w:val="24"/>
      <w:szCs w:val="24"/>
    </w:rPr>
  </w:style>
  <w:style w:type="character" w:customStyle="1" w:styleId="65">
    <w:name w:val="Header Char"/>
    <w:basedOn w:val="11"/>
    <w:qFormat/>
    <w:uiPriority w:val="0"/>
    <w:rPr>
      <w:color w:val="0D0D0D"/>
      <w:sz w:val="24"/>
      <w:szCs w:val="24"/>
    </w:rPr>
  </w:style>
  <w:style w:type="character" w:customStyle="1" w:styleId="66">
    <w:name w:val="Footer Char"/>
    <w:basedOn w:val="11"/>
    <w:qFormat/>
    <w:uiPriority w:val="0"/>
    <w:rPr>
      <w:color w:val="0D0D0D"/>
      <w:sz w:val="24"/>
      <w:szCs w:val="24"/>
    </w:rPr>
  </w:style>
  <w:style w:type="character" w:customStyle="1" w:styleId="67">
    <w:name w:val="Footnote Text Char"/>
    <w:basedOn w:val="11"/>
    <w:qFormat/>
    <w:uiPriority w:val="0"/>
  </w:style>
  <w:style w:type="character" w:customStyle="1" w:styleId="68">
    <w:name w:val="RGB"/>
    <w:basedOn w:val="11"/>
    <w:uiPriority w:val="0"/>
    <w:rPr>
      <w:b/>
      <w:bCs/>
      <w:sz w:val="20"/>
    </w:rPr>
  </w:style>
  <w:style w:type="paragraph" w:customStyle="1" w:styleId="69">
    <w:name w:val="Coloured Box Headline"/>
    <w:basedOn w:val="1"/>
    <w:uiPriority w:val="0"/>
    <w:pPr>
      <w:spacing w:before="120"/>
    </w:pPr>
    <w:rPr>
      <w:b/>
      <w:bCs/>
      <w:sz w:val="28"/>
      <w:szCs w:val="20"/>
    </w:rPr>
  </w:style>
  <w:style w:type="character" w:customStyle="1" w:styleId="70">
    <w:name w:val="RGB Values"/>
    <w:basedOn w:val="11"/>
    <w:qFormat/>
    <w:uiPriority w:val="0"/>
    <w:rPr>
      <w:sz w:val="20"/>
    </w:rPr>
  </w:style>
  <w:style w:type="character" w:customStyle="1" w:styleId="71">
    <w:name w:val="Comment Text Char"/>
    <w:basedOn w:val="11"/>
    <w:qFormat/>
    <w:uiPriority w:val="0"/>
  </w:style>
  <w:style w:type="character" w:customStyle="1" w:styleId="72">
    <w:name w:val="Comment Subject Char"/>
    <w:basedOn w:val="71"/>
    <w:uiPriority w:val="0"/>
    <w:rPr>
      <w:b/>
      <w:bCs/>
    </w:rPr>
  </w:style>
  <w:style w:type="paragraph" w:customStyle="1" w:styleId="73">
    <w:name w:val="Centred embed"/>
    <w:basedOn w:val="1"/>
    <w:uiPriority w:val="0"/>
    <w:pPr>
      <w:spacing w:after="0"/>
      <w:jc w:val="center"/>
    </w:pPr>
    <w:rPr>
      <w:szCs w:val="20"/>
    </w:rPr>
  </w:style>
  <w:style w:type="character" w:customStyle="1" w:styleId="74">
    <w:name w:val="Date Char"/>
    <w:basedOn w:val="11"/>
    <w:uiPriority w:val="0"/>
    <w:rPr>
      <w:rFonts w:cs="Arial"/>
      <w:b/>
      <w:bCs/>
      <w:color w:val="104F75"/>
      <w:sz w:val="44"/>
      <w:szCs w:val="44"/>
    </w:rPr>
  </w:style>
  <w:style w:type="character" w:customStyle="1" w:styleId="75">
    <w:name w:val="Source Char"/>
    <w:basedOn w:val="11"/>
    <w:uiPriority w:val="0"/>
  </w:style>
  <w:style w:type="paragraph" w:customStyle="1" w:styleId="76">
    <w:name w:val="Source"/>
    <w:basedOn w:val="1"/>
    <w:uiPriority w:val="0"/>
    <w:pPr>
      <w:jc w:val="right"/>
    </w:pPr>
    <w:rPr>
      <w:sz w:val="20"/>
      <w:szCs w:val="20"/>
    </w:rPr>
  </w:style>
  <w:style w:type="paragraph" w:customStyle="1" w:styleId="77">
    <w:name w:val="DfESOutNumbered1"/>
    <w:basedOn w:val="1"/>
    <w:uiPriority w:val="0"/>
    <w:pPr>
      <w:numPr>
        <w:ilvl w:val="0"/>
        <w:numId w:val="7"/>
      </w:numPr>
    </w:pPr>
  </w:style>
  <w:style w:type="character" w:customStyle="1" w:styleId="78">
    <w:name w:val="DfESOutNumbered1 Char"/>
    <w:uiPriority w:val="0"/>
    <w:rPr>
      <w:sz w:val="24"/>
      <w:szCs w:val="24"/>
    </w:rPr>
  </w:style>
  <w:style w:type="paragraph" w:customStyle="1" w:styleId="79">
    <w:name w:val="TableRowRight"/>
    <w:basedOn w:val="63"/>
    <w:uiPriority w:val="0"/>
    <w:pPr>
      <w:jc w:val="right"/>
    </w:pPr>
    <w:rPr>
      <w:szCs w:val="20"/>
    </w:rPr>
  </w:style>
  <w:style w:type="paragraph" w:customStyle="1" w:styleId="80">
    <w:name w:val="TableRowCentered"/>
    <w:basedOn w:val="63"/>
    <w:uiPriority w:val="0"/>
    <w:pPr>
      <w:jc w:val="center"/>
    </w:pPr>
    <w:rPr>
      <w:szCs w:val="20"/>
    </w:rPr>
  </w:style>
  <w:style w:type="paragraph" w:customStyle="1" w:styleId="81">
    <w:name w:val="SocialMedia"/>
    <w:basedOn w:val="1"/>
    <w:uiPriority w:val="0"/>
    <w:pPr>
      <w:tabs>
        <w:tab w:val="left" w:pos="4253"/>
        <w:tab w:val="left" w:pos="4820"/>
      </w:tabs>
      <w:spacing w:after="0" w:line="240" w:lineRule="auto"/>
      <w:ind w:firstLine="34"/>
    </w:pPr>
  </w:style>
  <w:style w:type="paragraph" w:customStyle="1" w:styleId="82">
    <w:name w:val="Reference"/>
    <w:basedOn w:val="1"/>
    <w:uiPriority w:val="0"/>
    <w:pPr>
      <w:tabs>
        <w:tab w:val="left" w:pos="1701"/>
      </w:tabs>
      <w:spacing w:before="240"/>
    </w:pPr>
  </w:style>
  <w:style w:type="character" w:customStyle="1" w:styleId="83">
    <w:name w:val="SocialMedia Char"/>
    <w:basedOn w:val="11"/>
    <w:uiPriority w:val="0"/>
    <w:rPr>
      <w:sz w:val="24"/>
      <w:szCs w:val="24"/>
    </w:rPr>
  </w:style>
  <w:style w:type="paragraph" w:customStyle="1" w:styleId="84">
    <w:name w:val="Licence"/>
    <w:basedOn w:val="1"/>
    <w:uiPriority w:val="0"/>
    <w:pPr>
      <w:tabs>
        <w:tab w:val="left" w:pos="1418"/>
      </w:tabs>
      <w:ind w:left="284"/>
      <w:contextualSpacing/>
    </w:pPr>
  </w:style>
  <w:style w:type="character" w:customStyle="1" w:styleId="85">
    <w:name w:val="Reference Char"/>
    <w:basedOn w:val="11"/>
    <w:uiPriority w:val="0"/>
    <w:rPr>
      <w:color w:val="0D0D0D"/>
      <w:sz w:val="24"/>
      <w:szCs w:val="24"/>
    </w:rPr>
  </w:style>
  <w:style w:type="paragraph" w:customStyle="1" w:styleId="86">
    <w:name w:val="LicenceIntro"/>
    <w:basedOn w:val="84"/>
    <w:uiPriority w:val="0"/>
    <w:pPr>
      <w:spacing w:after="0"/>
      <w:ind w:left="0"/>
    </w:pPr>
    <w:rPr>
      <w:szCs w:val="20"/>
    </w:rPr>
  </w:style>
  <w:style w:type="character" w:customStyle="1" w:styleId="87">
    <w:name w:val="Licence Char"/>
    <w:basedOn w:val="11"/>
    <w:uiPriority w:val="0"/>
    <w:rPr>
      <w:sz w:val="24"/>
      <w:szCs w:val="24"/>
    </w:rPr>
  </w:style>
  <w:style w:type="paragraph" w:customStyle="1" w:styleId="88">
    <w:name w:val="Logos"/>
    <w:basedOn w:val="1"/>
    <w:uiPriority w:val="0"/>
    <w:pPr>
      <w:pageBreakBefore/>
      <w:widowControl w:val="0"/>
    </w:pPr>
  </w:style>
  <w:style w:type="character" w:customStyle="1" w:styleId="89">
    <w:name w:val="Logos Char"/>
    <w:basedOn w:val="11"/>
    <w:uiPriority w:val="0"/>
    <w:rPr>
      <w:color w:val="0D0D0D"/>
      <w:sz w:val="24"/>
      <w:szCs w:val="24"/>
    </w:rPr>
  </w:style>
  <w:style w:type="paragraph" w:customStyle="1" w:styleId="90">
    <w:name w:val="DfESOutNumbered"/>
    <w:basedOn w:val="1"/>
    <w:uiPriority w:val="0"/>
    <w:pPr>
      <w:widowControl w:val="0"/>
      <w:numPr>
        <w:ilvl w:val="0"/>
        <w:numId w:val="8"/>
      </w:numPr>
      <w:overflowPunct w:val="0"/>
      <w:autoSpaceDE w:val="0"/>
      <w:spacing w:line="240" w:lineRule="auto"/>
      <w:textAlignment w:val="baseline"/>
    </w:pPr>
    <w:rPr>
      <w:rFonts w:cs="Arial"/>
      <w:color w:val="auto"/>
      <w:sz w:val="22"/>
      <w:szCs w:val="20"/>
      <w:lang w:eastAsia="en-US"/>
    </w:rPr>
  </w:style>
  <w:style w:type="character" w:customStyle="1" w:styleId="91">
    <w:name w:val="DfESOutNumbered Char"/>
    <w:basedOn w:val="89"/>
    <w:uiPriority w:val="0"/>
    <w:rPr>
      <w:rFonts w:cs="Arial"/>
      <w:color w:val="0D0D0D"/>
      <w:sz w:val="22"/>
      <w:szCs w:val="24"/>
      <w:lang w:eastAsia="en-US"/>
    </w:rPr>
  </w:style>
  <w:style w:type="paragraph" w:customStyle="1" w:styleId="92">
    <w:name w:val="DeptBullets"/>
    <w:basedOn w:val="1"/>
    <w:uiPriority w:val="0"/>
    <w:pPr>
      <w:widowControl w:val="0"/>
      <w:numPr>
        <w:ilvl w:val="0"/>
        <w:numId w:val="9"/>
      </w:numPr>
      <w:overflowPunct w:val="0"/>
      <w:autoSpaceDE w:val="0"/>
      <w:spacing w:line="240" w:lineRule="auto"/>
      <w:textAlignment w:val="baseline"/>
    </w:pPr>
    <w:rPr>
      <w:color w:val="auto"/>
      <w:szCs w:val="20"/>
      <w:lang w:eastAsia="en-US"/>
    </w:rPr>
  </w:style>
  <w:style w:type="character" w:customStyle="1" w:styleId="93">
    <w:name w:val="DeptBullets Char"/>
    <w:basedOn w:val="89"/>
    <w:uiPriority w:val="0"/>
    <w:rPr>
      <w:color w:val="0D0D0D"/>
      <w:sz w:val="24"/>
      <w:szCs w:val="24"/>
      <w:lang w:eastAsia="en-US"/>
    </w:rPr>
  </w:style>
  <w:style w:type="paragraph" w:customStyle="1" w:styleId="94">
    <w:name w:val="TOC Header"/>
    <w:uiPriority w:val="0"/>
    <w:pPr>
      <w:pageBreakBefore/>
      <w:suppressAutoHyphens/>
      <w:autoSpaceDN w:val="0"/>
    </w:pPr>
    <w:rPr>
      <w:rFonts w:ascii="Arial" w:hAnsi="Arial" w:eastAsia="Times New Roman" w:cs="Times New Roman"/>
      <w:b/>
      <w:color w:val="104F75"/>
      <w:sz w:val="36"/>
      <w:szCs w:val="24"/>
      <w:lang w:val="en-GB" w:eastAsia="en-GB" w:bidi="ar-SA"/>
    </w:rPr>
  </w:style>
  <w:style w:type="character" w:customStyle="1" w:styleId="95">
    <w:name w:val="TOC Header Char"/>
    <w:uiPriority w:val="0"/>
    <w:rPr>
      <w:b/>
      <w:color w:val="104F75"/>
      <w:sz w:val="36"/>
      <w:szCs w:val="24"/>
    </w:rPr>
  </w:style>
  <w:style w:type="character" w:customStyle="1" w:styleId="96">
    <w:name w:val="Body Text Indent Char"/>
    <w:basedOn w:val="11"/>
    <w:uiPriority w:val="0"/>
    <w:rPr>
      <w:sz w:val="24"/>
      <w:lang w:eastAsia="en-US"/>
    </w:rPr>
  </w:style>
  <w:style w:type="paragraph" w:customStyle="1" w:styleId="97">
    <w:name w:val="DeptOutNumbered"/>
    <w:basedOn w:val="1"/>
    <w:uiPriority w:val="0"/>
    <w:pPr>
      <w:widowControl w:val="0"/>
      <w:numPr>
        <w:ilvl w:val="0"/>
        <w:numId w:val="10"/>
      </w:numPr>
      <w:overflowPunct w:val="0"/>
      <w:autoSpaceDE w:val="0"/>
      <w:spacing w:line="240" w:lineRule="auto"/>
      <w:textAlignment w:val="baseline"/>
    </w:pPr>
    <w:rPr>
      <w:color w:val="auto"/>
      <w:szCs w:val="20"/>
      <w:lang w:eastAsia="en-US"/>
    </w:rPr>
  </w:style>
  <w:style w:type="paragraph" w:customStyle="1" w:styleId="98">
    <w:name w:val="Heading"/>
    <w:basedOn w:val="1"/>
    <w:next w:val="1"/>
    <w:uiPriority w:val="0"/>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99">
    <w:name w:val="Minute Top"/>
    <w:basedOn w:val="1"/>
    <w:uiPriority w:val="0"/>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100">
    <w:name w:val="Numbered"/>
    <w:basedOn w:val="1"/>
    <w:uiPriority w:val="0"/>
    <w:pPr>
      <w:widowControl w:val="0"/>
      <w:overflowPunct w:val="0"/>
      <w:autoSpaceDE w:val="0"/>
      <w:spacing w:line="240" w:lineRule="auto"/>
      <w:textAlignment w:val="baseline"/>
    </w:pPr>
    <w:rPr>
      <w:color w:val="auto"/>
      <w:szCs w:val="20"/>
      <w:lang w:eastAsia="en-US"/>
    </w:rPr>
  </w:style>
  <w:style w:type="character" w:customStyle="1" w:styleId="101">
    <w:name w:val="Personal Compose Style"/>
    <w:basedOn w:val="11"/>
    <w:uiPriority w:val="0"/>
    <w:rPr>
      <w:rFonts w:ascii="Arial" w:hAnsi="Arial" w:cs="Arial"/>
      <w:color w:val="auto"/>
      <w:sz w:val="20"/>
    </w:rPr>
  </w:style>
  <w:style w:type="character" w:customStyle="1" w:styleId="102">
    <w:name w:val="Personal Reply Style"/>
    <w:basedOn w:val="11"/>
    <w:uiPriority w:val="0"/>
    <w:rPr>
      <w:rFonts w:ascii="Arial" w:hAnsi="Arial" w:cs="Arial"/>
      <w:color w:val="auto"/>
      <w:sz w:val="20"/>
    </w:rPr>
  </w:style>
  <w:style w:type="paragraph" w:customStyle="1" w:styleId="103">
    <w:name w:val="Sub-Heading"/>
    <w:basedOn w:val="98"/>
    <w:next w:val="100"/>
    <w:uiPriority w:val="0"/>
    <w:pPr>
      <w:spacing w:before="0"/>
    </w:pPr>
  </w:style>
  <w:style w:type="character" w:customStyle="1" w:styleId="104">
    <w:name w:val="Subtitle Char"/>
    <w:basedOn w:val="11"/>
    <w:uiPriority w:val="0"/>
    <w:rPr>
      <w:i/>
      <w:sz w:val="24"/>
      <w:lang w:eastAsia="en-US"/>
    </w:rPr>
  </w:style>
  <w:style w:type="paragraph" w:customStyle="1" w:styleId="105">
    <w:name w:val="DfESBullets"/>
    <w:basedOn w:val="1"/>
    <w:qFormat/>
    <w:uiPriority w:val="0"/>
    <w:pPr>
      <w:widowControl w:val="0"/>
      <w:numPr>
        <w:ilvl w:val="0"/>
        <w:numId w:val="11"/>
      </w:numPr>
      <w:overflowPunct w:val="0"/>
      <w:autoSpaceDE w:val="0"/>
      <w:spacing w:line="240" w:lineRule="auto"/>
      <w:textAlignment w:val="baseline"/>
    </w:pPr>
    <w:rPr>
      <w:rFonts w:cs="Arial"/>
      <w:color w:val="auto"/>
      <w:sz w:val="22"/>
      <w:szCs w:val="20"/>
      <w:lang w:eastAsia="en-US"/>
    </w:rPr>
  </w:style>
  <w:style w:type="character" w:customStyle="1" w:styleId="106">
    <w:name w:val="Unresolved Mention"/>
    <w:basedOn w:val="11"/>
    <w:uiPriority w:val="0"/>
    <w:rPr>
      <w:color w:val="605E5C"/>
      <w:shd w:val="clear" w:color="auto" w:fill="E1DFDD"/>
    </w:rPr>
  </w:style>
  <w:style w:type="paragraph" w:customStyle="1" w:styleId="107">
    <w:name w:val="Revision"/>
    <w:hidden/>
    <w:semiHidden/>
    <w:uiPriority w:val="99"/>
    <w:pPr>
      <w:autoSpaceDN/>
    </w:pPr>
    <w:rPr>
      <w:rFonts w:ascii="Arial" w:hAnsi="Arial" w:eastAsia="Times New Roman" w:cs="Times New Roman"/>
      <w:color w:val="0D0D0D"/>
      <w:sz w:val="24"/>
      <w:szCs w:val="24"/>
      <w:lang w:val="en-GB" w:eastAsia="en-GB" w:bidi="ar-SA"/>
    </w:rPr>
  </w:style>
  <w:style w:type="character" w:customStyle="1" w:styleId="108">
    <w:name w:val="Mention"/>
    <w:basedOn w:val="11"/>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19c2d0-c014-44a1-ba1a-02c68ceea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341E4B84F0948BD1509E9A688839E" ma:contentTypeVersion="13" ma:contentTypeDescription="Create a new document." ma:contentTypeScope="" ma:versionID="2e03c6507eb433c10c548fd2f0be1819">
  <xsd:schema xmlns:xsd="http://www.w3.org/2001/XMLSchema" xmlns:xs="http://www.w3.org/2001/XMLSchema" xmlns:p="http://schemas.microsoft.com/office/2006/metadata/properties" xmlns:ns3="7a19c2d0-c014-44a1-ba1a-02c68ceea246" xmlns:ns4="83402550-b03e-45a6-99b5-127bdb7ebb10" targetNamespace="http://schemas.microsoft.com/office/2006/metadata/properties" ma:root="true" ma:fieldsID="8a2cc8f11b126a7a47fbd9a52a755bab" ns3:_="" ns4:_="">
    <xsd:import namespace="7a19c2d0-c014-44a1-ba1a-02c68ceea246"/>
    <xsd:import namespace="83402550-b03e-45a6-99b5-127bdb7ebb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9c2d0-c014-44a1-ba1a-02c68ceea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02550-b03e-45a6-99b5-127bdb7ebb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3EA2A-5B8C-47DA-A7D8-3D07817992B7}">
  <ds:schemaRefs/>
</ds:datastoreItem>
</file>

<file path=customXml/itemProps2.xml><?xml version="1.0" encoding="utf-8"?>
<ds:datastoreItem xmlns:ds="http://schemas.openxmlformats.org/officeDocument/2006/customXml" ds:itemID="{A7EA6BEF-22E2-4831-9914-CF39D9F33692}">
  <ds:schemaRefs/>
</ds:datastoreItem>
</file>

<file path=customXml/itemProps3.xml><?xml version="1.0" encoding="utf-8"?>
<ds:datastoreItem xmlns:ds="http://schemas.openxmlformats.org/officeDocument/2006/customXml" ds:itemID="{B6CBEAF6-8C2D-4380-854E-E2CC1C491905}">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2023-10-13T06:49:00Z</dcterms:created>
  <dc:creator>Publishing.TEAM@education.gsi.gov.uk</dc:creator>
  <cp:lastModifiedBy>Mrs V Ardern</cp:lastModifiedBy>
  <cp:lastPrinted>2014-09-17T21:26:00Z</cp:lastPrinted>
  <dcterms:modified xsi:type="dcterms:W3CDTF">2023-10-31T10:10:36Z</dcterms:modified>
  <dc:title>Pupil premium strategy statement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0x0101003F4341E4B84F0948BD1509E9A688839E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KSOProductBuildVer">
    <vt:lpwstr>2057-12.2.0.13266</vt:lpwstr>
  </property>
  <property fmtid="{D5CDD505-2E9C-101B-9397-08002B2CF9AE}" pid="14" name="ICV">
    <vt:lpwstr>553A1906B4DD4B62838F4FEBBB323EE3_13</vt:lpwstr>
  </property>
</Properties>
</file>