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97" w:lineRule="auto"/>
        <w:ind w:left="-5" w:right="69"/>
      </w:pPr>
      <w:r>
        <w:t xml:space="preserve"> </w:t>
      </w:r>
    </w:p>
    <w:tbl>
      <w:tblPr>
        <w:tblStyle w:val="TableGrid"/>
        <w:tblW w:w="14743" w:type="dxa"/>
        <w:tblInd w:w="11" w:type="dxa"/>
        <w:tblCellMar>
          <w:top w:w="11" w:type="dxa"/>
          <w:left w:w="145" w:type="dxa"/>
          <w:right w:w="115" w:type="dxa"/>
        </w:tblCellMar>
        <w:tblLook w:val="04A0" w:firstRow="1" w:lastRow="0" w:firstColumn="1" w:lastColumn="0" w:noHBand="0" w:noVBand="1"/>
      </w:tblPr>
      <w:tblGrid>
        <w:gridCol w:w="14743"/>
      </w:tblGrid>
      <w:tr>
        <w:trPr>
          <w:trHeight w:val="466"/>
        </w:trPr>
        <w:tc>
          <w:tcPr>
            <w:tcW w:w="14743" w:type="dxa"/>
            <w:tcBorders>
              <w:top w:val="single" w:sz="4" w:space="0" w:color="000000"/>
              <w:left w:val="single" w:sz="4" w:space="0" w:color="000000"/>
              <w:bottom w:val="single" w:sz="4" w:space="0" w:color="000000"/>
              <w:right w:val="single" w:sz="4" w:space="0" w:color="000000"/>
            </w:tcBorders>
            <w:shd w:val="clear" w:color="auto" w:fill="CFDCE3"/>
          </w:tcPr>
          <w:p>
            <w:pPr>
              <w:spacing w:after="0" w:line="259" w:lineRule="auto"/>
              <w:ind w:left="0" w:firstLine="0"/>
            </w:pPr>
            <w:r>
              <w:rPr>
                <w:b/>
                <w:color w:val="050505"/>
              </w:rPr>
              <w:t xml:space="preserve">Walton-le-Dale High School’s Pupil Premium Action Plan 2018-20 </w:t>
            </w:r>
            <w:r>
              <w:t xml:space="preserve"> </w:t>
            </w:r>
          </w:p>
        </w:tc>
      </w:tr>
    </w:tbl>
    <w:p>
      <w:pPr>
        <w:spacing w:after="50" w:line="259" w:lineRule="auto"/>
        <w:ind w:left="0" w:firstLine="0"/>
      </w:pPr>
      <w:r>
        <w:rPr>
          <w:sz w:val="2"/>
        </w:rPr>
        <w:t xml:space="preserve"> </w:t>
      </w:r>
    </w:p>
    <w:tbl>
      <w:tblPr>
        <w:tblStyle w:val="TableGrid"/>
        <w:tblW w:w="14743" w:type="dxa"/>
        <w:tblInd w:w="11" w:type="dxa"/>
        <w:tblCellMar>
          <w:top w:w="10" w:type="dxa"/>
          <w:left w:w="145" w:type="dxa"/>
          <w:right w:w="115" w:type="dxa"/>
        </w:tblCellMar>
        <w:tblLook w:val="04A0" w:firstRow="1" w:lastRow="0" w:firstColumn="1" w:lastColumn="0" w:noHBand="0" w:noVBand="1"/>
      </w:tblPr>
      <w:tblGrid>
        <w:gridCol w:w="4067"/>
        <w:gridCol w:w="10676"/>
      </w:tblGrid>
      <w:tr>
        <w:trPr>
          <w:trHeight w:val="470"/>
        </w:trPr>
        <w:tc>
          <w:tcPr>
            <w:tcW w:w="14743" w:type="dxa"/>
            <w:gridSpan w:val="2"/>
            <w:tcBorders>
              <w:top w:val="single" w:sz="4" w:space="0" w:color="000000"/>
              <w:left w:val="single" w:sz="4" w:space="0" w:color="000000"/>
              <w:bottom w:val="single" w:sz="4" w:space="0" w:color="000000"/>
              <w:right w:val="single" w:sz="4" w:space="0" w:color="000000"/>
            </w:tcBorders>
            <w:shd w:val="clear" w:color="auto" w:fill="CFDCE3"/>
          </w:tcPr>
          <w:p>
            <w:pPr>
              <w:spacing w:after="0" w:line="259" w:lineRule="auto"/>
              <w:ind w:left="0" w:firstLine="0"/>
            </w:pPr>
            <w:r>
              <w:rPr>
                <w:b/>
                <w:color w:val="050505"/>
              </w:rPr>
              <w:t>Pupil Premium Profile 2018-19</w:t>
            </w:r>
            <w:r>
              <w:t xml:space="preserve"> </w:t>
            </w:r>
          </w:p>
        </w:tc>
      </w:tr>
      <w:tr>
        <w:trPr>
          <w:trHeight w:val="428"/>
        </w:trPr>
        <w:tc>
          <w:tcPr>
            <w:tcW w:w="4067"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pPr>
            <w:r>
              <w:rPr>
                <w:b/>
                <w:color w:val="050505"/>
              </w:rPr>
              <w:t>Number of eligible pupils</w:t>
            </w:r>
            <w:r>
              <w:t xml:space="preserve"> </w:t>
            </w:r>
          </w:p>
        </w:tc>
        <w:tc>
          <w:tcPr>
            <w:tcW w:w="10676" w:type="dxa"/>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 xml:space="preserve"> 249</w:t>
            </w:r>
          </w:p>
        </w:tc>
      </w:tr>
      <w:tr>
        <w:trPr>
          <w:trHeight w:val="432"/>
        </w:trPr>
        <w:tc>
          <w:tcPr>
            <w:tcW w:w="4067"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pPr>
            <w:r>
              <w:rPr>
                <w:b/>
              </w:rPr>
              <w:t xml:space="preserve">Proportion of pupil population </w:t>
            </w:r>
          </w:p>
        </w:tc>
        <w:tc>
          <w:tcPr>
            <w:tcW w:w="10676" w:type="dxa"/>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 xml:space="preserve"> 32%</w:t>
            </w:r>
          </w:p>
        </w:tc>
      </w:tr>
      <w:tr>
        <w:trPr>
          <w:trHeight w:val="423"/>
        </w:trPr>
        <w:tc>
          <w:tcPr>
            <w:tcW w:w="4067"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pPr>
            <w:r>
              <w:rPr>
                <w:b/>
                <w:color w:val="050505"/>
              </w:rPr>
              <w:t>Total pupil premium budget</w:t>
            </w:r>
            <w:r>
              <w:t xml:space="preserve"> </w:t>
            </w:r>
          </w:p>
        </w:tc>
        <w:tc>
          <w:tcPr>
            <w:tcW w:w="10676" w:type="dxa"/>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 xml:space="preserve"> £200280</w:t>
            </w:r>
          </w:p>
        </w:tc>
      </w:tr>
    </w:tbl>
    <w:p>
      <w:pPr>
        <w:spacing w:after="48" w:line="259" w:lineRule="auto"/>
        <w:ind w:left="0" w:firstLine="0"/>
      </w:pPr>
      <w:r>
        <w:rPr>
          <w:sz w:val="2"/>
        </w:rPr>
        <w:t xml:space="preserve"> </w:t>
      </w:r>
    </w:p>
    <w:tbl>
      <w:tblPr>
        <w:tblStyle w:val="TableGrid"/>
        <w:tblW w:w="14736" w:type="dxa"/>
        <w:tblInd w:w="1" w:type="dxa"/>
        <w:tblCellMar>
          <w:top w:w="10" w:type="dxa"/>
          <w:left w:w="294" w:type="dxa"/>
          <w:right w:w="115" w:type="dxa"/>
        </w:tblCellMar>
        <w:tblLook w:val="04A0" w:firstRow="1" w:lastRow="0" w:firstColumn="1" w:lastColumn="0" w:noHBand="0" w:noVBand="1"/>
      </w:tblPr>
      <w:tblGrid>
        <w:gridCol w:w="14736"/>
      </w:tblGrid>
      <w:tr>
        <w:trPr>
          <w:trHeight w:val="458"/>
        </w:trPr>
        <w:tc>
          <w:tcPr>
            <w:tcW w:w="14736" w:type="dxa"/>
            <w:tcBorders>
              <w:top w:val="single" w:sz="4" w:space="0" w:color="000000"/>
              <w:left w:val="single" w:sz="4" w:space="0" w:color="000000"/>
              <w:bottom w:val="single" w:sz="4" w:space="0" w:color="000000"/>
              <w:right w:val="single" w:sz="4" w:space="0" w:color="000000"/>
            </w:tcBorders>
            <w:shd w:val="clear" w:color="auto" w:fill="CFDCE3"/>
          </w:tcPr>
          <w:p>
            <w:pPr>
              <w:spacing w:after="0" w:line="259" w:lineRule="auto"/>
              <w:ind w:left="0" w:right="180" w:firstLine="0"/>
              <w:jc w:val="center"/>
            </w:pPr>
            <w:r>
              <w:rPr>
                <w:b/>
                <w:color w:val="050505"/>
              </w:rPr>
              <w:t>Executive summary</w:t>
            </w:r>
            <w:r>
              <w:t xml:space="preserve"> </w:t>
            </w:r>
          </w:p>
        </w:tc>
      </w:tr>
      <w:tr>
        <w:trPr>
          <w:trHeight w:val="3263"/>
        </w:trPr>
        <w:tc>
          <w:tcPr>
            <w:tcW w:w="14736" w:type="dxa"/>
            <w:tcBorders>
              <w:top w:val="single" w:sz="4" w:space="0" w:color="000000"/>
              <w:left w:val="single" w:sz="4" w:space="0" w:color="000000"/>
              <w:bottom w:val="single" w:sz="4" w:space="0" w:color="000000"/>
              <w:right w:val="single" w:sz="4" w:space="0" w:color="000000"/>
            </w:tcBorders>
          </w:tcPr>
          <w:p>
            <w:pPr>
              <w:spacing w:after="0" w:line="259" w:lineRule="auto"/>
              <w:ind w:left="172" w:right="1643" w:firstLine="0"/>
            </w:pPr>
            <w:r>
              <w:t xml:space="preserve">Following the Ofsted inspection in June 2018 a Pupil Premium review </w:t>
            </w:r>
            <w:proofErr w:type="gramStart"/>
            <w:r>
              <w:t>was commissioned</w:t>
            </w:r>
            <w:proofErr w:type="gramEnd"/>
            <w:r>
              <w:t xml:space="preserve"> and took place in October 2018.  </w:t>
            </w:r>
          </w:p>
          <w:p>
            <w:pPr>
              <w:spacing w:after="0" w:line="259" w:lineRule="auto"/>
              <w:ind w:left="172" w:right="428" w:firstLine="0"/>
            </w:pPr>
          </w:p>
          <w:p>
            <w:pPr>
              <w:spacing w:after="0" w:line="259" w:lineRule="auto"/>
              <w:ind w:left="172" w:right="319" w:firstLine="0"/>
            </w:pPr>
            <w:r>
              <w:t>Results in 2017 had a significant gap between disadvantaged and non-disadvantaged students in P8 (0.46).  Provisional results for 2018 indicate that the gap has halved to 0.23.  Overall P8 has remained around the same (-0.29).  A key challenge therefore is to improve the overall progress of students while further reducing any gap between disadvantaged and other students.</w:t>
            </w:r>
          </w:p>
          <w:p>
            <w:pPr>
              <w:spacing w:after="0" w:line="259" w:lineRule="auto"/>
              <w:ind w:left="172" w:right="319" w:firstLine="0"/>
            </w:pPr>
          </w:p>
          <w:p>
            <w:pPr>
              <w:spacing w:after="0" w:line="259" w:lineRule="auto"/>
              <w:ind w:left="172" w:right="319" w:firstLine="0"/>
            </w:pPr>
            <w:r>
              <w:t xml:space="preserve">Persistent absence of disadvantaged students was a key issue in 2017-18 and this is therefore a focus for the school. </w:t>
            </w:r>
          </w:p>
          <w:p>
            <w:pPr>
              <w:spacing w:after="0" w:line="259" w:lineRule="auto"/>
              <w:ind w:left="172" w:right="319" w:firstLine="0"/>
            </w:pPr>
          </w:p>
          <w:p>
            <w:pPr>
              <w:spacing w:after="0" w:line="259" w:lineRule="auto"/>
              <w:ind w:left="172" w:right="319" w:firstLine="0"/>
            </w:pPr>
            <w:r>
              <w:t>The Pupil Premium review made 16 recommendations, the majority of which focused on the provision of consistently brilliant teaching and learning across the school.  These strategies augment the key approaches of the School Improvement Plan 2018-20, providing additional funding to support the objectives.</w:t>
            </w:r>
          </w:p>
          <w:p>
            <w:pPr>
              <w:spacing w:after="0" w:line="259" w:lineRule="auto"/>
              <w:ind w:left="172" w:right="319" w:firstLine="0"/>
            </w:pPr>
          </w:p>
          <w:p>
            <w:pPr>
              <w:spacing w:after="0" w:line="259" w:lineRule="auto"/>
              <w:ind w:left="172" w:right="319" w:firstLine="0"/>
            </w:pPr>
            <w:r>
              <w:t xml:space="preserve">While the funding </w:t>
            </w:r>
            <w:proofErr w:type="gramStart"/>
            <w:r>
              <w:t>is provided</w:t>
            </w:r>
            <w:proofErr w:type="gramEnd"/>
            <w:r>
              <w:t xml:space="preserve"> in one year, the plan runs across 2 years in order to match the school improvement plan and to ensure the effective embedding of appropriate strategies.  Funding identified is in this financial year.</w:t>
            </w:r>
          </w:p>
        </w:tc>
      </w:tr>
    </w:tbl>
    <w:p>
      <w:pPr>
        <w:pStyle w:val="Heading1"/>
        <w:spacing w:after="0"/>
        <w:ind w:left="-5"/>
      </w:pPr>
    </w:p>
    <w:p>
      <w:pPr>
        <w:spacing w:after="160" w:line="259" w:lineRule="auto"/>
        <w:ind w:left="0" w:firstLine="0"/>
        <w:rPr>
          <w:b/>
          <w:color w:val="104F75"/>
          <w:sz w:val="36"/>
        </w:rPr>
      </w:pPr>
      <w:r>
        <w:br w:type="page"/>
      </w:r>
    </w:p>
    <w:p>
      <w:pPr>
        <w:pStyle w:val="Heading1"/>
        <w:spacing w:after="0"/>
        <w:ind w:left="-5"/>
      </w:pPr>
    </w:p>
    <w:tbl>
      <w:tblPr>
        <w:tblStyle w:val="TableGrid"/>
        <w:tblW w:w="15502" w:type="dxa"/>
        <w:tblInd w:w="11" w:type="dxa"/>
        <w:tblLayout w:type="fixed"/>
        <w:tblCellMar>
          <w:top w:w="8" w:type="dxa"/>
          <w:left w:w="198" w:type="dxa"/>
          <w:right w:w="4" w:type="dxa"/>
        </w:tblCellMar>
        <w:tblLook w:val="04A0" w:firstRow="1" w:lastRow="0" w:firstColumn="1" w:lastColumn="0" w:noHBand="0" w:noVBand="1"/>
      </w:tblPr>
      <w:tblGrid>
        <w:gridCol w:w="3699"/>
        <w:gridCol w:w="2137"/>
        <w:gridCol w:w="4062"/>
        <w:gridCol w:w="3564"/>
        <w:gridCol w:w="1970"/>
        <w:gridCol w:w="70"/>
      </w:tblGrid>
      <w:tr>
        <w:trPr>
          <w:trHeight w:val="1190"/>
          <w:tblHeader/>
        </w:trPr>
        <w:tc>
          <w:tcPr>
            <w:tcW w:w="3699" w:type="dxa"/>
            <w:tcBorders>
              <w:top w:val="single" w:sz="4" w:space="0" w:color="000000"/>
              <w:left w:val="single" w:sz="4" w:space="0" w:color="000000"/>
              <w:bottom w:val="single" w:sz="4" w:space="0" w:color="000000"/>
              <w:right w:val="single" w:sz="4" w:space="0" w:color="000000"/>
            </w:tcBorders>
            <w:shd w:val="clear" w:color="auto" w:fill="CFDCE3"/>
          </w:tcPr>
          <w:p>
            <w:pPr>
              <w:spacing w:after="0" w:line="259" w:lineRule="auto"/>
              <w:ind w:left="0" w:firstLine="0"/>
            </w:pPr>
            <w:r>
              <w:rPr>
                <w:b/>
                <w:color w:val="050505"/>
              </w:rPr>
              <w:t>Approach</w:t>
            </w:r>
            <w: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auto" w:fill="CFDCE3"/>
          </w:tcPr>
          <w:p>
            <w:pPr>
              <w:spacing w:after="0" w:line="259" w:lineRule="auto"/>
              <w:ind w:left="2" w:firstLine="0"/>
              <w:jc w:val="both"/>
              <w:rPr>
                <w:b/>
                <w:color w:val="050505"/>
              </w:rPr>
            </w:pPr>
            <w:r>
              <w:rPr>
                <w:b/>
                <w:color w:val="050505"/>
              </w:rPr>
              <w:t>Linked section of SIP –</w:t>
            </w:r>
            <w:r>
              <w:rPr>
                <w:b/>
                <w:i/>
                <w:color w:val="050505"/>
              </w:rPr>
              <w:t xml:space="preserve"> owner of recommendation is the owner of the section of the SIP</w:t>
            </w:r>
          </w:p>
        </w:tc>
        <w:tc>
          <w:tcPr>
            <w:tcW w:w="4062" w:type="dxa"/>
            <w:tcBorders>
              <w:top w:val="single" w:sz="4" w:space="0" w:color="000000"/>
              <w:left w:val="single" w:sz="4" w:space="0" w:color="000000"/>
              <w:bottom w:val="single" w:sz="4" w:space="0" w:color="000000"/>
              <w:right w:val="single" w:sz="4" w:space="0" w:color="000000"/>
            </w:tcBorders>
            <w:shd w:val="clear" w:color="auto" w:fill="CFDCE3"/>
          </w:tcPr>
          <w:p>
            <w:pPr>
              <w:spacing w:after="0" w:line="259" w:lineRule="auto"/>
              <w:ind w:left="2" w:firstLine="0"/>
              <w:jc w:val="both"/>
            </w:pPr>
            <w:r>
              <w:rPr>
                <w:b/>
                <w:color w:val="050505"/>
              </w:rPr>
              <w:t>Outcomes and success criteria</w:t>
            </w:r>
            <w:r>
              <w:t xml:space="preserve"> </w:t>
            </w:r>
          </w:p>
        </w:tc>
        <w:tc>
          <w:tcPr>
            <w:tcW w:w="3564" w:type="dxa"/>
            <w:tcBorders>
              <w:top w:val="single" w:sz="4" w:space="0" w:color="000000"/>
              <w:left w:val="single" w:sz="4" w:space="0" w:color="000000"/>
              <w:bottom w:val="single" w:sz="4" w:space="0" w:color="000000"/>
              <w:right w:val="single" w:sz="4" w:space="0" w:color="000000"/>
            </w:tcBorders>
            <w:shd w:val="clear" w:color="auto" w:fill="CFDCE3"/>
          </w:tcPr>
          <w:p>
            <w:pPr>
              <w:spacing w:after="0" w:line="259" w:lineRule="auto"/>
              <w:ind w:left="1" w:firstLine="0"/>
            </w:pPr>
            <w:r>
              <w:rPr>
                <w:b/>
                <w:color w:val="050505"/>
              </w:rPr>
              <w:t>Milestones</w:t>
            </w:r>
            <w:r>
              <w:t xml:space="preserve"> </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CFDCE3"/>
          </w:tcPr>
          <w:p>
            <w:pPr>
              <w:spacing w:after="0" w:line="259" w:lineRule="auto"/>
              <w:ind w:left="1" w:firstLine="0"/>
            </w:pPr>
            <w:r>
              <w:rPr>
                <w:b/>
                <w:color w:val="050505"/>
              </w:rPr>
              <w:t>Total cost</w:t>
            </w:r>
            <w:r>
              <w:t xml:space="preserve"> </w:t>
            </w:r>
          </w:p>
        </w:tc>
      </w:tr>
      <w:tr>
        <w:trPr>
          <w:trHeight w:val="1291"/>
        </w:trPr>
        <w:tc>
          <w:tcPr>
            <w:tcW w:w="3699" w:type="dxa"/>
            <w:tcBorders>
              <w:top w:val="single" w:sz="4" w:space="0" w:color="000000"/>
              <w:left w:val="single" w:sz="4" w:space="0" w:color="000000"/>
              <w:bottom w:val="single" w:sz="4" w:space="0" w:color="000000"/>
              <w:right w:val="single" w:sz="4" w:space="0" w:color="000000"/>
            </w:tcBorders>
          </w:tcPr>
          <w:p>
            <w:pPr>
              <w:spacing w:after="0" w:line="259" w:lineRule="auto"/>
              <w:ind w:left="0" w:right="158" w:firstLine="0"/>
            </w:pPr>
            <w:r>
              <w:t>High Quality, “Brilliant Teaching and Learning” every lesson every day (recommendations 1, 6)</w:t>
            </w:r>
          </w:p>
          <w:p>
            <w:pPr>
              <w:spacing w:after="0" w:line="259" w:lineRule="auto"/>
              <w:ind w:left="0" w:right="158" w:firstLine="0"/>
            </w:pPr>
            <w:r>
              <w:t xml:space="preserve">In order to enable this class sizes </w:t>
            </w:r>
            <w:proofErr w:type="gramStart"/>
            <w:r>
              <w:t>are reduced</w:t>
            </w:r>
            <w:proofErr w:type="gramEnd"/>
            <w:r>
              <w:t xml:space="preserve"> in years 9, 10 and 11.  EEF recognise this as an expensive, but medium impact strategy, but its impact at WLD must be considered in the light of the other approaches that it makes possible – for example the improved feedback, which is a high impact low cost strategy.</w:t>
            </w:r>
          </w:p>
        </w:tc>
        <w:tc>
          <w:tcPr>
            <w:tcW w:w="2137" w:type="dxa"/>
            <w:tcBorders>
              <w:top w:val="single" w:sz="4" w:space="0" w:color="000000"/>
              <w:left w:val="single" w:sz="4" w:space="0" w:color="000000"/>
              <w:bottom w:val="single" w:sz="4" w:space="0" w:color="000000"/>
              <w:right w:val="single" w:sz="4" w:space="0" w:color="000000"/>
            </w:tcBorders>
          </w:tcPr>
          <w:p>
            <w:pPr>
              <w:spacing w:after="0" w:line="259" w:lineRule="auto"/>
              <w:ind w:left="0" w:right="41" w:firstLine="0"/>
            </w:pPr>
            <w:r>
              <w:t>Brilliant Teaching and Learning</w:t>
            </w:r>
          </w:p>
        </w:tc>
        <w:tc>
          <w:tcPr>
            <w:tcW w:w="4062" w:type="dxa"/>
            <w:tcBorders>
              <w:top w:val="single" w:sz="4" w:space="0" w:color="000000"/>
              <w:left w:val="single" w:sz="4" w:space="0" w:color="000000"/>
              <w:bottom w:val="single" w:sz="4" w:space="0" w:color="000000"/>
              <w:right w:val="single" w:sz="4" w:space="0" w:color="000000"/>
            </w:tcBorders>
          </w:tcPr>
          <w:p>
            <w:pPr>
              <w:spacing w:after="0" w:line="259" w:lineRule="auto"/>
              <w:ind w:left="0" w:right="41" w:firstLine="0"/>
            </w:pPr>
            <w:r>
              <w:t>P8 becomes 0 or better for disadvantaged and other students</w:t>
            </w:r>
          </w:p>
          <w:p>
            <w:pPr>
              <w:spacing w:after="0" w:line="259" w:lineRule="auto"/>
              <w:ind w:left="0" w:right="41" w:firstLine="0"/>
            </w:pPr>
          </w:p>
          <w:p>
            <w:pPr>
              <w:spacing w:after="0" w:line="259" w:lineRule="auto"/>
              <w:ind w:left="0" w:right="41" w:firstLine="0"/>
            </w:pPr>
            <w:r>
              <w:t>Percentage of students making expected or better progress at each data tracking is the same for disadvantaged and other students</w:t>
            </w:r>
          </w:p>
          <w:p>
            <w:pPr>
              <w:spacing w:after="0" w:line="259" w:lineRule="auto"/>
              <w:ind w:left="0" w:right="41" w:firstLine="0"/>
            </w:pPr>
          </w:p>
          <w:p>
            <w:pPr>
              <w:spacing w:after="0" w:line="259" w:lineRule="auto"/>
              <w:ind w:left="0" w:right="41" w:firstLine="0"/>
            </w:pPr>
          </w:p>
          <w:p>
            <w:pPr>
              <w:spacing w:after="0" w:line="259" w:lineRule="auto"/>
              <w:ind w:left="0" w:right="41" w:firstLine="0"/>
            </w:pPr>
          </w:p>
        </w:tc>
        <w:tc>
          <w:tcPr>
            <w:tcW w:w="3564" w:type="dxa"/>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P8 gap reduced to 0.20 in summer 2019 results.</w:t>
            </w:r>
          </w:p>
          <w:p>
            <w:pPr>
              <w:spacing w:after="0" w:line="259" w:lineRule="auto"/>
              <w:ind w:left="1" w:firstLine="0"/>
            </w:pPr>
            <w:r>
              <w:t>Overall P8 improves to -0.15</w:t>
            </w:r>
          </w:p>
          <w:p>
            <w:pPr>
              <w:spacing w:after="0" w:line="259" w:lineRule="auto"/>
              <w:ind w:left="1" w:firstLine="0"/>
            </w:pPr>
          </w:p>
          <w:p>
            <w:pPr>
              <w:spacing w:after="0" w:line="259" w:lineRule="auto"/>
              <w:ind w:left="1" w:firstLine="0"/>
            </w:pPr>
            <w:r>
              <w:t>P8 gap reduced to 0.10 in summer 2020 results.  Overall P8 improves to 0</w:t>
            </w:r>
          </w:p>
          <w:p>
            <w:pPr>
              <w:spacing w:after="0" w:line="259" w:lineRule="auto"/>
              <w:ind w:left="1" w:firstLine="0"/>
            </w:pPr>
            <w:r>
              <w:t xml:space="preserve"> </w:t>
            </w:r>
          </w:p>
          <w:p>
            <w:pPr>
              <w:spacing w:after="0" w:line="259" w:lineRule="auto"/>
              <w:ind w:left="1" w:firstLine="0"/>
            </w:pPr>
            <w:r>
              <w:t>Tracking data shows a reducing gap between disadvantaged and other students in terms of making expected or better progress across 2018-19 and 2019-</w:t>
            </w:r>
            <w:commentRangeStart w:id="0"/>
            <w:r>
              <w:t>20</w:t>
            </w:r>
            <w:commentRangeEnd w:id="0"/>
            <w:r>
              <w:rPr>
                <w:rStyle w:val="CommentReference"/>
              </w:rPr>
              <w:commentReference w:id="0"/>
            </w:r>
            <w:r>
              <w:t>.</w:t>
            </w:r>
          </w:p>
          <w:p>
            <w:pPr>
              <w:spacing w:after="0" w:line="259" w:lineRule="auto"/>
              <w:ind w:left="1" w:firstLine="0"/>
            </w:pPr>
          </w:p>
        </w:tc>
        <w:tc>
          <w:tcPr>
            <w:tcW w:w="2040"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rPr>
                <w:color w:val="050505"/>
              </w:rPr>
              <w:t xml:space="preserve">3 FTE = 3 x £50300 with on-costs = </w:t>
            </w:r>
            <w:r>
              <w:rPr>
                <w:b/>
                <w:color w:val="050505"/>
              </w:rPr>
              <w:t>£150900</w:t>
            </w:r>
            <w:r>
              <w:rPr>
                <w:color w:val="050505"/>
              </w:rPr>
              <w:t xml:space="preserve"> </w:t>
            </w:r>
          </w:p>
        </w:tc>
      </w:tr>
      <w:tr>
        <w:trPr>
          <w:trHeight w:val="437"/>
        </w:trPr>
        <w:tc>
          <w:tcPr>
            <w:tcW w:w="3699"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pPr>
            <w:r>
              <w:t>Reconsider CPD programme linked to T&amp;L (recommendation 3).</w:t>
            </w:r>
          </w:p>
          <w:p>
            <w:pPr>
              <w:spacing w:after="0" w:line="259" w:lineRule="auto"/>
              <w:ind w:left="0" w:firstLine="0"/>
            </w:pPr>
          </w:p>
          <w:p>
            <w:pPr>
              <w:spacing w:after="0" w:line="259" w:lineRule="auto"/>
              <w:ind w:left="0" w:firstLine="0"/>
            </w:pPr>
            <w:r>
              <w:t xml:space="preserve">The “laboratory classrooms” project of Whole Education is a national </w:t>
            </w:r>
            <w:proofErr w:type="spellStart"/>
            <w:r>
              <w:t>intiative</w:t>
            </w:r>
            <w:proofErr w:type="spellEnd"/>
            <w:r>
              <w:t xml:space="preserve"> to develop the quality of T&amp;L.  This is a very valuable project to raise the standard of T&amp;L across the school.  Attendance by 3 key staff and dissemination across </w:t>
            </w:r>
            <w:r>
              <w:lastRenderedPageBreak/>
              <w:t>the school will go alongside the other strands of CPD (e.g. study groups, top tips, individual support….) in raising the standard of T&amp;L</w:t>
            </w:r>
          </w:p>
          <w:p>
            <w:pPr>
              <w:spacing w:after="0" w:line="259" w:lineRule="auto"/>
              <w:ind w:left="0" w:firstLine="0"/>
            </w:pPr>
          </w:p>
          <w:p>
            <w:pPr>
              <w:spacing w:after="0" w:line="259" w:lineRule="auto"/>
              <w:ind w:left="0" w:firstLine="0"/>
            </w:pPr>
            <w:r>
              <w:t xml:space="preserve"> </w:t>
            </w:r>
          </w:p>
        </w:tc>
        <w:tc>
          <w:tcPr>
            <w:tcW w:w="2137"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lastRenderedPageBreak/>
              <w:t>Brilliant Teaching and Learning</w:t>
            </w:r>
          </w:p>
        </w:tc>
        <w:tc>
          <w:tcPr>
            <w:tcW w:w="4062"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 xml:space="preserve">Information and strategies from “laboratory classrooms” project is shared with all staff and </w:t>
            </w:r>
            <w:commentRangeStart w:id="1"/>
            <w:r>
              <w:t>strategies</w:t>
            </w:r>
            <w:commentRangeEnd w:id="1"/>
            <w:r>
              <w:rPr>
                <w:rStyle w:val="CommentReference"/>
              </w:rPr>
              <w:commentReference w:id="1"/>
            </w:r>
            <w:r>
              <w:t xml:space="preserve"> </w:t>
            </w:r>
            <w:proofErr w:type="gramStart"/>
            <w:r>
              <w:t>are observed</w:t>
            </w:r>
            <w:proofErr w:type="gramEnd"/>
            <w:r>
              <w:t xml:space="preserve"> in practice.</w:t>
            </w:r>
          </w:p>
          <w:p>
            <w:pPr>
              <w:spacing w:after="0" w:line="259" w:lineRule="auto"/>
              <w:ind w:left="2" w:firstLine="0"/>
            </w:pPr>
            <w:r>
              <w:t xml:space="preserve">Impact on results is shown in that </w:t>
            </w:r>
          </w:p>
          <w:p>
            <w:pPr>
              <w:spacing w:after="0" w:line="259" w:lineRule="auto"/>
              <w:ind w:left="0" w:right="41" w:firstLine="0"/>
            </w:pPr>
            <w:r>
              <w:t xml:space="preserve">P8 becomes 0 or better for disadvantaged and other </w:t>
            </w:r>
            <w:commentRangeStart w:id="2"/>
            <w:r>
              <w:t>students</w:t>
            </w:r>
            <w:commentRangeEnd w:id="2"/>
            <w:r>
              <w:rPr>
                <w:rStyle w:val="CommentReference"/>
              </w:rPr>
              <w:commentReference w:id="2"/>
            </w:r>
          </w:p>
          <w:p>
            <w:pPr>
              <w:spacing w:after="0" w:line="259" w:lineRule="auto"/>
              <w:ind w:left="2" w:firstLine="0"/>
            </w:pPr>
            <w:r>
              <w:t xml:space="preserve"> </w:t>
            </w:r>
          </w:p>
        </w:tc>
        <w:tc>
          <w:tcPr>
            <w:tcW w:w="3564" w:type="dxa"/>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 xml:space="preserve"> P8 gap reduced to 0.20 in summer 2019 results.</w:t>
            </w:r>
          </w:p>
          <w:p>
            <w:pPr>
              <w:spacing w:after="0" w:line="259" w:lineRule="auto"/>
              <w:ind w:left="1" w:firstLine="0"/>
            </w:pPr>
            <w:r>
              <w:t>Overall P8 improves to -0.15</w:t>
            </w:r>
          </w:p>
          <w:p>
            <w:pPr>
              <w:spacing w:after="0" w:line="259" w:lineRule="auto"/>
              <w:ind w:left="1" w:firstLine="0"/>
            </w:pPr>
          </w:p>
          <w:p>
            <w:pPr>
              <w:spacing w:after="0" w:line="259" w:lineRule="auto"/>
              <w:ind w:left="1" w:firstLine="0"/>
            </w:pPr>
            <w:r>
              <w:t>P8 gap reduced to 0.10 in summer 2020 results.  Overall P8 improves to 0</w:t>
            </w:r>
          </w:p>
          <w:p>
            <w:pPr>
              <w:spacing w:after="0" w:line="259" w:lineRule="auto"/>
              <w:ind w:left="1" w:firstLine="0"/>
            </w:pPr>
            <w:r>
              <w:t xml:space="preserve"> </w:t>
            </w:r>
          </w:p>
          <w:p>
            <w:pPr>
              <w:spacing w:after="0" w:line="259" w:lineRule="auto"/>
              <w:ind w:left="1" w:firstLine="0"/>
            </w:pPr>
            <w:r>
              <w:t xml:space="preserve">Tracking data shows a reducing gap between disadvantaged and other students in terms of making </w:t>
            </w:r>
            <w:r>
              <w:lastRenderedPageBreak/>
              <w:t>expected or better progress across 2018-19 and 2019-20.</w:t>
            </w:r>
          </w:p>
        </w:tc>
        <w:tc>
          <w:tcPr>
            <w:tcW w:w="2040"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lastRenderedPageBreak/>
              <w:t xml:space="preserve">Travel and course costs.  Total cost </w:t>
            </w:r>
            <w:r>
              <w:rPr>
                <w:b/>
              </w:rPr>
              <w:t>£4000</w:t>
            </w:r>
          </w:p>
        </w:tc>
      </w:tr>
      <w:tr>
        <w:trPr>
          <w:trHeight w:val="420"/>
        </w:trPr>
        <w:tc>
          <w:tcPr>
            <w:tcW w:w="3699"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pPr>
            <w:r>
              <w:t>Work ethic and motivation of disadvantaged students (recommendation 2)</w:t>
            </w:r>
          </w:p>
          <w:p>
            <w:pPr>
              <w:spacing w:after="0" w:line="259" w:lineRule="auto"/>
              <w:ind w:left="0" w:firstLine="0"/>
            </w:pPr>
          </w:p>
          <w:p>
            <w:pPr>
              <w:spacing w:after="0" w:line="259" w:lineRule="auto"/>
              <w:ind w:left="0" w:firstLine="0"/>
            </w:pPr>
            <w:r>
              <w:t xml:space="preserve">Individual funding for trips, uniform, </w:t>
            </w:r>
            <w:proofErr w:type="gramStart"/>
            <w:r>
              <w:t>bus</w:t>
            </w:r>
            <w:proofErr w:type="gramEnd"/>
            <w:r>
              <w:t xml:space="preserve"> passes, revision guides, resources etc… </w:t>
            </w:r>
          </w:p>
          <w:p>
            <w:pPr>
              <w:spacing w:after="0" w:line="259" w:lineRule="auto"/>
              <w:ind w:left="0" w:firstLine="0"/>
            </w:pPr>
          </w:p>
        </w:tc>
        <w:tc>
          <w:tcPr>
            <w:tcW w:w="2137"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Consistent hard work</w:t>
            </w:r>
          </w:p>
        </w:tc>
        <w:tc>
          <w:tcPr>
            <w:tcW w:w="4062"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Attitude to learning indicators at each tracking are the same for disadvantaged and other students</w:t>
            </w:r>
          </w:p>
        </w:tc>
        <w:tc>
          <w:tcPr>
            <w:tcW w:w="3564" w:type="dxa"/>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 xml:space="preserve">Average attitude to learning grade for disadvantaged students converges with the average attitude to learning grade for others. Each year group </w:t>
            </w:r>
            <w:proofErr w:type="gramStart"/>
            <w:r>
              <w:t>is tracked</w:t>
            </w:r>
            <w:proofErr w:type="gramEnd"/>
            <w:r>
              <w:t xml:space="preserve"> twice per year.</w:t>
            </w:r>
          </w:p>
        </w:tc>
        <w:tc>
          <w:tcPr>
            <w:tcW w:w="2040"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rPr>
                <w:b/>
              </w:rPr>
              <w:t>£11000</w:t>
            </w:r>
            <w:r>
              <w:t xml:space="preserve"> at £50 per student.</w:t>
            </w:r>
          </w:p>
          <w:p>
            <w:pPr>
              <w:spacing w:after="0" w:line="259" w:lineRule="auto"/>
              <w:ind w:left="1" w:firstLine="0"/>
            </w:pPr>
          </w:p>
          <w:p>
            <w:pPr>
              <w:spacing w:after="0" w:line="259" w:lineRule="auto"/>
              <w:ind w:left="1" w:firstLine="0"/>
            </w:pPr>
            <w:r>
              <w:t xml:space="preserve">Bus passes provided at half price – further £140 for approx. 80 students – another </w:t>
            </w:r>
            <w:r>
              <w:rPr>
                <w:b/>
              </w:rPr>
              <w:t>£11000</w:t>
            </w:r>
          </w:p>
          <w:p>
            <w:pPr>
              <w:spacing w:after="0" w:line="259" w:lineRule="auto"/>
              <w:ind w:left="1" w:firstLine="0"/>
            </w:pPr>
          </w:p>
          <w:p>
            <w:pPr>
              <w:spacing w:after="0" w:line="259" w:lineRule="auto"/>
              <w:ind w:left="1" w:firstLine="0"/>
            </w:pPr>
          </w:p>
          <w:p>
            <w:pPr>
              <w:spacing w:after="0" w:line="259" w:lineRule="auto"/>
              <w:ind w:left="1" w:firstLine="0"/>
            </w:pPr>
          </w:p>
        </w:tc>
      </w:tr>
      <w:tr>
        <w:trPr>
          <w:trHeight w:val="420"/>
        </w:trPr>
        <w:tc>
          <w:tcPr>
            <w:tcW w:w="3699"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pPr>
            <w:r>
              <w:t>Improve attendance of PP students (recommendation 4)</w:t>
            </w:r>
          </w:p>
          <w:p>
            <w:pPr>
              <w:spacing w:after="0" w:line="259" w:lineRule="auto"/>
              <w:ind w:left="0" w:firstLine="0"/>
            </w:pPr>
          </w:p>
          <w:p>
            <w:pPr>
              <w:spacing w:after="0" w:line="259" w:lineRule="auto"/>
              <w:ind w:left="0" w:firstLine="0"/>
            </w:pPr>
            <w:r>
              <w:t>Mentoring from attendance workers and external support</w:t>
            </w:r>
          </w:p>
          <w:p>
            <w:pPr>
              <w:spacing w:after="0" w:line="259" w:lineRule="auto"/>
              <w:ind w:left="0" w:firstLine="0"/>
            </w:pPr>
            <w:r>
              <w:t xml:space="preserve">  </w:t>
            </w:r>
          </w:p>
        </w:tc>
        <w:tc>
          <w:tcPr>
            <w:tcW w:w="2137"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Exceptional support for one another</w:t>
            </w:r>
          </w:p>
        </w:tc>
        <w:tc>
          <w:tcPr>
            <w:tcW w:w="4062"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Attendance of PP students is in line with those who are not disadvantaged and is in line with or better than national figures.</w:t>
            </w:r>
          </w:p>
          <w:p>
            <w:pPr>
              <w:spacing w:after="0" w:line="259" w:lineRule="auto"/>
              <w:ind w:left="2" w:firstLine="0"/>
              <w:rPr>
                <w:i/>
              </w:rPr>
            </w:pPr>
          </w:p>
        </w:tc>
        <w:tc>
          <w:tcPr>
            <w:tcW w:w="3564" w:type="dxa"/>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 xml:space="preserve">See the milestones in the “Exceptional Support for one another” </w:t>
            </w:r>
            <w:commentRangeStart w:id="3"/>
            <w:r>
              <w:t>plan</w:t>
            </w:r>
            <w:commentRangeEnd w:id="3"/>
            <w:r>
              <w:rPr>
                <w:rStyle w:val="CommentReference"/>
              </w:rPr>
              <w:commentReference w:id="3"/>
            </w:r>
            <w:r>
              <w:t xml:space="preserve"> </w:t>
            </w:r>
          </w:p>
          <w:p>
            <w:pPr>
              <w:spacing w:after="0" w:line="259" w:lineRule="auto"/>
              <w:ind w:left="1" w:firstLine="0"/>
            </w:pPr>
          </w:p>
        </w:tc>
        <w:tc>
          <w:tcPr>
            <w:tcW w:w="2040"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rPr>
                <w:b/>
              </w:rPr>
              <w:t>£4000</w:t>
            </w:r>
            <w:r>
              <w:t xml:space="preserve"> on provision of mentor time by appropriate support workers</w:t>
            </w:r>
          </w:p>
          <w:p>
            <w:pPr>
              <w:spacing w:after="0" w:line="259" w:lineRule="auto"/>
              <w:ind w:left="1" w:firstLine="0"/>
            </w:pPr>
            <w:r>
              <w:rPr>
                <w:b/>
              </w:rPr>
              <w:t>£1000</w:t>
            </w:r>
            <w:r>
              <w:t xml:space="preserve"> on additional EP support</w:t>
            </w:r>
          </w:p>
          <w:p>
            <w:pPr>
              <w:spacing w:after="0" w:line="259" w:lineRule="auto"/>
              <w:ind w:left="1" w:firstLine="0"/>
            </w:pPr>
            <w:r>
              <w:t xml:space="preserve"> </w:t>
            </w:r>
          </w:p>
        </w:tc>
      </w:tr>
      <w:tr>
        <w:trPr>
          <w:trHeight w:val="420"/>
        </w:trPr>
        <w:tc>
          <w:tcPr>
            <w:tcW w:w="3699"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pPr>
            <w:r>
              <w:lastRenderedPageBreak/>
              <w:t xml:space="preserve">Further involve students’ parents with life at WLD (recommendation 7) – make further use of school communications systems </w:t>
            </w:r>
            <w:proofErr w:type="spellStart"/>
            <w:r>
              <w:t>esp</w:t>
            </w:r>
            <w:proofErr w:type="spellEnd"/>
            <w:r>
              <w:t xml:space="preserve"> text</w:t>
            </w:r>
          </w:p>
        </w:tc>
        <w:tc>
          <w:tcPr>
            <w:tcW w:w="2137"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Exceptional support for one another</w:t>
            </w:r>
          </w:p>
        </w:tc>
        <w:tc>
          <w:tcPr>
            <w:tcW w:w="4062"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Attitude to learning indicators at each tracking are the same for disadvantaged and other students</w:t>
            </w:r>
          </w:p>
          <w:p>
            <w:pPr>
              <w:spacing w:after="0" w:line="259" w:lineRule="auto"/>
              <w:ind w:left="2" w:firstLine="0"/>
            </w:pPr>
          </w:p>
          <w:p>
            <w:pPr>
              <w:spacing w:after="0" w:line="259" w:lineRule="auto"/>
              <w:ind w:left="2" w:firstLine="0"/>
            </w:pPr>
          </w:p>
        </w:tc>
        <w:tc>
          <w:tcPr>
            <w:tcW w:w="3564" w:type="dxa"/>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 xml:space="preserve">Average attitude to learning grade for disadvantaged students converges with the average attitude to learning grade for others. Each year group </w:t>
            </w:r>
            <w:proofErr w:type="gramStart"/>
            <w:r>
              <w:t>is tracked</w:t>
            </w:r>
            <w:proofErr w:type="gramEnd"/>
            <w:r>
              <w:t xml:space="preserve"> twice per year.</w:t>
            </w:r>
          </w:p>
        </w:tc>
        <w:tc>
          <w:tcPr>
            <w:tcW w:w="2040"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1" w:firstLine="0"/>
              <w:rPr>
                <w:b/>
              </w:rPr>
            </w:pPr>
            <w:proofErr w:type="spellStart"/>
            <w:r>
              <w:t>Schoolcomms</w:t>
            </w:r>
            <w:proofErr w:type="spellEnd"/>
            <w:r>
              <w:t xml:space="preserve"> – total cost is  £1848 + £2500 on texts </w:t>
            </w:r>
            <w:r>
              <w:rPr>
                <w:b/>
              </w:rPr>
              <w:t>£4348</w:t>
            </w:r>
          </w:p>
        </w:tc>
      </w:tr>
      <w:tr>
        <w:trPr>
          <w:trHeight w:val="420"/>
        </w:trPr>
        <w:tc>
          <w:tcPr>
            <w:tcW w:w="3699"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pPr>
            <w:r>
              <w:t>Promote reading and the use of wider vocabulary (recommendation 8) and the construction of longer written answers (recommendation 9)</w:t>
            </w:r>
          </w:p>
        </w:tc>
        <w:tc>
          <w:tcPr>
            <w:tcW w:w="2137"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Brilliant Teaching and Learning</w:t>
            </w:r>
          </w:p>
        </w:tc>
        <w:tc>
          <w:tcPr>
            <w:tcW w:w="4062"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 xml:space="preserve">Reading and </w:t>
            </w:r>
            <w:proofErr w:type="gramStart"/>
            <w:r>
              <w:t>high level</w:t>
            </w:r>
            <w:proofErr w:type="gramEnd"/>
            <w:r>
              <w:t xml:space="preserve"> vocabulary use embedded in teaching and learning across all subjects.</w:t>
            </w:r>
          </w:p>
        </w:tc>
        <w:tc>
          <w:tcPr>
            <w:tcW w:w="3564" w:type="dxa"/>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 xml:space="preserve">See section 1.2 of Brilliant Teaching and Learning </w:t>
            </w:r>
            <w:commentRangeStart w:id="4"/>
            <w:r>
              <w:t>plan</w:t>
            </w:r>
            <w:commentRangeEnd w:id="4"/>
            <w:r>
              <w:rPr>
                <w:rStyle w:val="CommentReference"/>
              </w:rPr>
              <w:commentReference w:id="4"/>
            </w:r>
          </w:p>
        </w:tc>
        <w:tc>
          <w:tcPr>
            <w:tcW w:w="2040"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Costs already planned for in SIP</w:t>
            </w:r>
          </w:p>
        </w:tc>
      </w:tr>
      <w:tr>
        <w:trPr>
          <w:trHeight w:val="420"/>
        </w:trPr>
        <w:tc>
          <w:tcPr>
            <w:tcW w:w="3699"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pPr>
            <w:r>
              <w:t xml:space="preserve">Review format of school day (recommendation 10) </w:t>
            </w:r>
          </w:p>
        </w:tc>
        <w:tc>
          <w:tcPr>
            <w:tcW w:w="2137"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Supportive admin and systems</w:t>
            </w:r>
          </w:p>
        </w:tc>
        <w:tc>
          <w:tcPr>
            <w:tcW w:w="4062"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School day fit for purpose</w:t>
            </w:r>
          </w:p>
        </w:tc>
        <w:tc>
          <w:tcPr>
            <w:tcW w:w="3564" w:type="dxa"/>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Review carried out Sept 2019</w:t>
            </w:r>
          </w:p>
          <w:p>
            <w:pPr>
              <w:spacing w:after="0" w:line="259" w:lineRule="auto"/>
              <w:ind w:left="1" w:firstLine="0"/>
            </w:pPr>
            <w:r>
              <w:t>Any recommendations implemented for Sept 2020</w:t>
            </w:r>
          </w:p>
        </w:tc>
        <w:tc>
          <w:tcPr>
            <w:tcW w:w="2040"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No cost implication</w:t>
            </w:r>
          </w:p>
        </w:tc>
      </w:tr>
      <w:tr>
        <w:trPr>
          <w:trHeight w:val="420"/>
        </w:trPr>
        <w:tc>
          <w:tcPr>
            <w:tcW w:w="3699"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pPr>
            <w:r>
              <w:t>Improve learning environment (recommendations 11 &amp; 16)</w:t>
            </w:r>
          </w:p>
          <w:p>
            <w:pPr>
              <w:spacing w:after="0" w:line="259" w:lineRule="auto"/>
              <w:ind w:left="0" w:firstLine="0"/>
            </w:pPr>
          </w:p>
          <w:p>
            <w:pPr>
              <w:spacing w:after="0" w:line="259" w:lineRule="auto"/>
              <w:ind w:left="0" w:firstLine="0"/>
            </w:pPr>
            <w:r>
              <w:t>This mainly involves improvement to the technology available in the classroom, although some low cost improvements relate to physical organisation</w:t>
            </w:r>
          </w:p>
        </w:tc>
        <w:tc>
          <w:tcPr>
            <w:tcW w:w="2137"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Well-managed facilities</w:t>
            </w:r>
          </w:p>
        </w:tc>
        <w:tc>
          <w:tcPr>
            <w:tcW w:w="4062"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Learning environment fit for purpose</w:t>
            </w:r>
          </w:p>
        </w:tc>
        <w:tc>
          <w:tcPr>
            <w:tcW w:w="3564" w:type="dxa"/>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 xml:space="preserve">Initial technology review completed Nov 2018 </w:t>
            </w:r>
          </w:p>
          <w:p>
            <w:pPr>
              <w:spacing w:after="0" w:line="259" w:lineRule="auto"/>
              <w:ind w:left="1" w:firstLine="0"/>
            </w:pPr>
            <w:r>
              <w:t xml:space="preserve">Interactive technology and projection technology updates implemented Apr </w:t>
            </w:r>
            <w:commentRangeStart w:id="5"/>
            <w:r>
              <w:t>2019</w:t>
            </w:r>
            <w:commentRangeEnd w:id="5"/>
            <w:r>
              <w:rPr>
                <w:rStyle w:val="CommentReference"/>
              </w:rPr>
              <w:commentReference w:id="5"/>
            </w:r>
          </w:p>
          <w:p>
            <w:pPr>
              <w:spacing w:after="0" w:line="259" w:lineRule="auto"/>
              <w:ind w:left="1" w:firstLine="0"/>
            </w:pPr>
            <w:r>
              <w:t xml:space="preserve">Further review for provision Sept </w:t>
            </w:r>
            <w:commentRangeStart w:id="6"/>
            <w:r>
              <w:t>2019</w:t>
            </w:r>
            <w:commentRangeEnd w:id="6"/>
            <w:r>
              <w:rPr>
                <w:rStyle w:val="CommentReference"/>
              </w:rPr>
              <w:commentReference w:id="6"/>
            </w:r>
          </w:p>
        </w:tc>
        <w:tc>
          <w:tcPr>
            <w:tcW w:w="2040"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rPr>
                <w:b/>
              </w:rPr>
              <w:t>£4000</w:t>
            </w:r>
            <w:r>
              <w:t xml:space="preserve"> for projectors in current financial year</w:t>
            </w:r>
          </w:p>
        </w:tc>
      </w:tr>
      <w:tr>
        <w:trPr>
          <w:trHeight w:val="420"/>
        </w:trPr>
        <w:tc>
          <w:tcPr>
            <w:tcW w:w="3699"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pPr>
            <w:r>
              <w:t>Ensure that time is allocated to appropriate meetings with staff and students (see details in recommendation 12)</w:t>
            </w:r>
          </w:p>
        </w:tc>
        <w:tc>
          <w:tcPr>
            <w:tcW w:w="2137"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Intelligent governance and leadership</w:t>
            </w:r>
          </w:p>
        </w:tc>
        <w:tc>
          <w:tcPr>
            <w:tcW w:w="4062"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Impact measurement is through the overall measurement and milestones of P8 as detailed above.</w:t>
            </w:r>
          </w:p>
        </w:tc>
        <w:tc>
          <w:tcPr>
            <w:tcW w:w="3564" w:type="dxa"/>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proofErr w:type="gramStart"/>
            <w:r>
              <w:t>P8  milestones</w:t>
            </w:r>
            <w:proofErr w:type="gramEnd"/>
            <w:r>
              <w:t xml:space="preserve"> as detailed above.</w:t>
            </w:r>
          </w:p>
        </w:tc>
        <w:tc>
          <w:tcPr>
            <w:tcW w:w="2040"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No cost implications</w:t>
            </w:r>
          </w:p>
        </w:tc>
      </w:tr>
      <w:tr>
        <w:trPr>
          <w:trHeight w:val="420"/>
        </w:trPr>
        <w:tc>
          <w:tcPr>
            <w:tcW w:w="3699"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pPr>
            <w:r>
              <w:lastRenderedPageBreak/>
              <w:t>Review the current rewards system (recommendation 13)</w:t>
            </w:r>
          </w:p>
        </w:tc>
        <w:tc>
          <w:tcPr>
            <w:tcW w:w="2137"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Exceptional support for one another</w:t>
            </w:r>
          </w:p>
        </w:tc>
        <w:tc>
          <w:tcPr>
            <w:tcW w:w="4062"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Reviewed reward system in place</w:t>
            </w:r>
          </w:p>
        </w:tc>
        <w:tc>
          <w:tcPr>
            <w:tcW w:w="3564" w:type="dxa"/>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 xml:space="preserve">Review takes place Sept-Dec </w:t>
            </w:r>
            <w:commentRangeStart w:id="7"/>
            <w:r>
              <w:t>2019</w:t>
            </w:r>
            <w:commentRangeEnd w:id="7"/>
            <w:r>
              <w:rPr>
                <w:rStyle w:val="CommentReference"/>
              </w:rPr>
              <w:commentReference w:id="7"/>
            </w:r>
          </w:p>
          <w:p>
            <w:pPr>
              <w:spacing w:after="0" w:line="259" w:lineRule="auto"/>
              <w:ind w:left="1" w:firstLine="0"/>
            </w:pPr>
            <w:r>
              <w:t>Rewards system implemented Dec –Apr 2020</w:t>
            </w:r>
          </w:p>
        </w:tc>
        <w:tc>
          <w:tcPr>
            <w:tcW w:w="2040"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r>
              <w:t>Funded from 2019-20 PP</w:t>
            </w:r>
          </w:p>
        </w:tc>
      </w:tr>
      <w:tr>
        <w:trPr>
          <w:trHeight w:val="420"/>
        </w:trPr>
        <w:tc>
          <w:tcPr>
            <w:tcW w:w="3699"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pPr>
            <w:r>
              <w:t>Focus on meeting individual learning needs (recommendation 14)</w:t>
            </w:r>
          </w:p>
          <w:p>
            <w:pPr>
              <w:spacing w:after="0" w:line="259" w:lineRule="auto"/>
              <w:ind w:left="0" w:firstLine="0"/>
            </w:pPr>
          </w:p>
          <w:p>
            <w:pPr>
              <w:spacing w:after="0" w:line="259" w:lineRule="auto"/>
              <w:ind w:left="0" w:firstLine="0"/>
            </w:pPr>
            <w:r>
              <w:t>Diagnostic software – GL Assessment to provide accurate individual information</w:t>
            </w:r>
          </w:p>
          <w:p>
            <w:pPr>
              <w:spacing w:after="0" w:line="259" w:lineRule="auto"/>
              <w:ind w:left="0" w:firstLine="0"/>
            </w:pPr>
            <w:r>
              <w:t xml:space="preserve">As identified in recommendation 14, use </w:t>
            </w:r>
            <w:proofErr w:type="spellStart"/>
            <w:r>
              <w:t>Zegami</w:t>
            </w:r>
            <w:proofErr w:type="spellEnd"/>
            <w:r>
              <w:t xml:space="preserve"> to improve individual analysis</w:t>
            </w:r>
          </w:p>
        </w:tc>
        <w:tc>
          <w:tcPr>
            <w:tcW w:w="2137"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Exceptional support for one another</w:t>
            </w:r>
          </w:p>
        </w:tc>
        <w:tc>
          <w:tcPr>
            <w:tcW w:w="4062" w:type="dxa"/>
            <w:tcBorders>
              <w:top w:val="single" w:sz="4" w:space="0" w:color="000000"/>
              <w:left w:val="single" w:sz="4" w:space="0" w:color="000000"/>
              <w:bottom w:val="single" w:sz="4" w:space="0" w:color="000000"/>
              <w:right w:val="single" w:sz="4" w:space="0" w:color="000000"/>
            </w:tcBorders>
          </w:tcPr>
          <w:p>
            <w:pPr>
              <w:spacing w:after="0" w:line="259" w:lineRule="auto"/>
              <w:ind w:left="2" w:firstLine="0"/>
            </w:pPr>
            <w:r>
              <w:t>Progress and attainment measures</w:t>
            </w:r>
          </w:p>
        </w:tc>
        <w:tc>
          <w:tcPr>
            <w:tcW w:w="3564" w:type="dxa"/>
            <w:tcBorders>
              <w:top w:val="single" w:sz="4" w:space="0" w:color="000000"/>
              <w:left w:val="single" w:sz="4" w:space="0" w:color="000000"/>
              <w:bottom w:val="single" w:sz="4" w:space="0" w:color="000000"/>
              <w:right w:val="single" w:sz="4" w:space="0" w:color="000000"/>
            </w:tcBorders>
          </w:tcPr>
          <w:p>
            <w:pPr>
              <w:spacing w:after="0" w:line="259" w:lineRule="auto"/>
              <w:ind w:left="1" w:firstLine="0"/>
            </w:pPr>
            <w:proofErr w:type="spellStart"/>
            <w:r>
              <w:t>Zegami</w:t>
            </w:r>
            <w:proofErr w:type="spellEnd"/>
            <w:r>
              <w:t xml:space="preserve"> investigated Dec 2018</w:t>
            </w:r>
          </w:p>
          <w:p>
            <w:pPr>
              <w:spacing w:after="0" w:line="259" w:lineRule="auto"/>
              <w:ind w:left="1" w:firstLine="0"/>
            </w:pPr>
          </w:p>
          <w:p>
            <w:pPr>
              <w:spacing w:after="0" w:line="259" w:lineRule="auto"/>
              <w:ind w:left="1" w:firstLine="0"/>
            </w:pPr>
            <w:proofErr w:type="spellStart"/>
            <w:r>
              <w:t>Zegami</w:t>
            </w:r>
            <w:proofErr w:type="spellEnd"/>
            <w:r>
              <w:t xml:space="preserve"> implemented Apr </w:t>
            </w:r>
            <w:commentRangeStart w:id="8"/>
            <w:r>
              <w:t>2019</w:t>
            </w:r>
            <w:commentRangeEnd w:id="8"/>
            <w:r>
              <w:rPr>
                <w:rStyle w:val="CommentReference"/>
              </w:rPr>
              <w:commentReference w:id="8"/>
            </w:r>
          </w:p>
          <w:p>
            <w:pPr>
              <w:spacing w:after="0" w:line="259" w:lineRule="auto"/>
              <w:ind w:left="1" w:firstLine="0"/>
            </w:pPr>
          </w:p>
          <w:p>
            <w:pPr>
              <w:spacing w:after="0" w:line="259" w:lineRule="auto"/>
              <w:ind w:left="1" w:firstLine="0"/>
            </w:pPr>
            <w:r>
              <w:t xml:space="preserve">GL Assessment data used on a regular basis by </w:t>
            </w:r>
            <w:proofErr w:type="spellStart"/>
            <w:r>
              <w:t>En</w:t>
            </w:r>
            <w:proofErr w:type="spellEnd"/>
            <w:r>
              <w:t>/Ma/</w:t>
            </w:r>
            <w:proofErr w:type="spellStart"/>
            <w:r>
              <w:t>Sci</w:t>
            </w:r>
            <w:proofErr w:type="spellEnd"/>
            <w:r>
              <w:t xml:space="preserve"> teachers – Apr 2019</w:t>
            </w:r>
          </w:p>
        </w:tc>
        <w:tc>
          <w:tcPr>
            <w:tcW w:w="2040" w:type="dxa"/>
            <w:gridSpan w:val="2"/>
            <w:tcBorders>
              <w:top w:val="single" w:sz="4" w:space="0" w:color="000000"/>
              <w:left w:val="single" w:sz="4" w:space="0" w:color="000000"/>
              <w:bottom w:val="single" w:sz="4" w:space="0" w:color="000000"/>
              <w:right w:val="single" w:sz="4" w:space="0" w:color="000000"/>
            </w:tcBorders>
          </w:tcPr>
          <w:p>
            <w:pPr>
              <w:spacing w:after="0" w:line="259" w:lineRule="auto"/>
              <w:ind w:left="1" w:firstLine="0"/>
              <w:rPr>
                <w:b/>
              </w:rPr>
            </w:pPr>
            <w:r>
              <w:rPr>
                <w:b/>
              </w:rPr>
              <w:t>£11000</w:t>
            </w:r>
          </w:p>
        </w:tc>
      </w:tr>
      <w:tr>
        <w:trPr>
          <w:gridAfter w:val="1"/>
          <w:wAfter w:w="70" w:type="dxa"/>
          <w:trHeight w:val="422"/>
        </w:trPr>
        <w:tc>
          <w:tcPr>
            <w:tcW w:w="3699" w:type="dxa"/>
            <w:tcBorders>
              <w:top w:val="single" w:sz="4" w:space="0" w:color="000000"/>
              <w:left w:val="single" w:sz="4" w:space="0" w:color="000000"/>
              <w:bottom w:val="single" w:sz="4" w:space="0" w:color="000000"/>
              <w:right w:val="nil"/>
            </w:tcBorders>
          </w:tcPr>
          <w:p>
            <w:pPr>
              <w:spacing w:after="160" w:line="259" w:lineRule="auto"/>
              <w:ind w:left="0" w:firstLine="0"/>
              <w:rPr>
                <w:b/>
                <w:sz w:val="32"/>
                <w:szCs w:val="32"/>
              </w:rPr>
            </w:pPr>
            <w:r>
              <w:rPr>
                <w:b/>
                <w:sz w:val="32"/>
                <w:szCs w:val="32"/>
              </w:rPr>
              <w:t>Total cost</w:t>
            </w:r>
          </w:p>
        </w:tc>
        <w:tc>
          <w:tcPr>
            <w:tcW w:w="2137" w:type="dxa"/>
            <w:tcBorders>
              <w:top w:val="single" w:sz="4" w:space="0" w:color="000000"/>
              <w:left w:val="nil"/>
              <w:bottom w:val="single" w:sz="4" w:space="0" w:color="000000"/>
              <w:right w:val="nil"/>
            </w:tcBorders>
          </w:tcPr>
          <w:p>
            <w:pPr>
              <w:spacing w:after="160" w:line="259" w:lineRule="auto"/>
              <w:ind w:left="0" w:firstLine="0"/>
            </w:pPr>
          </w:p>
        </w:tc>
        <w:tc>
          <w:tcPr>
            <w:tcW w:w="4062" w:type="dxa"/>
            <w:tcBorders>
              <w:top w:val="single" w:sz="4" w:space="0" w:color="000000"/>
              <w:left w:val="nil"/>
              <w:bottom w:val="single" w:sz="4" w:space="0" w:color="000000"/>
              <w:right w:val="nil"/>
            </w:tcBorders>
          </w:tcPr>
          <w:p>
            <w:pPr>
              <w:spacing w:after="160" w:line="259" w:lineRule="auto"/>
              <w:ind w:left="0" w:firstLine="0"/>
            </w:pPr>
          </w:p>
        </w:tc>
        <w:tc>
          <w:tcPr>
            <w:tcW w:w="3564" w:type="dxa"/>
            <w:tcBorders>
              <w:top w:val="single" w:sz="4" w:space="0" w:color="000000"/>
              <w:left w:val="nil"/>
              <w:bottom w:val="single" w:sz="4" w:space="0" w:color="000000"/>
              <w:right w:val="nil"/>
            </w:tcBorders>
          </w:tcPr>
          <w:p>
            <w:pPr>
              <w:spacing w:after="160" w:line="259" w:lineRule="auto"/>
              <w:ind w:left="0" w:firstLine="0"/>
            </w:pPr>
          </w:p>
        </w:tc>
        <w:tc>
          <w:tcPr>
            <w:tcW w:w="1970" w:type="dxa"/>
            <w:tcBorders>
              <w:top w:val="single" w:sz="4" w:space="0" w:color="000000"/>
              <w:left w:val="nil"/>
              <w:bottom w:val="single" w:sz="4" w:space="0" w:color="000000"/>
              <w:right w:val="nil"/>
            </w:tcBorders>
          </w:tcPr>
          <w:p>
            <w:pPr>
              <w:spacing w:after="160" w:line="259" w:lineRule="auto"/>
              <w:ind w:left="0" w:firstLine="0"/>
              <w:rPr>
                <w:b/>
                <w:sz w:val="32"/>
                <w:szCs w:val="32"/>
              </w:rPr>
            </w:pPr>
            <w:r>
              <w:rPr>
                <w:b/>
                <w:sz w:val="32"/>
                <w:szCs w:val="32"/>
              </w:rPr>
              <w:t>£201,248</w:t>
            </w:r>
          </w:p>
        </w:tc>
      </w:tr>
    </w:tbl>
    <w:p>
      <w:pPr>
        <w:spacing w:after="0" w:line="259" w:lineRule="auto"/>
        <w:ind w:left="0" w:firstLine="0"/>
      </w:pPr>
      <w:r>
        <w:rPr>
          <w:b/>
          <w:color w:val="050505"/>
        </w:rPr>
        <w:t xml:space="preserve"> </w:t>
      </w:r>
    </w:p>
    <w:p>
      <w:pPr>
        <w:spacing w:after="160" w:line="259" w:lineRule="auto"/>
        <w:ind w:left="0" w:firstLine="0"/>
      </w:pPr>
      <w:r>
        <w:br w:type="page"/>
      </w:r>
    </w:p>
    <w:p/>
    <w:p>
      <w:pPr>
        <w:rPr>
          <w:b/>
          <w:u w:val="single"/>
        </w:rPr>
      </w:pPr>
      <w:r>
        <w:rPr>
          <w:b/>
          <w:u w:val="single"/>
        </w:rPr>
        <w:t xml:space="preserve">PP </w:t>
      </w:r>
      <w:r>
        <w:rPr>
          <w:b/>
          <w:u w:val="single"/>
        </w:rPr>
        <w:t>Impact review – September 2019</w:t>
      </w:r>
    </w:p>
    <w:p>
      <w:pPr>
        <w:spacing w:line="360" w:lineRule="auto"/>
      </w:pPr>
      <w:proofErr w:type="gramStart"/>
      <w:r>
        <w:t>38</w:t>
      </w:r>
      <w:proofErr w:type="gramEnd"/>
      <w:r>
        <w:t xml:space="preserve"> students out of the 147 students in year 11 were PP students, which is 26% of the year group. This is a smaller proportion than in other years. </w:t>
      </w:r>
    </w:p>
    <w:p>
      <w:pPr>
        <w:spacing w:line="360" w:lineRule="auto"/>
      </w:pPr>
      <w:proofErr w:type="gramStart"/>
      <w:r>
        <w:t>72%</w:t>
      </w:r>
      <w:proofErr w:type="gramEnd"/>
      <w:r>
        <w:t xml:space="preserve"> of the </w:t>
      </w:r>
      <w:r>
        <w:t xml:space="preserve">overall </w:t>
      </w:r>
      <w:r>
        <w:t>PP cohort (2018-2019) have attended extra-curricular activities last academic year against 50% of Non PP students.</w:t>
      </w:r>
    </w:p>
    <w:p>
      <w:pPr>
        <w:spacing w:line="360" w:lineRule="auto"/>
      </w:pPr>
      <w:r>
        <w:t>The Evolve trips report shows that: 78.95% of PP students have been on a trip. (2018-2019)</w:t>
      </w:r>
    </w:p>
    <w:p>
      <w:pPr>
        <w:spacing w:line="360" w:lineRule="auto"/>
      </w:pPr>
      <w:r>
        <w:rPr>
          <w:b/>
          <w:u w:val="single"/>
        </w:rPr>
        <w:t>Year 8 students:</w:t>
      </w:r>
      <w:r>
        <w:t xml:space="preserve"> </w:t>
      </w:r>
      <w:r>
        <w:rPr>
          <w:color w:val="FF0000"/>
        </w:rPr>
        <w:t>(These were year 7 students last year</w:t>
      </w:r>
      <w:r>
        <w:rPr>
          <w:color w:val="FF0000"/>
        </w:rPr>
        <w:t xml:space="preserve"> (2018-19)</w:t>
      </w:r>
      <w:r>
        <w:rPr>
          <w:color w:val="FF0000"/>
        </w:rPr>
        <w:t>)</w:t>
      </w:r>
    </w:p>
    <w:p>
      <w:r>
        <w:t>ATL grades:</w:t>
      </w:r>
    </w:p>
    <w:tbl>
      <w:tblPr>
        <w:tblStyle w:val="TableGrid0"/>
        <w:tblW w:w="0" w:type="auto"/>
        <w:tblLook w:val="04A0" w:firstRow="1" w:lastRow="0" w:firstColumn="1" w:lastColumn="0" w:noHBand="0" w:noVBand="1"/>
      </w:tblPr>
      <w:tblGrid>
        <w:gridCol w:w="1580"/>
        <w:gridCol w:w="2540"/>
        <w:gridCol w:w="1220"/>
      </w:tblGrid>
      <w:tr>
        <w:trPr>
          <w:trHeight w:val="315"/>
        </w:trPr>
        <w:tc>
          <w:tcPr>
            <w:tcW w:w="1580" w:type="dxa"/>
            <w:noWrap/>
            <w:hideMark/>
          </w:tcPr>
          <w:p>
            <w:pPr>
              <w:rPr>
                <w:b/>
                <w:bCs/>
              </w:rPr>
            </w:pPr>
            <w:r>
              <w:rPr>
                <w:b/>
                <w:bCs/>
              </w:rPr>
              <w:t>Year 7 data</w:t>
            </w:r>
          </w:p>
        </w:tc>
        <w:tc>
          <w:tcPr>
            <w:tcW w:w="2540" w:type="dxa"/>
            <w:noWrap/>
            <w:hideMark/>
          </w:tcPr>
          <w:p>
            <w:pPr>
              <w:rPr>
                <w:b/>
                <w:bCs/>
              </w:rPr>
            </w:pPr>
            <w:r>
              <w:rPr>
                <w:b/>
                <w:bCs/>
              </w:rPr>
              <w:t>Average for ATL</w:t>
            </w:r>
          </w:p>
        </w:tc>
        <w:tc>
          <w:tcPr>
            <w:tcW w:w="1220" w:type="dxa"/>
            <w:noWrap/>
            <w:hideMark/>
          </w:tcPr>
          <w:p>
            <w:r>
              <w:t> </w:t>
            </w:r>
            <w:r>
              <w:rPr>
                <w:b/>
                <w:bCs/>
              </w:rPr>
              <w:t>Dec-18</w:t>
            </w:r>
          </w:p>
        </w:tc>
      </w:tr>
      <w:tr>
        <w:trPr>
          <w:trHeight w:val="315"/>
        </w:trPr>
        <w:tc>
          <w:tcPr>
            <w:tcW w:w="1580" w:type="dxa"/>
            <w:noWrap/>
            <w:hideMark/>
          </w:tcPr>
          <w:p>
            <w:pPr>
              <w:rPr>
                <w:b/>
                <w:bCs/>
              </w:rPr>
            </w:pPr>
            <w:r>
              <w:rPr>
                <w:b/>
                <w:bCs/>
              </w:rPr>
              <w:t>PP Students</w:t>
            </w:r>
          </w:p>
        </w:tc>
        <w:tc>
          <w:tcPr>
            <w:tcW w:w="2540" w:type="dxa"/>
            <w:noWrap/>
            <w:hideMark/>
          </w:tcPr>
          <w:p>
            <w:pPr>
              <w:rPr>
                <w:b/>
                <w:bCs/>
              </w:rPr>
            </w:pPr>
            <w:r>
              <w:rPr>
                <w:b/>
                <w:bCs/>
              </w:rPr>
              <w:t>Non PP students</w:t>
            </w:r>
          </w:p>
        </w:tc>
        <w:tc>
          <w:tcPr>
            <w:tcW w:w="1220" w:type="dxa"/>
            <w:noWrap/>
            <w:hideMark/>
          </w:tcPr>
          <w:p>
            <w:pPr>
              <w:rPr>
                <w:b/>
                <w:bCs/>
              </w:rPr>
            </w:pPr>
            <w:r>
              <w:rPr>
                <w:b/>
                <w:bCs/>
              </w:rPr>
              <w:t xml:space="preserve">GAP </w:t>
            </w:r>
          </w:p>
        </w:tc>
      </w:tr>
      <w:tr>
        <w:trPr>
          <w:trHeight w:val="300"/>
        </w:trPr>
        <w:tc>
          <w:tcPr>
            <w:tcW w:w="1580" w:type="dxa"/>
            <w:noWrap/>
            <w:hideMark/>
          </w:tcPr>
          <w:p>
            <w:r>
              <w:t>1.863</w:t>
            </w:r>
          </w:p>
        </w:tc>
        <w:tc>
          <w:tcPr>
            <w:tcW w:w="2540" w:type="dxa"/>
            <w:noWrap/>
            <w:hideMark/>
          </w:tcPr>
          <w:p>
            <w:r>
              <w:t>1.662</w:t>
            </w:r>
          </w:p>
        </w:tc>
        <w:tc>
          <w:tcPr>
            <w:tcW w:w="1220" w:type="dxa"/>
            <w:noWrap/>
            <w:hideMark/>
          </w:tcPr>
          <w:p>
            <w:r>
              <w:t>0.201</w:t>
            </w:r>
          </w:p>
        </w:tc>
      </w:tr>
      <w:tr>
        <w:trPr>
          <w:trHeight w:val="256"/>
        </w:trPr>
        <w:tc>
          <w:tcPr>
            <w:tcW w:w="1580" w:type="dxa"/>
            <w:noWrap/>
            <w:hideMark/>
          </w:tcPr>
          <w:p/>
        </w:tc>
        <w:tc>
          <w:tcPr>
            <w:tcW w:w="2540" w:type="dxa"/>
            <w:noWrap/>
            <w:hideMark/>
          </w:tcPr>
          <w:p/>
        </w:tc>
        <w:tc>
          <w:tcPr>
            <w:tcW w:w="1220" w:type="dxa"/>
            <w:noWrap/>
            <w:hideMark/>
          </w:tcPr>
          <w:p/>
        </w:tc>
      </w:tr>
      <w:tr>
        <w:trPr>
          <w:trHeight w:val="315"/>
        </w:trPr>
        <w:tc>
          <w:tcPr>
            <w:tcW w:w="1580" w:type="dxa"/>
            <w:noWrap/>
            <w:hideMark/>
          </w:tcPr>
          <w:p>
            <w:pPr>
              <w:rPr>
                <w:b/>
                <w:bCs/>
              </w:rPr>
            </w:pPr>
            <w:r>
              <w:rPr>
                <w:b/>
                <w:bCs/>
              </w:rPr>
              <w:t>Year 7 data</w:t>
            </w:r>
          </w:p>
        </w:tc>
        <w:tc>
          <w:tcPr>
            <w:tcW w:w="2540" w:type="dxa"/>
            <w:noWrap/>
            <w:hideMark/>
          </w:tcPr>
          <w:p>
            <w:pPr>
              <w:rPr>
                <w:b/>
                <w:bCs/>
              </w:rPr>
            </w:pPr>
            <w:r>
              <w:rPr>
                <w:b/>
                <w:bCs/>
              </w:rPr>
              <w:t xml:space="preserve">Average for ATL </w:t>
            </w:r>
          </w:p>
        </w:tc>
        <w:tc>
          <w:tcPr>
            <w:tcW w:w="1220" w:type="dxa"/>
            <w:noWrap/>
            <w:hideMark/>
          </w:tcPr>
          <w:p>
            <w:pPr>
              <w:rPr>
                <w:b/>
                <w:bCs/>
              </w:rPr>
            </w:pPr>
            <w:r>
              <w:rPr>
                <w:b/>
                <w:bCs/>
              </w:rPr>
              <w:t> Mar-19</w:t>
            </w:r>
          </w:p>
        </w:tc>
      </w:tr>
      <w:tr>
        <w:trPr>
          <w:trHeight w:val="315"/>
        </w:trPr>
        <w:tc>
          <w:tcPr>
            <w:tcW w:w="1580" w:type="dxa"/>
            <w:noWrap/>
            <w:hideMark/>
          </w:tcPr>
          <w:p>
            <w:pPr>
              <w:rPr>
                <w:b/>
                <w:bCs/>
              </w:rPr>
            </w:pPr>
            <w:r>
              <w:rPr>
                <w:b/>
                <w:bCs/>
              </w:rPr>
              <w:t>PP Students</w:t>
            </w:r>
          </w:p>
        </w:tc>
        <w:tc>
          <w:tcPr>
            <w:tcW w:w="2540" w:type="dxa"/>
            <w:noWrap/>
            <w:hideMark/>
          </w:tcPr>
          <w:p>
            <w:pPr>
              <w:rPr>
                <w:b/>
                <w:bCs/>
              </w:rPr>
            </w:pPr>
            <w:r>
              <w:rPr>
                <w:b/>
                <w:bCs/>
              </w:rPr>
              <w:t>Non PP students</w:t>
            </w:r>
          </w:p>
        </w:tc>
        <w:tc>
          <w:tcPr>
            <w:tcW w:w="1220" w:type="dxa"/>
            <w:noWrap/>
            <w:hideMark/>
          </w:tcPr>
          <w:p>
            <w:pPr>
              <w:rPr>
                <w:b/>
                <w:bCs/>
              </w:rPr>
            </w:pPr>
            <w:r>
              <w:rPr>
                <w:b/>
                <w:bCs/>
              </w:rPr>
              <w:t xml:space="preserve">GAP </w:t>
            </w:r>
          </w:p>
        </w:tc>
      </w:tr>
      <w:tr>
        <w:trPr>
          <w:trHeight w:val="300"/>
        </w:trPr>
        <w:tc>
          <w:tcPr>
            <w:tcW w:w="1580" w:type="dxa"/>
            <w:noWrap/>
            <w:hideMark/>
          </w:tcPr>
          <w:p>
            <w:r>
              <w:t>2.223119</w:t>
            </w:r>
          </w:p>
        </w:tc>
        <w:tc>
          <w:tcPr>
            <w:tcW w:w="2540" w:type="dxa"/>
            <w:noWrap/>
            <w:hideMark/>
          </w:tcPr>
          <w:p>
            <w:r>
              <w:t>1.965584</w:t>
            </w:r>
          </w:p>
        </w:tc>
        <w:tc>
          <w:tcPr>
            <w:tcW w:w="1220" w:type="dxa"/>
            <w:noWrap/>
            <w:hideMark/>
          </w:tcPr>
          <w:p>
            <w:r>
              <w:t>0.257535</w:t>
            </w:r>
          </w:p>
        </w:tc>
      </w:tr>
    </w:tbl>
    <w:p/>
    <w:p>
      <w:r>
        <w:rPr>
          <w:b/>
          <w:u w:val="single"/>
        </w:rPr>
        <w:t>Year 9 students:</w:t>
      </w:r>
      <w:r>
        <w:t xml:space="preserve"> </w:t>
      </w:r>
      <w:r>
        <w:rPr>
          <w:color w:val="FF0000"/>
        </w:rPr>
        <w:t>(These were year 8 students last year)</w:t>
      </w:r>
    </w:p>
    <w:p>
      <w:r>
        <w:t>ATL grades:</w:t>
      </w:r>
    </w:p>
    <w:tbl>
      <w:tblPr>
        <w:tblStyle w:val="TableGrid0"/>
        <w:tblW w:w="0" w:type="auto"/>
        <w:tblLook w:val="04A0" w:firstRow="1" w:lastRow="0" w:firstColumn="1" w:lastColumn="0" w:noHBand="0" w:noVBand="1"/>
      </w:tblPr>
      <w:tblGrid>
        <w:gridCol w:w="1555"/>
        <w:gridCol w:w="2551"/>
        <w:gridCol w:w="1276"/>
      </w:tblGrid>
      <w:tr>
        <w:trPr>
          <w:trHeight w:val="321"/>
        </w:trPr>
        <w:tc>
          <w:tcPr>
            <w:tcW w:w="1555" w:type="dxa"/>
            <w:noWrap/>
            <w:hideMark/>
          </w:tcPr>
          <w:p>
            <w:pPr>
              <w:rPr>
                <w:b/>
                <w:bCs/>
              </w:rPr>
            </w:pPr>
            <w:r>
              <w:rPr>
                <w:b/>
                <w:bCs/>
              </w:rPr>
              <w:lastRenderedPageBreak/>
              <w:t>Year 8 data</w:t>
            </w:r>
          </w:p>
        </w:tc>
        <w:tc>
          <w:tcPr>
            <w:tcW w:w="2551" w:type="dxa"/>
            <w:noWrap/>
            <w:hideMark/>
          </w:tcPr>
          <w:p>
            <w:pPr>
              <w:rPr>
                <w:b/>
                <w:bCs/>
              </w:rPr>
            </w:pPr>
            <w:r>
              <w:rPr>
                <w:b/>
                <w:bCs/>
              </w:rPr>
              <w:t>Average for ATL</w:t>
            </w:r>
          </w:p>
        </w:tc>
        <w:tc>
          <w:tcPr>
            <w:tcW w:w="1276" w:type="dxa"/>
            <w:noWrap/>
            <w:hideMark/>
          </w:tcPr>
          <w:p>
            <w:pPr>
              <w:rPr>
                <w:b/>
                <w:bCs/>
              </w:rPr>
            </w:pPr>
            <w:r>
              <w:rPr>
                <w:b/>
                <w:bCs/>
              </w:rPr>
              <w:t>Dec-18</w:t>
            </w:r>
          </w:p>
        </w:tc>
      </w:tr>
      <w:tr>
        <w:trPr>
          <w:trHeight w:val="269"/>
        </w:trPr>
        <w:tc>
          <w:tcPr>
            <w:tcW w:w="1555" w:type="dxa"/>
            <w:noWrap/>
            <w:hideMark/>
          </w:tcPr>
          <w:p>
            <w:pPr>
              <w:rPr>
                <w:b/>
                <w:bCs/>
              </w:rPr>
            </w:pPr>
            <w:r>
              <w:rPr>
                <w:b/>
                <w:bCs/>
              </w:rPr>
              <w:t>PP students</w:t>
            </w:r>
          </w:p>
        </w:tc>
        <w:tc>
          <w:tcPr>
            <w:tcW w:w="2551" w:type="dxa"/>
            <w:noWrap/>
            <w:hideMark/>
          </w:tcPr>
          <w:p>
            <w:pPr>
              <w:rPr>
                <w:b/>
                <w:bCs/>
              </w:rPr>
            </w:pPr>
            <w:r>
              <w:rPr>
                <w:b/>
                <w:bCs/>
              </w:rPr>
              <w:t>Non PP students</w:t>
            </w:r>
          </w:p>
        </w:tc>
        <w:tc>
          <w:tcPr>
            <w:tcW w:w="1276" w:type="dxa"/>
            <w:noWrap/>
            <w:hideMark/>
          </w:tcPr>
          <w:p>
            <w:pPr>
              <w:rPr>
                <w:b/>
                <w:bCs/>
              </w:rPr>
            </w:pPr>
            <w:r>
              <w:rPr>
                <w:b/>
                <w:bCs/>
              </w:rPr>
              <w:t>GAP</w:t>
            </w:r>
          </w:p>
        </w:tc>
      </w:tr>
      <w:tr>
        <w:trPr>
          <w:trHeight w:val="274"/>
        </w:trPr>
        <w:tc>
          <w:tcPr>
            <w:tcW w:w="1555" w:type="dxa"/>
            <w:noWrap/>
            <w:hideMark/>
          </w:tcPr>
          <w:p>
            <w:r>
              <w:t>2.207926</w:t>
            </w:r>
          </w:p>
        </w:tc>
        <w:tc>
          <w:tcPr>
            <w:tcW w:w="2551" w:type="dxa"/>
            <w:noWrap/>
            <w:hideMark/>
          </w:tcPr>
          <w:p>
            <w:r>
              <w:t>1.919845</w:t>
            </w:r>
          </w:p>
        </w:tc>
        <w:tc>
          <w:tcPr>
            <w:tcW w:w="1276" w:type="dxa"/>
            <w:noWrap/>
            <w:hideMark/>
          </w:tcPr>
          <w:p>
            <w:r>
              <w:t>0.288081</w:t>
            </w:r>
          </w:p>
        </w:tc>
      </w:tr>
      <w:tr>
        <w:trPr>
          <w:trHeight w:val="255"/>
        </w:trPr>
        <w:tc>
          <w:tcPr>
            <w:tcW w:w="1555" w:type="dxa"/>
            <w:noWrap/>
            <w:hideMark/>
          </w:tcPr>
          <w:p/>
        </w:tc>
        <w:tc>
          <w:tcPr>
            <w:tcW w:w="2551" w:type="dxa"/>
            <w:noWrap/>
            <w:hideMark/>
          </w:tcPr>
          <w:p/>
        </w:tc>
        <w:tc>
          <w:tcPr>
            <w:tcW w:w="1276" w:type="dxa"/>
            <w:noWrap/>
            <w:hideMark/>
          </w:tcPr>
          <w:p/>
        </w:tc>
      </w:tr>
      <w:tr>
        <w:trPr>
          <w:trHeight w:val="295"/>
        </w:trPr>
        <w:tc>
          <w:tcPr>
            <w:tcW w:w="1555" w:type="dxa"/>
            <w:noWrap/>
            <w:hideMark/>
          </w:tcPr>
          <w:p>
            <w:pPr>
              <w:rPr>
                <w:b/>
                <w:bCs/>
              </w:rPr>
            </w:pPr>
            <w:r>
              <w:rPr>
                <w:b/>
                <w:bCs/>
              </w:rPr>
              <w:t>Year 8 data</w:t>
            </w:r>
          </w:p>
        </w:tc>
        <w:tc>
          <w:tcPr>
            <w:tcW w:w="2551" w:type="dxa"/>
            <w:noWrap/>
            <w:hideMark/>
          </w:tcPr>
          <w:p>
            <w:pPr>
              <w:rPr>
                <w:b/>
                <w:bCs/>
              </w:rPr>
            </w:pPr>
            <w:r>
              <w:rPr>
                <w:b/>
                <w:bCs/>
              </w:rPr>
              <w:t>Average for ATL</w:t>
            </w:r>
          </w:p>
        </w:tc>
        <w:tc>
          <w:tcPr>
            <w:tcW w:w="1276" w:type="dxa"/>
            <w:noWrap/>
            <w:hideMark/>
          </w:tcPr>
          <w:p>
            <w:pPr>
              <w:rPr>
                <w:b/>
                <w:bCs/>
              </w:rPr>
            </w:pPr>
            <w:r>
              <w:rPr>
                <w:b/>
                <w:bCs/>
              </w:rPr>
              <w:t>Jul-19</w:t>
            </w:r>
          </w:p>
        </w:tc>
      </w:tr>
      <w:tr>
        <w:trPr>
          <w:trHeight w:val="271"/>
        </w:trPr>
        <w:tc>
          <w:tcPr>
            <w:tcW w:w="1555" w:type="dxa"/>
            <w:noWrap/>
            <w:hideMark/>
          </w:tcPr>
          <w:p>
            <w:pPr>
              <w:rPr>
                <w:b/>
                <w:bCs/>
              </w:rPr>
            </w:pPr>
            <w:r>
              <w:rPr>
                <w:b/>
                <w:bCs/>
              </w:rPr>
              <w:t>PP</w:t>
            </w:r>
          </w:p>
        </w:tc>
        <w:tc>
          <w:tcPr>
            <w:tcW w:w="2551" w:type="dxa"/>
            <w:noWrap/>
            <w:hideMark/>
          </w:tcPr>
          <w:p>
            <w:pPr>
              <w:rPr>
                <w:b/>
                <w:bCs/>
              </w:rPr>
            </w:pPr>
            <w:r>
              <w:rPr>
                <w:b/>
                <w:bCs/>
              </w:rPr>
              <w:t>Non PP</w:t>
            </w:r>
          </w:p>
        </w:tc>
        <w:tc>
          <w:tcPr>
            <w:tcW w:w="1276" w:type="dxa"/>
            <w:noWrap/>
            <w:hideMark/>
          </w:tcPr>
          <w:p>
            <w:pPr>
              <w:rPr>
                <w:b/>
                <w:bCs/>
              </w:rPr>
            </w:pPr>
            <w:r>
              <w:rPr>
                <w:b/>
                <w:bCs/>
              </w:rPr>
              <w:t>GAP</w:t>
            </w:r>
          </w:p>
        </w:tc>
      </w:tr>
      <w:tr>
        <w:trPr>
          <w:trHeight w:val="231"/>
        </w:trPr>
        <w:tc>
          <w:tcPr>
            <w:tcW w:w="1555" w:type="dxa"/>
            <w:noWrap/>
            <w:hideMark/>
          </w:tcPr>
          <w:p>
            <w:r>
              <w:t>2.38619608</w:t>
            </w:r>
          </w:p>
        </w:tc>
        <w:tc>
          <w:tcPr>
            <w:tcW w:w="2551" w:type="dxa"/>
            <w:noWrap/>
            <w:hideMark/>
          </w:tcPr>
          <w:p>
            <w:r>
              <w:t>2.031339806</w:t>
            </w:r>
          </w:p>
        </w:tc>
        <w:tc>
          <w:tcPr>
            <w:tcW w:w="1276" w:type="dxa"/>
            <w:noWrap/>
            <w:hideMark/>
          </w:tcPr>
          <w:p>
            <w:r>
              <w:t>0.354856</w:t>
            </w:r>
          </w:p>
        </w:tc>
      </w:tr>
    </w:tbl>
    <w:p/>
    <w:p>
      <w:r>
        <w:rPr>
          <w:b/>
          <w:u w:val="single"/>
        </w:rPr>
        <w:t>Year 10 students:</w:t>
      </w:r>
      <w:r>
        <w:t xml:space="preserve"> </w:t>
      </w:r>
      <w:r>
        <w:rPr>
          <w:color w:val="FF0000"/>
        </w:rPr>
        <w:t>(These were year 9 students last year)</w:t>
      </w:r>
    </w:p>
    <w:p>
      <w:r>
        <w:t>ATL grades:</w:t>
      </w:r>
    </w:p>
    <w:tbl>
      <w:tblPr>
        <w:tblW w:w="5382" w:type="dxa"/>
        <w:tblLook w:val="04A0" w:firstRow="1" w:lastRow="0" w:firstColumn="1" w:lastColumn="0" w:noHBand="0" w:noVBand="1"/>
      </w:tblPr>
      <w:tblGrid>
        <w:gridCol w:w="1555"/>
        <w:gridCol w:w="2551"/>
        <w:gridCol w:w="1276"/>
      </w:tblGrid>
      <w:tr>
        <w:trPr>
          <w:trHeight w:val="397"/>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rPr>
                <w:rFonts w:eastAsia="Times New Roman"/>
                <w:b/>
                <w:bCs/>
              </w:rPr>
            </w:pPr>
            <w:r>
              <w:rPr>
                <w:rFonts w:eastAsia="Times New Roman"/>
                <w:b/>
                <w:bCs/>
              </w:rPr>
              <w:t>Year 9 data</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eastAsia="Times New Roman"/>
                <w:b/>
                <w:bCs/>
              </w:rPr>
            </w:pPr>
            <w:r>
              <w:rPr>
                <w:rFonts w:eastAsia="Times New Roman"/>
                <w:b/>
                <w:bCs/>
              </w:rPr>
              <w:t>Averages for ATL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eastAsia="Times New Roman"/>
                <w:b/>
                <w:bCs/>
              </w:rPr>
            </w:pPr>
            <w:r>
              <w:rPr>
                <w:rFonts w:eastAsia="Times New Roman"/>
                <w:b/>
                <w:bCs/>
              </w:rPr>
              <w:t>Dec-18</w:t>
            </w:r>
          </w:p>
        </w:tc>
      </w:tr>
      <w:tr>
        <w:trPr>
          <w:trHeight w:val="27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eastAsia="Times New Roman"/>
                <w:b/>
                <w:bCs/>
              </w:rPr>
            </w:pPr>
            <w:r>
              <w:rPr>
                <w:rFonts w:eastAsia="Times New Roman"/>
                <w:b/>
                <w:bCs/>
              </w:rPr>
              <w:t>PP Students</w:t>
            </w:r>
          </w:p>
        </w:tc>
        <w:tc>
          <w:tcPr>
            <w:tcW w:w="2551"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b/>
                <w:bCs/>
              </w:rPr>
            </w:pPr>
            <w:r>
              <w:rPr>
                <w:rFonts w:eastAsia="Times New Roman"/>
                <w:b/>
                <w:bCs/>
              </w:rPr>
              <w:t>Non PP Students</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b/>
                <w:bCs/>
              </w:rPr>
            </w:pPr>
            <w:r>
              <w:rPr>
                <w:rFonts w:eastAsia="Times New Roman"/>
                <w:b/>
                <w:bCs/>
              </w:rPr>
              <w:t>GAP</w:t>
            </w:r>
          </w:p>
        </w:tc>
      </w:tr>
      <w:tr>
        <w:trPr>
          <w:trHeight w:val="297"/>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eastAsia="Times New Roman"/>
              </w:rPr>
            </w:pPr>
            <w:r>
              <w:rPr>
                <w:rFonts w:eastAsia="Times New Roman"/>
              </w:rPr>
              <w:t>2.268352</w:t>
            </w:r>
          </w:p>
        </w:tc>
        <w:tc>
          <w:tcPr>
            <w:tcW w:w="2551"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rPr>
            </w:pPr>
            <w:r>
              <w:rPr>
                <w:rFonts w:eastAsia="Times New Roman"/>
              </w:rPr>
              <w:t>2.043844</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rPr>
            </w:pPr>
            <w:r>
              <w:rPr>
                <w:rFonts w:eastAsia="Times New Roman"/>
              </w:rPr>
              <w:t>0.224508</w:t>
            </w:r>
          </w:p>
        </w:tc>
      </w:tr>
      <w:tr>
        <w:trPr>
          <w:trHeight w:val="255"/>
        </w:trPr>
        <w:tc>
          <w:tcPr>
            <w:tcW w:w="1555" w:type="dxa"/>
            <w:tcBorders>
              <w:top w:val="nil"/>
              <w:left w:val="nil"/>
              <w:bottom w:val="nil"/>
              <w:right w:val="nil"/>
            </w:tcBorders>
            <w:shd w:val="clear" w:color="auto" w:fill="auto"/>
            <w:noWrap/>
            <w:vAlign w:val="bottom"/>
            <w:hideMark/>
          </w:tcPr>
          <w:p>
            <w:pPr>
              <w:spacing w:after="0" w:line="240" w:lineRule="auto"/>
              <w:rPr>
                <w:rFonts w:eastAsia="Times New Roman"/>
              </w:rPr>
            </w:pPr>
          </w:p>
        </w:tc>
        <w:tc>
          <w:tcPr>
            <w:tcW w:w="2551"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rPr>
            </w:pPr>
          </w:p>
        </w:tc>
        <w:tc>
          <w:tcPr>
            <w:tcW w:w="1276" w:type="dxa"/>
            <w:tcBorders>
              <w:top w:val="nil"/>
              <w:left w:val="nil"/>
              <w:bottom w:val="nil"/>
              <w:right w:val="nil"/>
            </w:tcBorders>
            <w:shd w:val="clear" w:color="auto" w:fill="auto"/>
            <w:noWrap/>
            <w:vAlign w:val="bottom"/>
            <w:hideMark/>
          </w:tcPr>
          <w:p>
            <w:pPr>
              <w:spacing w:after="0" w:line="240" w:lineRule="auto"/>
              <w:rPr>
                <w:rFonts w:ascii="Times New Roman" w:eastAsia="Times New Roman" w:hAnsi="Times New Roman" w:cs="Times New Roman"/>
              </w:rPr>
            </w:pPr>
          </w:p>
        </w:tc>
      </w:tr>
      <w:tr>
        <w:trPr>
          <w:trHeight w:val="26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rPr>
                <w:rFonts w:eastAsia="Times New Roman"/>
                <w:b/>
                <w:bCs/>
              </w:rPr>
            </w:pPr>
            <w:r>
              <w:rPr>
                <w:rFonts w:eastAsia="Times New Roman"/>
                <w:b/>
                <w:bCs/>
              </w:rPr>
              <w:t>Year 9 data</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eastAsia="Times New Roman"/>
                <w:b/>
                <w:bCs/>
              </w:rPr>
            </w:pPr>
            <w:r>
              <w:rPr>
                <w:rFonts w:eastAsia="Times New Roman"/>
                <w:b/>
                <w:bCs/>
              </w:rPr>
              <w:t>Averages for ATL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rPr>
                <w:rFonts w:eastAsia="Times New Roman"/>
                <w:b/>
                <w:bCs/>
              </w:rPr>
            </w:pPr>
            <w:r>
              <w:rPr>
                <w:rFonts w:eastAsia="Times New Roman"/>
                <w:b/>
                <w:bCs/>
              </w:rPr>
              <w:t>May-19</w:t>
            </w:r>
          </w:p>
        </w:tc>
      </w:tr>
      <w:tr>
        <w:trPr>
          <w:trHeight w:val="351"/>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eastAsia="Times New Roman"/>
                <w:b/>
                <w:bCs/>
              </w:rPr>
            </w:pPr>
            <w:r>
              <w:rPr>
                <w:rFonts w:eastAsia="Times New Roman"/>
                <w:b/>
                <w:bCs/>
              </w:rPr>
              <w:t>PP Students</w:t>
            </w:r>
          </w:p>
        </w:tc>
        <w:tc>
          <w:tcPr>
            <w:tcW w:w="2551"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b/>
                <w:bCs/>
              </w:rPr>
            </w:pPr>
            <w:r>
              <w:rPr>
                <w:rFonts w:eastAsia="Times New Roman"/>
                <w:b/>
                <w:bCs/>
              </w:rPr>
              <w:t>Non PP Students</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b/>
                <w:bCs/>
              </w:rPr>
            </w:pPr>
            <w:r>
              <w:rPr>
                <w:rFonts w:eastAsia="Times New Roman"/>
                <w:b/>
                <w:bCs/>
              </w:rPr>
              <w:t>GAP</w:t>
            </w:r>
          </w:p>
        </w:tc>
      </w:tr>
      <w:tr>
        <w:trPr>
          <w:trHeight w:val="32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eastAsia="Times New Roman"/>
              </w:rPr>
            </w:pPr>
            <w:r>
              <w:rPr>
                <w:rFonts w:eastAsia="Times New Roman"/>
              </w:rPr>
              <w:t>2.325206</w:t>
            </w:r>
          </w:p>
        </w:tc>
        <w:tc>
          <w:tcPr>
            <w:tcW w:w="2551"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rPr>
            </w:pPr>
            <w:r>
              <w:rPr>
                <w:rFonts w:eastAsia="Times New Roman"/>
              </w:rPr>
              <w:t>2.048473</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rPr>
                <w:rFonts w:eastAsia="Times New Roman"/>
              </w:rPr>
            </w:pPr>
            <w:r>
              <w:rPr>
                <w:rFonts w:eastAsia="Times New Roman"/>
              </w:rPr>
              <w:t>0.276733</w:t>
            </w:r>
          </w:p>
        </w:tc>
      </w:tr>
    </w:tbl>
    <w:p/>
    <w:p/>
    <w:p/>
    <w:p>
      <w:r>
        <w:rPr>
          <w:b/>
          <w:u w:val="single"/>
        </w:rPr>
        <w:lastRenderedPageBreak/>
        <w:t>Year 11 students</w:t>
      </w:r>
      <w:r>
        <w:t xml:space="preserve"> </w:t>
      </w:r>
      <w:r>
        <w:rPr>
          <w:color w:val="FF0000"/>
        </w:rPr>
        <w:t>(These were year 10 students last year)</w:t>
      </w:r>
    </w:p>
    <w:p>
      <w:r>
        <w:t>ATL grades:</w:t>
      </w:r>
    </w:p>
    <w:tbl>
      <w:tblPr>
        <w:tblStyle w:val="TableGrid0"/>
        <w:tblW w:w="0" w:type="auto"/>
        <w:tblLook w:val="04A0" w:firstRow="1" w:lastRow="0" w:firstColumn="1" w:lastColumn="0" w:noHBand="0" w:noVBand="1"/>
      </w:tblPr>
      <w:tblGrid>
        <w:gridCol w:w="1555"/>
        <w:gridCol w:w="2551"/>
        <w:gridCol w:w="1276"/>
      </w:tblGrid>
      <w:tr>
        <w:trPr>
          <w:trHeight w:val="249"/>
        </w:trPr>
        <w:tc>
          <w:tcPr>
            <w:tcW w:w="1555" w:type="dxa"/>
            <w:noWrap/>
            <w:hideMark/>
          </w:tcPr>
          <w:p>
            <w:pPr>
              <w:rPr>
                <w:b/>
                <w:bCs/>
              </w:rPr>
            </w:pPr>
            <w:r>
              <w:rPr>
                <w:b/>
                <w:bCs/>
              </w:rPr>
              <w:t>Year 10 data</w:t>
            </w:r>
          </w:p>
        </w:tc>
        <w:tc>
          <w:tcPr>
            <w:tcW w:w="2551" w:type="dxa"/>
            <w:noWrap/>
            <w:hideMark/>
          </w:tcPr>
          <w:p>
            <w:pPr>
              <w:rPr>
                <w:b/>
                <w:bCs/>
              </w:rPr>
            </w:pPr>
            <w:r>
              <w:rPr>
                <w:b/>
                <w:bCs/>
              </w:rPr>
              <w:t>Averages for ATL</w:t>
            </w:r>
          </w:p>
        </w:tc>
        <w:tc>
          <w:tcPr>
            <w:tcW w:w="1276" w:type="dxa"/>
            <w:noWrap/>
            <w:hideMark/>
          </w:tcPr>
          <w:p>
            <w:pPr>
              <w:rPr>
                <w:b/>
                <w:bCs/>
              </w:rPr>
            </w:pPr>
            <w:r>
              <w:rPr>
                <w:b/>
                <w:bCs/>
              </w:rPr>
              <w:t>Feb-19</w:t>
            </w:r>
          </w:p>
        </w:tc>
      </w:tr>
      <w:tr>
        <w:trPr>
          <w:trHeight w:val="254"/>
        </w:trPr>
        <w:tc>
          <w:tcPr>
            <w:tcW w:w="1555" w:type="dxa"/>
            <w:noWrap/>
            <w:hideMark/>
          </w:tcPr>
          <w:p>
            <w:pPr>
              <w:rPr>
                <w:b/>
                <w:bCs/>
              </w:rPr>
            </w:pPr>
            <w:r>
              <w:rPr>
                <w:b/>
                <w:bCs/>
              </w:rPr>
              <w:t>PP</w:t>
            </w:r>
          </w:p>
        </w:tc>
        <w:tc>
          <w:tcPr>
            <w:tcW w:w="2551" w:type="dxa"/>
            <w:noWrap/>
            <w:hideMark/>
          </w:tcPr>
          <w:p>
            <w:pPr>
              <w:rPr>
                <w:b/>
                <w:bCs/>
              </w:rPr>
            </w:pPr>
            <w:r>
              <w:rPr>
                <w:b/>
                <w:bCs/>
              </w:rPr>
              <w:t>Non PP</w:t>
            </w:r>
          </w:p>
        </w:tc>
        <w:tc>
          <w:tcPr>
            <w:tcW w:w="1276" w:type="dxa"/>
            <w:noWrap/>
            <w:hideMark/>
          </w:tcPr>
          <w:p>
            <w:pPr>
              <w:rPr>
                <w:b/>
                <w:bCs/>
              </w:rPr>
            </w:pPr>
            <w:r>
              <w:rPr>
                <w:b/>
                <w:bCs/>
              </w:rPr>
              <w:t>GAP</w:t>
            </w:r>
          </w:p>
        </w:tc>
      </w:tr>
      <w:tr>
        <w:trPr>
          <w:trHeight w:val="271"/>
        </w:trPr>
        <w:tc>
          <w:tcPr>
            <w:tcW w:w="1555" w:type="dxa"/>
            <w:noWrap/>
            <w:hideMark/>
          </w:tcPr>
          <w:p>
            <w:pPr>
              <w:rPr>
                <w:bCs/>
              </w:rPr>
            </w:pPr>
            <w:r>
              <w:rPr>
                <w:bCs/>
              </w:rPr>
              <w:t>2.195551</w:t>
            </w:r>
          </w:p>
        </w:tc>
        <w:tc>
          <w:tcPr>
            <w:tcW w:w="2551" w:type="dxa"/>
            <w:noWrap/>
            <w:hideMark/>
          </w:tcPr>
          <w:p>
            <w:pPr>
              <w:rPr>
                <w:bCs/>
              </w:rPr>
            </w:pPr>
            <w:r>
              <w:rPr>
                <w:bCs/>
              </w:rPr>
              <w:t>2.05092</w:t>
            </w:r>
          </w:p>
        </w:tc>
        <w:tc>
          <w:tcPr>
            <w:tcW w:w="1276" w:type="dxa"/>
            <w:noWrap/>
            <w:hideMark/>
          </w:tcPr>
          <w:p>
            <w:pPr>
              <w:rPr>
                <w:bCs/>
              </w:rPr>
            </w:pPr>
            <w:r>
              <w:rPr>
                <w:bCs/>
              </w:rPr>
              <w:t>0.144631</w:t>
            </w:r>
          </w:p>
        </w:tc>
      </w:tr>
      <w:tr>
        <w:trPr>
          <w:trHeight w:val="120"/>
        </w:trPr>
        <w:tc>
          <w:tcPr>
            <w:tcW w:w="1555" w:type="dxa"/>
            <w:noWrap/>
          </w:tcPr>
          <w:p>
            <w:pPr>
              <w:rPr>
                <w:b/>
                <w:bCs/>
              </w:rPr>
            </w:pPr>
          </w:p>
        </w:tc>
        <w:tc>
          <w:tcPr>
            <w:tcW w:w="2551" w:type="dxa"/>
            <w:noWrap/>
          </w:tcPr>
          <w:p>
            <w:pPr>
              <w:rPr>
                <w:b/>
                <w:bCs/>
              </w:rPr>
            </w:pPr>
          </w:p>
        </w:tc>
        <w:tc>
          <w:tcPr>
            <w:tcW w:w="1276" w:type="dxa"/>
            <w:noWrap/>
          </w:tcPr>
          <w:p>
            <w:pPr>
              <w:rPr>
                <w:b/>
                <w:bCs/>
              </w:rPr>
            </w:pPr>
          </w:p>
        </w:tc>
      </w:tr>
      <w:tr>
        <w:trPr>
          <w:trHeight w:val="279"/>
        </w:trPr>
        <w:tc>
          <w:tcPr>
            <w:tcW w:w="1555" w:type="dxa"/>
            <w:noWrap/>
            <w:hideMark/>
          </w:tcPr>
          <w:p>
            <w:pPr>
              <w:rPr>
                <w:b/>
                <w:bCs/>
              </w:rPr>
            </w:pPr>
            <w:r>
              <w:rPr>
                <w:b/>
                <w:bCs/>
              </w:rPr>
              <w:t>Year 10 data</w:t>
            </w:r>
          </w:p>
        </w:tc>
        <w:tc>
          <w:tcPr>
            <w:tcW w:w="2551" w:type="dxa"/>
            <w:noWrap/>
            <w:hideMark/>
          </w:tcPr>
          <w:p>
            <w:pPr>
              <w:rPr>
                <w:b/>
                <w:bCs/>
              </w:rPr>
            </w:pPr>
            <w:r>
              <w:rPr>
                <w:b/>
                <w:bCs/>
              </w:rPr>
              <w:t>Averages for ATL</w:t>
            </w:r>
          </w:p>
        </w:tc>
        <w:tc>
          <w:tcPr>
            <w:tcW w:w="1276" w:type="dxa"/>
            <w:noWrap/>
            <w:hideMark/>
          </w:tcPr>
          <w:p>
            <w:pPr>
              <w:rPr>
                <w:b/>
                <w:bCs/>
              </w:rPr>
            </w:pPr>
            <w:r>
              <w:rPr>
                <w:b/>
                <w:bCs/>
                <w:color w:val="FF0000"/>
              </w:rPr>
              <w:t>July 2019</w:t>
            </w:r>
          </w:p>
        </w:tc>
      </w:tr>
      <w:tr>
        <w:trPr>
          <w:trHeight w:val="337"/>
        </w:trPr>
        <w:tc>
          <w:tcPr>
            <w:tcW w:w="1555" w:type="dxa"/>
            <w:noWrap/>
            <w:hideMark/>
          </w:tcPr>
          <w:p>
            <w:pPr>
              <w:rPr>
                <w:b/>
                <w:bCs/>
              </w:rPr>
            </w:pPr>
            <w:r>
              <w:rPr>
                <w:b/>
                <w:bCs/>
              </w:rPr>
              <w:t>PP</w:t>
            </w:r>
          </w:p>
        </w:tc>
        <w:tc>
          <w:tcPr>
            <w:tcW w:w="2551" w:type="dxa"/>
            <w:noWrap/>
            <w:hideMark/>
          </w:tcPr>
          <w:p>
            <w:pPr>
              <w:rPr>
                <w:b/>
                <w:bCs/>
              </w:rPr>
            </w:pPr>
            <w:r>
              <w:rPr>
                <w:b/>
                <w:bCs/>
              </w:rPr>
              <w:t>Non PP</w:t>
            </w:r>
          </w:p>
        </w:tc>
        <w:tc>
          <w:tcPr>
            <w:tcW w:w="1276" w:type="dxa"/>
            <w:noWrap/>
            <w:hideMark/>
          </w:tcPr>
          <w:p>
            <w:pPr>
              <w:rPr>
                <w:b/>
                <w:bCs/>
              </w:rPr>
            </w:pPr>
            <w:r>
              <w:rPr>
                <w:b/>
                <w:bCs/>
              </w:rPr>
              <w:t>GAP</w:t>
            </w:r>
          </w:p>
        </w:tc>
      </w:tr>
      <w:tr>
        <w:trPr>
          <w:trHeight w:val="284"/>
        </w:trPr>
        <w:tc>
          <w:tcPr>
            <w:tcW w:w="1555" w:type="dxa"/>
            <w:noWrap/>
            <w:hideMark/>
          </w:tcPr>
          <w:p>
            <w:pPr>
              <w:rPr>
                <w:bCs/>
              </w:rPr>
            </w:pPr>
            <w:r>
              <w:rPr>
                <w:bCs/>
              </w:rPr>
              <w:t>2.29</w:t>
            </w:r>
          </w:p>
        </w:tc>
        <w:tc>
          <w:tcPr>
            <w:tcW w:w="2551" w:type="dxa"/>
            <w:noWrap/>
            <w:hideMark/>
          </w:tcPr>
          <w:p>
            <w:pPr>
              <w:rPr>
                <w:bCs/>
              </w:rPr>
            </w:pPr>
            <w:r>
              <w:rPr>
                <w:bCs/>
              </w:rPr>
              <w:t>2.12</w:t>
            </w:r>
          </w:p>
        </w:tc>
        <w:tc>
          <w:tcPr>
            <w:tcW w:w="1276" w:type="dxa"/>
            <w:noWrap/>
            <w:hideMark/>
          </w:tcPr>
          <w:p>
            <w:pPr>
              <w:rPr>
                <w:bCs/>
              </w:rPr>
            </w:pPr>
            <w:r>
              <w:rPr>
                <w:bCs/>
              </w:rPr>
              <w:t>0.17</w:t>
            </w:r>
          </w:p>
        </w:tc>
      </w:tr>
    </w:tbl>
    <w:p/>
    <w:p>
      <w:r>
        <w:t xml:space="preserve">It </w:t>
      </w:r>
      <w:proofErr w:type="gramStart"/>
      <w:r>
        <w:t>has been shown</w:t>
      </w:r>
      <w:proofErr w:type="gramEnd"/>
      <w:r>
        <w:t xml:space="preserve"> that students with a positive average ATL score will perform better in their GCSE’s. The gap between PP and Non PP is not significant.</w:t>
      </w:r>
    </w:p>
    <w:tbl>
      <w:tblPr>
        <w:tblW w:w="7710" w:type="dxa"/>
        <w:tblLook w:val="04A0" w:firstRow="1" w:lastRow="0" w:firstColumn="1" w:lastColumn="0" w:noHBand="0" w:noVBand="1"/>
      </w:tblPr>
      <w:tblGrid>
        <w:gridCol w:w="2547"/>
        <w:gridCol w:w="935"/>
        <w:gridCol w:w="960"/>
        <w:gridCol w:w="960"/>
        <w:gridCol w:w="1457"/>
        <w:gridCol w:w="851"/>
      </w:tblGrid>
      <w:tr>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FF0000"/>
              </w:rPr>
              <w:t> Attendance up to end of September 2019</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PP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Non PP</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Gap</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PP/</w:t>
            </w:r>
            <w:bookmarkStart w:id="9" w:name="_GoBack"/>
            <w:bookmarkEnd w:id="9"/>
            <w:r>
              <w:rPr>
                <w:rFonts w:ascii="Calibri" w:eastAsia="Times New Roman" w:hAnsi="Calibri" w:cs="Calibri"/>
                <w:color w:val="FF0000"/>
              </w:rPr>
              <w:t>Total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 PP</w:t>
            </w:r>
          </w:p>
        </w:tc>
      </w:tr>
      <w:tr>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yr</w:t>
            </w:r>
            <w:proofErr w:type="spellEnd"/>
            <w:r>
              <w:rPr>
                <w:rFonts w:ascii="Calibri" w:eastAsia="Times New Roman" w:hAnsi="Calibri" w:cs="Calibri"/>
                <w:color w:val="000000"/>
              </w:rPr>
              <w:t xml:space="preserve"> 7 (new to the school)</w:t>
            </w:r>
          </w:p>
        </w:tc>
        <w:tc>
          <w:tcPr>
            <w:tcW w:w="935"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96.22%</w:t>
            </w:r>
          </w:p>
        </w:tc>
        <w:tc>
          <w:tcPr>
            <w:tcW w:w="9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97.49%</w:t>
            </w:r>
          </w:p>
        </w:tc>
        <w:tc>
          <w:tcPr>
            <w:tcW w:w="9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1.27%</w:t>
            </w:r>
          </w:p>
        </w:tc>
        <w:tc>
          <w:tcPr>
            <w:tcW w:w="145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57/155</w:t>
            </w:r>
          </w:p>
        </w:tc>
        <w:tc>
          <w:tcPr>
            <w:tcW w:w="85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37%</w:t>
            </w:r>
          </w:p>
        </w:tc>
      </w:tr>
      <w:tr>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yr</w:t>
            </w:r>
            <w:proofErr w:type="spellEnd"/>
            <w:r>
              <w:rPr>
                <w:rFonts w:ascii="Calibri" w:eastAsia="Times New Roman" w:hAnsi="Calibri" w:cs="Calibri"/>
                <w:color w:val="000000"/>
              </w:rPr>
              <w:t xml:space="preserve"> 8 (were year 7)</w:t>
            </w:r>
          </w:p>
        </w:tc>
        <w:tc>
          <w:tcPr>
            <w:tcW w:w="935"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90.42%</w:t>
            </w:r>
          </w:p>
        </w:tc>
        <w:tc>
          <w:tcPr>
            <w:tcW w:w="9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97.05%</w:t>
            </w:r>
          </w:p>
        </w:tc>
        <w:tc>
          <w:tcPr>
            <w:tcW w:w="9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6.63%</w:t>
            </w:r>
          </w:p>
        </w:tc>
        <w:tc>
          <w:tcPr>
            <w:tcW w:w="145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53/158</w:t>
            </w:r>
          </w:p>
        </w:tc>
        <w:tc>
          <w:tcPr>
            <w:tcW w:w="85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34%</w:t>
            </w:r>
          </w:p>
        </w:tc>
      </w:tr>
      <w:tr>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yr</w:t>
            </w:r>
            <w:proofErr w:type="spellEnd"/>
            <w:r>
              <w:rPr>
                <w:rFonts w:ascii="Calibri" w:eastAsia="Times New Roman" w:hAnsi="Calibri" w:cs="Calibri"/>
                <w:color w:val="000000"/>
              </w:rPr>
              <w:t xml:space="preserve"> 9 (were year 8)</w:t>
            </w:r>
          </w:p>
        </w:tc>
        <w:tc>
          <w:tcPr>
            <w:tcW w:w="935"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90.50%</w:t>
            </w:r>
          </w:p>
        </w:tc>
        <w:tc>
          <w:tcPr>
            <w:tcW w:w="9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93.90%</w:t>
            </w:r>
          </w:p>
        </w:tc>
        <w:tc>
          <w:tcPr>
            <w:tcW w:w="9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3.40%</w:t>
            </w:r>
          </w:p>
        </w:tc>
        <w:tc>
          <w:tcPr>
            <w:tcW w:w="145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49/154</w:t>
            </w:r>
          </w:p>
        </w:tc>
        <w:tc>
          <w:tcPr>
            <w:tcW w:w="85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32%</w:t>
            </w:r>
          </w:p>
        </w:tc>
      </w:tr>
      <w:tr>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yr</w:t>
            </w:r>
            <w:proofErr w:type="spellEnd"/>
            <w:r>
              <w:rPr>
                <w:rFonts w:ascii="Calibri" w:eastAsia="Times New Roman" w:hAnsi="Calibri" w:cs="Calibri"/>
                <w:color w:val="000000"/>
              </w:rPr>
              <w:t xml:space="preserve"> 10 (were year 9)</w:t>
            </w:r>
          </w:p>
        </w:tc>
        <w:tc>
          <w:tcPr>
            <w:tcW w:w="935"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89.66%</w:t>
            </w:r>
          </w:p>
        </w:tc>
        <w:tc>
          <w:tcPr>
            <w:tcW w:w="9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95.18%</w:t>
            </w:r>
          </w:p>
        </w:tc>
        <w:tc>
          <w:tcPr>
            <w:tcW w:w="9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5.52%</w:t>
            </w:r>
          </w:p>
        </w:tc>
        <w:tc>
          <w:tcPr>
            <w:tcW w:w="145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42/150</w:t>
            </w:r>
          </w:p>
        </w:tc>
        <w:tc>
          <w:tcPr>
            <w:tcW w:w="85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28%</w:t>
            </w:r>
          </w:p>
        </w:tc>
      </w:tr>
      <w:tr>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yr</w:t>
            </w:r>
            <w:proofErr w:type="spellEnd"/>
            <w:r>
              <w:rPr>
                <w:rFonts w:ascii="Calibri" w:eastAsia="Times New Roman" w:hAnsi="Calibri" w:cs="Calibri"/>
                <w:color w:val="000000"/>
              </w:rPr>
              <w:t xml:space="preserve"> 11 (were year 10)</w:t>
            </w:r>
          </w:p>
        </w:tc>
        <w:tc>
          <w:tcPr>
            <w:tcW w:w="935"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91.07%</w:t>
            </w:r>
          </w:p>
        </w:tc>
        <w:tc>
          <w:tcPr>
            <w:tcW w:w="9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94.81%</w:t>
            </w:r>
          </w:p>
        </w:tc>
        <w:tc>
          <w:tcPr>
            <w:tcW w:w="960"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3.74%</w:t>
            </w:r>
          </w:p>
        </w:tc>
        <w:tc>
          <w:tcPr>
            <w:tcW w:w="1457"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49/153</w:t>
            </w:r>
          </w:p>
        </w:tc>
        <w:tc>
          <w:tcPr>
            <w:tcW w:w="85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rPr>
            </w:pPr>
            <w:r>
              <w:rPr>
                <w:rFonts w:ascii="Calibri" w:eastAsia="Times New Roman" w:hAnsi="Calibri" w:cs="Calibri"/>
                <w:color w:val="000000"/>
              </w:rPr>
              <w:t>32%</w:t>
            </w:r>
          </w:p>
        </w:tc>
      </w:tr>
    </w:tbl>
    <w:p/>
    <w:p/>
    <w:sectPr>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ames Harris" w:date="2019-04-28T17:17:00Z" w:initials="JH">
    <w:p>
      <w:pPr>
        <w:pStyle w:val="CommentText"/>
      </w:pPr>
      <w:r>
        <w:rPr>
          <w:rStyle w:val="CommentReference"/>
        </w:rPr>
        <w:annotationRef/>
      </w:r>
      <w:r>
        <w:t>Some improvements in T&amp;L recognised by John Doyle during review April 1</w:t>
      </w:r>
      <w:r>
        <w:rPr>
          <w:vertAlign w:val="superscript"/>
        </w:rPr>
        <w:t>st</w:t>
      </w:r>
      <w:r>
        <w:t xml:space="preserve"> 2019</w:t>
      </w:r>
    </w:p>
  </w:comment>
  <w:comment w:id="1" w:author="James Harris" w:date="2019-06-10T20:33:00Z" w:initials="JH">
    <w:p>
      <w:pPr>
        <w:pStyle w:val="CommentText"/>
      </w:pPr>
      <w:r>
        <w:rPr>
          <w:rStyle w:val="CommentReference"/>
        </w:rPr>
        <w:annotationRef/>
      </w:r>
      <w:r>
        <w:t>Withdrawn from Whole Ed so Lab Classrooms project will end in July 2019</w:t>
      </w:r>
    </w:p>
  </w:comment>
  <w:comment w:id="2" w:author="James Harris" w:date="2019-04-28T17:16:00Z" w:initials="JH">
    <w:p>
      <w:pPr>
        <w:pStyle w:val="CommentText"/>
      </w:pPr>
      <w:r>
        <w:rPr>
          <w:rStyle w:val="CommentReference"/>
        </w:rPr>
        <w:annotationRef/>
      </w:r>
      <w:r>
        <w:t>CPD to be the key focus for 2019-20 with a “CPD offer” being developed and changes to appraisal and PM systems</w:t>
      </w:r>
    </w:p>
  </w:comment>
  <w:comment w:id="3" w:author="James Harris" w:date="2019-04-28T17:15:00Z" w:initials="JH">
    <w:p>
      <w:pPr>
        <w:pStyle w:val="CommentText"/>
      </w:pPr>
      <w:r>
        <w:rPr>
          <w:rStyle w:val="CommentReference"/>
        </w:rPr>
        <w:annotationRef/>
      </w:r>
      <w:r>
        <w:t>Key focus for new DHT.  Figures in April better than precious year</w:t>
      </w:r>
    </w:p>
  </w:comment>
  <w:comment w:id="4" w:author="James Harris" w:date="2019-04-28T17:14:00Z" w:initials="JH">
    <w:p>
      <w:pPr>
        <w:pStyle w:val="CommentText"/>
      </w:pPr>
      <w:r>
        <w:rPr>
          <w:rStyle w:val="CommentReference"/>
        </w:rPr>
        <w:annotationRef/>
      </w:r>
      <w:r>
        <w:t>This is identified as a focus for 2019-20 by John Doyle during review on 1</w:t>
      </w:r>
      <w:r>
        <w:rPr>
          <w:vertAlign w:val="superscript"/>
        </w:rPr>
        <w:t>st</w:t>
      </w:r>
      <w:r>
        <w:t xml:space="preserve"> April</w:t>
      </w:r>
    </w:p>
  </w:comment>
  <w:comment w:id="5" w:author="James Harris" w:date="2019-06-10T20:35:00Z" w:initials="JH">
    <w:p>
      <w:pPr>
        <w:pStyle w:val="CommentText"/>
        <w:ind w:left="0" w:firstLine="0"/>
      </w:pPr>
      <w:r>
        <w:rPr>
          <w:rStyle w:val="CommentReference"/>
        </w:rPr>
        <w:annotationRef/>
      </w:r>
    </w:p>
  </w:comment>
  <w:comment w:id="6" w:author="James Harris" w:date="2019-04-28T17:12:00Z" w:initials="JH">
    <w:p>
      <w:pPr>
        <w:pStyle w:val="CommentText"/>
      </w:pPr>
      <w:r>
        <w:rPr>
          <w:rStyle w:val="CommentReference"/>
        </w:rPr>
        <w:annotationRef/>
      </w:r>
      <w:r>
        <w:t xml:space="preserve">14 boards replaced, with 14 more to be done in the next 12 months.  Roll-out of storage solutions in Humanities to go to Maths and then across school.  Fixed desktops and </w:t>
      </w:r>
      <w:proofErr w:type="spellStart"/>
      <w:r>
        <w:t>visualiers</w:t>
      </w:r>
      <w:proofErr w:type="spellEnd"/>
      <w:r>
        <w:t>.  Repainting programme.</w:t>
      </w:r>
    </w:p>
  </w:comment>
  <w:comment w:id="7" w:author="James Harris" w:date="2019-04-28T17:13:00Z" w:initials="JH">
    <w:p>
      <w:pPr>
        <w:pStyle w:val="CommentText"/>
      </w:pPr>
      <w:r>
        <w:rPr>
          <w:rStyle w:val="CommentReference"/>
        </w:rPr>
        <w:annotationRef/>
      </w:r>
      <w:r>
        <w:t>Review beginning with Peter Howarth’s appointment</w:t>
      </w:r>
    </w:p>
  </w:comment>
  <w:comment w:id="8" w:author="James Harris" w:date="2019-04-28T17:14:00Z" w:initials="JH">
    <w:p>
      <w:pPr>
        <w:pStyle w:val="CommentText"/>
      </w:pPr>
      <w:r>
        <w:rPr>
          <w:rStyle w:val="CommentReference"/>
        </w:rPr>
        <w:annotationRef/>
      </w:r>
      <w:r>
        <w:t xml:space="preserve">Decision not to implement </w:t>
      </w:r>
      <w:proofErr w:type="spellStart"/>
      <w:r>
        <w:t>Zegami</w:t>
      </w:r>
      <w:proofErr w:type="spellEnd"/>
      <w:r>
        <w:t xml:space="preserve"> – not considered appropriate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53331"/>
    <w:multiLevelType w:val="hybridMultilevel"/>
    <w:tmpl w:val="499670E6"/>
    <w:lvl w:ilvl="0" w:tplc="90744D18">
      <w:start w:val="1"/>
      <w:numFmt w:val="bullet"/>
      <w:lvlText w:val="-"/>
      <w:lvlJc w:val="left"/>
      <w:pPr>
        <w:ind w:left="2"/>
      </w:pPr>
      <w:rPr>
        <w:rFonts w:ascii="Arial" w:eastAsia="Arial" w:hAnsi="Arial" w:cs="Arial"/>
        <w:b w:val="0"/>
        <w:i/>
        <w:iCs/>
        <w:strike w:val="0"/>
        <w:dstrike w:val="0"/>
        <w:color w:val="050505"/>
        <w:sz w:val="24"/>
        <w:szCs w:val="24"/>
        <w:u w:val="none" w:color="000000"/>
        <w:bdr w:val="none" w:sz="0" w:space="0" w:color="auto"/>
        <w:shd w:val="clear" w:color="auto" w:fill="auto"/>
        <w:vertAlign w:val="baseline"/>
      </w:rPr>
    </w:lvl>
    <w:lvl w:ilvl="1" w:tplc="0E984E8E">
      <w:start w:val="1"/>
      <w:numFmt w:val="bullet"/>
      <w:lvlText w:val="o"/>
      <w:lvlJc w:val="left"/>
      <w:pPr>
        <w:ind w:left="1280"/>
      </w:pPr>
      <w:rPr>
        <w:rFonts w:ascii="Arial" w:eastAsia="Arial" w:hAnsi="Arial" w:cs="Arial"/>
        <w:b w:val="0"/>
        <w:i/>
        <w:iCs/>
        <w:strike w:val="0"/>
        <w:dstrike w:val="0"/>
        <w:color w:val="050505"/>
        <w:sz w:val="24"/>
        <w:szCs w:val="24"/>
        <w:u w:val="none" w:color="000000"/>
        <w:bdr w:val="none" w:sz="0" w:space="0" w:color="auto"/>
        <w:shd w:val="clear" w:color="auto" w:fill="auto"/>
        <w:vertAlign w:val="baseline"/>
      </w:rPr>
    </w:lvl>
    <w:lvl w:ilvl="2" w:tplc="32B80E12">
      <w:start w:val="1"/>
      <w:numFmt w:val="bullet"/>
      <w:lvlText w:val="▪"/>
      <w:lvlJc w:val="left"/>
      <w:pPr>
        <w:ind w:left="2000"/>
      </w:pPr>
      <w:rPr>
        <w:rFonts w:ascii="Arial" w:eastAsia="Arial" w:hAnsi="Arial" w:cs="Arial"/>
        <w:b w:val="0"/>
        <w:i/>
        <w:iCs/>
        <w:strike w:val="0"/>
        <w:dstrike w:val="0"/>
        <w:color w:val="050505"/>
        <w:sz w:val="24"/>
        <w:szCs w:val="24"/>
        <w:u w:val="none" w:color="000000"/>
        <w:bdr w:val="none" w:sz="0" w:space="0" w:color="auto"/>
        <w:shd w:val="clear" w:color="auto" w:fill="auto"/>
        <w:vertAlign w:val="baseline"/>
      </w:rPr>
    </w:lvl>
    <w:lvl w:ilvl="3" w:tplc="24AAD540">
      <w:start w:val="1"/>
      <w:numFmt w:val="bullet"/>
      <w:lvlText w:val="•"/>
      <w:lvlJc w:val="left"/>
      <w:pPr>
        <w:ind w:left="2720"/>
      </w:pPr>
      <w:rPr>
        <w:rFonts w:ascii="Arial" w:eastAsia="Arial" w:hAnsi="Arial" w:cs="Arial"/>
        <w:b w:val="0"/>
        <w:i/>
        <w:iCs/>
        <w:strike w:val="0"/>
        <w:dstrike w:val="0"/>
        <w:color w:val="050505"/>
        <w:sz w:val="24"/>
        <w:szCs w:val="24"/>
        <w:u w:val="none" w:color="000000"/>
        <w:bdr w:val="none" w:sz="0" w:space="0" w:color="auto"/>
        <w:shd w:val="clear" w:color="auto" w:fill="auto"/>
        <w:vertAlign w:val="baseline"/>
      </w:rPr>
    </w:lvl>
    <w:lvl w:ilvl="4" w:tplc="7F16D396">
      <w:start w:val="1"/>
      <w:numFmt w:val="bullet"/>
      <w:lvlText w:val="o"/>
      <w:lvlJc w:val="left"/>
      <w:pPr>
        <w:ind w:left="3440"/>
      </w:pPr>
      <w:rPr>
        <w:rFonts w:ascii="Arial" w:eastAsia="Arial" w:hAnsi="Arial" w:cs="Arial"/>
        <w:b w:val="0"/>
        <w:i/>
        <w:iCs/>
        <w:strike w:val="0"/>
        <w:dstrike w:val="0"/>
        <w:color w:val="050505"/>
        <w:sz w:val="24"/>
        <w:szCs w:val="24"/>
        <w:u w:val="none" w:color="000000"/>
        <w:bdr w:val="none" w:sz="0" w:space="0" w:color="auto"/>
        <w:shd w:val="clear" w:color="auto" w:fill="auto"/>
        <w:vertAlign w:val="baseline"/>
      </w:rPr>
    </w:lvl>
    <w:lvl w:ilvl="5" w:tplc="AE625FC6">
      <w:start w:val="1"/>
      <w:numFmt w:val="bullet"/>
      <w:lvlText w:val="▪"/>
      <w:lvlJc w:val="left"/>
      <w:pPr>
        <w:ind w:left="4160"/>
      </w:pPr>
      <w:rPr>
        <w:rFonts w:ascii="Arial" w:eastAsia="Arial" w:hAnsi="Arial" w:cs="Arial"/>
        <w:b w:val="0"/>
        <w:i/>
        <w:iCs/>
        <w:strike w:val="0"/>
        <w:dstrike w:val="0"/>
        <w:color w:val="050505"/>
        <w:sz w:val="24"/>
        <w:szCs w:val="24"/>
        <w:u w:val="none" w:color="000000"/>
        <w:bdr w:val="none" w:sz="0" w:space="0" w:color="auto"/>
        <w:shd w:val="clear" w:color="auto" w:fill="auto"/>
        <w:vertAlign w:val="baseline"/>
      </w:rPr>
    </w:lvl>
    <w:lvl w:ilvl="6" w:tplc="9E8851AC">
      <w:start w:val="1"/>
      <w:numFmt w:val="bullet"/>
      <w:lvlText w:val="•"/>
      <w:lvlJc w:val="left"/>
      <w:pPr>
        <w:ind w:left="4880"/>
      </w:pPr>
      <w:rPr>
        <w:rFonts w:ascii="Arial" w:eastAsia="Arial" w:hAnsi="Arial" w:cs="Arial"/>
        <w:b w:val="0"/>
        <w:i/>
        <w:iCs/>
        <w:strike w:val="0"/>
        <w:dstrike w:val="0"/>
        <w:color w:val="050505"/>
        <w:sz w:val="24"/>
        <w:szCs w:val="24"/>
        <w:u w:val="none" w:color="000000"/>
        <w:bdr w:val="none" w:sz="0" w:space="0" w:color="auto"/>
        <w:shd w:val="clear" w:color="auto" w:fill="auto"/>
        <w:vertAlign w:val="baseline"/>
      </w:rPr>
    </w:lvl>
    <w:lvl w:ilvl="7" w:tplc="AE2A07BA">
      <w:start w:val="1"/>
      <w:numFmt w:val="bullet"/>
      <w:lvlText w:val="o"/>
      <w:lvlJc w:val="left"/>
      <w:pPr>
        <w:ind w:left="5600"/>
      </w:pPr>
      <w:rPr>
        <w:rFonts w:ascii="Arial" w:eastAsia="Arial" w:hAnsi="Arial" w:cs="Arial"/>
        <w:b w:val="0"/>
        <w:i/>
        <w:iCs/>
        <w:strike w:val="0"/>
        <w:dstrike w:val="0"/>
        <w:color w:val="050505"/>
        <w:sz w:val="24"/>
        <w:szCs w:val="24"/>
        <w:u w:val="none" w:color="000000"/>
        <w:bdr w:val="none" w:sz="0" w:space="0" w:color="auto"/>
        <w:shd w:val="clear" w:color="auto" w:fill="auto"/>
        <w:vertAlign w:val="baseline"/>
      </w:rPr>
    </w:lvl>
    <w:lvl w:ilvl="8" w:tplc="B53C2B7A">
      <w:start w:val="1"/>
      <w:numFmt w:val="bullet"/>
      <w:lvlText w:val="▪"/>
      <w:lvlJc w:val="left"/>
      <w:pPr>
        <w:ind w:left="6320"/>
      </w:pPr>
      <w:rPr>
        <w:rFonts w:ascii="Arial" w:eastAsia="Arial" w:hAnsi="Arial" w:cs="Arial"/>
        <w:b w:val="0"/>
        <w:i/>
        <w:iCs/>
        <w:strike w:val="0"/>
        <w:dstrike w:val="0"/>
        <w:color w:val="050505"/>
        <w:sz w:val="24"/>
        <w:szCs w:val="24"/>
        <w:u w:val="none" w:color="000000"/>
        <w:bdr w:val="none" w:sz="0" w:space="0" w:color="auto"/>
        <w:shd w:val="clear" w:color="auto" w:fill="auto"/>
        <w:vertAlign w:val="baseline"/>
      </w:rPr>
    </w:lvl>
  </w:abstractNum>
  <w:abstractNum w:abstractNumId="1" w15:restartNumberingAfterBreak="0">
    <w:nsid w:val="5C713270"/>
    <w:multiLevelType w:val="hybridMultilevel"/>
    <w:tmpl w:val="44E68E54"/>
    <w:lvl w:ilvl="0" w:tplc="B95C7188">
      <w:start w:val="1"/>
      <w:numFmt w:val="bullet"/>
      <w:lvlText w:val="•"/>
      <w:lvlJc w:val="left"/>
      <w:pPr>
        <w:ind w:left="172"/>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F252EB88">
      <w:start w:val="1"/>
      <w:numFmt w:val="bullet"/>
      <w:lvlText w:val="o"/>
      <w:lvlJc w:val="left"/>
      <w:pPr>
        <w:ind w:left="154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45C4CF9E">
      <w:start w:val="1"/>
      <w:numFmt w:val="bullet"/>
      <w:lvlText w:val="▪"/>
      <w:lvlJc w:val="left"/>
      <w:pPr>
        <w:ind w:left="226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869A208A">
      <w:start w:val="1"/>
      <w:numFmt w:val="bullet"/>
      <w:lvlText w:val="•"/>
      <w:lvlJc w:val="left"/>
      <w:pPr>
        <w:ind w:left="2986"/>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AC222142">
      <w:start w:val="1"/>
      <w:numFmt w:val="bullet"/>
      <w:lvlText w:val="o"/>
      <w:lvlJc w:val="left"/>
      <w:pPr>
        <w:ind w:left="370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5A5CDCE4">
      <w:start w:val="1"/>
      <w:numFmt w:val="bullet"/>
      <w:lvlText w:val="▪"/>
      <w:lvlJc w:val="left"/>
      <w:pPr>
        <w:ind w:left="442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98ECFDF4">
      <w:start w:val="1"/>
      <w:numFmt w:val="bullet"/>
      <w:lvlText w:val="•"/>
      <w:lvlJc w:val="left"/>
      <w:pPr>
        <w:ind w:left="5146"/>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046E6EC4">
      <w:start w:val="1"/>
      <w:numFmt w:val="bullet"/>
      <w:lvlText w:val="o"/>
      <w:lvlJc w:val="left"/>
      <w:pPr>
        <w:ind w:left="586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F014C3FC">
      <w:start w:val="1"/>
      <w:numFmt w:val="bullet"/>
      <w:lvlText w:val="▪"/>
      <w:lvlJc w:val="left"/>
      <w:pPr>
        <w:ind w:left="6586"/>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Harris">
    <w15:presenceInfo w15:providerId="None" w15:userId="James Har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B3CDD-EF1E-461C-A5A4-D4189704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8" w:line="280" w:lineRule="auto"/>
      <w:ind w:left="10" w:hanging="10"/>
    </w:pPr>
    <w:rPr>
      <w:rFonts w:ascii="Arial" w:eastAsia="Arial" w:hAnsi="Arial" w:cs="Arial"/>
      <w:color w:val="0D0D0D"/>
      <w:sz w:val="24"/>
      <w:lang w:eastAsia="en-GB"/>
    </w:rPr>
  </w:style>
  <w:style w:type="paragraph" w:styleId="Heading1">
    <w:name w:val="heading 1"/>
    <w:next w:val="Normal"/>
    <w:link w:val="Heading1Char"/>
    <w:uiPriority w:val="9"/>
    <w:unhideWhenUsed/>
    <w:qFormat/>
    <w:pPr>
      <w:keepNext/>
      <w:keepLines/>
      <w:spacing w:after="101"/>
      <w:ind w:left="10" w:hanging="10"/>
      <w:outlineLvl w:val="0"/>
    </w:pPr>
    <w:rPr>
      <w:rFonts w:ascii="Arial" w:eastAsia="Arial" w:hAnsi="Arial" w:cs="Arial"/>
      <w:b/>
      <w:color w:val="104F75"/>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b/>
      <w:color w:val="104F75"/>
      <w:sz w:val="36"/>
      <w:lang w:eastAsia="en-GB"/>
    </w:rPr>
  </w:style>
  <w:style w:type="table" w:customStyle="1" w:styleId="TableGrid">
    <w:name w:val="TableGrid"/>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D0D0D"/>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color w:val="0D0D0D"/>
      <w:sz w:val="20"/>
      <w:szCs w:val="20"/>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color w:val="0D0D0D"/>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7" ma:contentTypeDescription="Create a new document." ma:contentTypeScope="" ma:versionID="0de748fb8eb0b5e54784dc215bc5aaa1">
  <xsd:schema xmlns:xsd="http://www.w3.org/2001/XMLSchema" xmlns:xs="http://www.w3.org/2001/XMLSchema" xmlns:p="http://schemas.microsoft.com/office/2006/metadata/properties" xmlns:ns2="fb2f7512-3b25-4eb2-a1b9-3f3b8093a243" targetNamespace="http://schemas.microsoft.com/office/2006/metadata/properties" ma:root="true" ma:fieldsID="88875c65a09fadc167d779802f054f5a" ns2:_="">
    <xsd:import namespace="fb2f7512-3b25-4eb2-a1b9-3f3b8093a2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ADFB9C-B2F1-484C-97E9-167D268A571B}">
  <ds:schemaRefs>
    <ds:schemaRef ds:uri="http://purl.org/dc/terms/"/>
    <ds:schemaRef ds:uri="http://schemas.openxmlformats.org/package/2006/metadata/core-properties"/>
    <ds:schemaRef ds:uri="fb2f7512-3b25-4eb2-a1b9-3f3b8093a24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E9A2D76-4807-487D-9729-AD652E2CFF36}">
  <ds:schemaRefs>
    <ds:schemaRef ds:uri="http://schemas.microsoft.com/sharepoint/v3/contenttype/forms"/>
  </ds:schemaRefs>
</ds:datastoreItem>
</file>

<file path=customXml/itemProps3.xml><?xml version="1.0" encoding="utf-8"?>
<ds:datastoreItem xmlns:ds="http://schemas.openxmlformats.org/officeDocument/2006/customXml" ds:itemID="{E561A83C-4F47-4D42-9166-ED3B05BAA3F6}"/>
</file>

<file path=docProps/app.xml><?xml version="1.0" encoding="utf-8"?>
<Properties xmlns="http://schemas.openxmlformats.org/officeDocument/2006/extended-properties" xmlns:vt="http://schemas.openxmlformats.org/officeDocument/2006/docPropsVTypes">
  <Template>Normal</Template>
  <TotalTime>171</TotalTime>
  <Pages>8</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28</cp:revision>
  <dcterms:created xsi:type="dcterms:W3CDTF">2018-11-04T16:57:00Z</dcterms:created>
  <dcterms:modified xsi:type="dcterms:W3CDTF">2019-10-13T19:32:00Z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