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C1391" w14:textId="77777777" w:rsidR="004B3407" w:rsidRDefault="004B3407" w:rsidP="004B3407">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32"/>
          <w:szCs w:val="32"/>
          <w:shd w:val="clear" w:color="auto" w:fill="FFFFFF"/>
        </w:rPr>
        <w:t>WLD Teaching and Learning Digest – w/c 23</w:t>
      </w:r>
      <w:r>
        <w:rPr>
          <w:rFonts w:ascii="Arial" w:eastAsia="Times New Roman" w:hAnsi="Arial" w:cs="Arial"/>
          <w:b/>
          <w:bCs/>
          <w:color w:val="00B0F0"/>
          <w:sz w:val="32"/>
          <w:szCs w:val="32"/>
          <w:shd w:val="clear" w:color="auto" w:fill="FFFFFF"/>
          <w:vertAlign w:val="superscript"/>
        </w:rPr>
        <w:t>rd</w:t>
      </w:r>
      <w:r>
        <w:rPr>
          <w:rFonts w:ascii="Arial" w:eastAsia="Times New Roman" w:hAnsi="Arial" w:cs="Arial"/>
          <w:b/>
          <w:bCs/>
          <w:color w:val="00B0F0"/>
          <w:sz w:val="32"/>
          <w:szCs w:val="32"/>
          <w:shd w:val="clear" w:color="auto" w:fill="FFFFFF"/>
        </w:rPr>
        <w:t xml:space="preserve"> April 2018</w:t>
      </w:r>
    </w:p>
    <w:p w14:paraId="3B87626A" w14:textId="77777777" w:rsidR="004B3407" w:rsidRDefault="004B3407" w:rsidP="004B3407">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14:paraId="53D753F3" w14:textId="77777777" w:rsidR="004B3407" w:rsidRDefault="004B3407" w:rsidP="004B3407">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5240"/>
        <w:gridCol w:w="4242"/>
      </w:tblGrid>
      <w:tr w:rsidR="004B3407" w14:paraId="07CD2F11" w14:textId="77777777" w:rsidTr="004B3407">
        <w:trPr>
          <w:jc w:val="center"/>
        </w:trPr>
        <w:tc>
          <w:tcPr>
            <w:tcW w:w="524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14:paraId="06BC6A25" w14:textId="77777777" w:rsidR="004B3407" w:rsidRDefault="004B3407">
            <w:pPr>
              <w:spacing w:before="100" w:beforeAutospacing="1"/>
              <w:jc w:val="center"/>
            </w:pPr>
            <w:r>
              <w:rPr>
                <w:rFonts w:eastAsia="Times New Roman" w:cstheme="minorHAnsi"/>
                <w:b/>
                <w:bCs/>
                <w:color w:val="0070C0"/>
                <w:szCs w:val="20"/>
                <w:u w:val="single"/>
              </w:rPr>
              <w:t>COMMUNICATION FOCUSES</w:t>
            </w:r>
          </w:p>
          <w:p w14:paraId="0540D141" w14:textId="77777777" w:rsidR="004B3407" w:rsidRDefault="004B3407">
            <w:pPr>
              <w:spacing w:before="100" w:beforeAutospacing="1"/>
              <w:jc w:val="center"/>
            </w:pPr>
            <w:r>
              <w:rPr>
                <w:rFonts w:eastAsia="Times New Roman" w:cstheme="minorHAnsi"/>
              </w:rPr>
              <w:t> </w:t>
            </w:r>
          </w:p>
          <w:p w14:paraId="22A86CDA" w14:textId="77777777" w:rsidR="004B3407" w:rsidRDefault="004B3407">
            <w:pPr>
              <w:spacing w:before="100" w:beforeAutospacing="1"/>
              <w:jc w:val="center"/>
            </w:pPr>
            <w:r>
              <w:rPr>
                <w:rFonts w:eastAsia="Times New Roman" w:cstheme="minorHAnsi"/>
                <w:color w:val="0070C0"/>
                <w:szCs w:val="20"/>
              </w:rPr>
              <w:t>Do your Year 7s have reading books with them?</w:t>
            </w:r>
          </w:p>
          <w:p w14:paraId="3264B08D" w14:textId="77777777" w:rsidR="004B3407" w:rsidRDefault="004B3407">
            <w:pPr>
              <w:spacing w:before="100" w:beforeAutospacing="1"/>
              <w:jc w:val="center"/>
            </w:pPr>
            <w:r>
              <w:rPr>
                <w:rFonts w:eastAsia="Times New Roman" w:cstheme="minorHAnsi"/>
                <w:color w:val="0070C0"/>
                <w:szCs w:val="20"/>
              </w:rPr>
              <w:t>Write key words for the lesson on the board…discuss them</w:t>
            </w:r>
          </w:p>
          <w:p w14:paraId="5BD5E464" w14:textId="77777777" w:rsidR="004B3407" w:rsidRDefault="004B3407">
            <w:pPr>
              <w:spacing w:before="100" w:beforeAutospacing="1"/>
            </w:pPr>
            <w:r>
              <w:rPr>
                <w:rFonts w:eastAsia="Times New Roman" w:cstheme="minorHAnsi"/>
                <w:b/>
                <w:bCs/>
                <w:color w:val="0070C0"/>
                <w:szCs w:val="20"/>
              </w:rPr>
              <w:t> </w:t>
            </w:r>
          </w:p>
        </w:tc>
        <w:tc>
          <w:tcPr>
            <w:tcW w:w="341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14:paraId="37A7C1FF" w14:textId="77777777" w:rsidR="004B3407" w:rsidRDefault="004B3407">
            <w:pPr>
              <w:spacing w:before="100" w:beforeAutospacing="1"/>
              <w:jc w:val="center"/>
            </w:pPr>
            <w:r>
              <w:rPr>
                <w:rFonts w:eastAsia="Times New Roman" w:cstheme="minorHAnsi"/>
                <w:b/>
                <w:bCs/>
                <w:color w:val="0070C0"/>
                <w:szCs w:val="20"/>
                <w:u w:val="single"/>
              </w:rPr>
              <w:t>DYSLEXIA-FRIENDLY STRATEGY</w:t>
            </w:r>
          </w:p>
          <w:p w14:paraId="39CA1C2B" w14:textId="77777777" w:rsidR="004B3407" w:rsidRDefault="004B3407">
            <w:pPr>
              <w:spacing w:before="100" w:beforeAutospacing="1"/>
            </w:pPr>
            <w:r>
              <w:rPr>
                <w:rFonts w:eastAsia="Times New Roman" w:cstheme="minorHAnsi"/>
                <w:color w:val="0070C0"/>
                <w:szCs w:val="20"/>
              </w:rPr>
              <w:t> </w:t>
            </w:r>
          </w:p>
          <w:p w14:paraId="19A770DE" w14:textId="77777777" w:rsidR="004B3407" w:rsidRDefault="004B3407">
            <w:pPr>
              <w:spacing w:before="100" w:beforeAutospacing="1"/>
              <w:jc w:val="center"/>
            </w:pPr>
            <w:r>
              <w:rPr>
                <w:rFonts w:eastAsia="Times New Roman" w:cstheme="minorHAnsi"/>
                <w:color w:val="0070C0"/>
                <w:szCs w:val="20"/>
              </w:rPr>
              <w:t>Check the read age of texts used in class.  Paste a paragraph into this calculator:</w:t>
            </w:r>
          </w:p>
          <w:p w14:paraId="47A1C6EB" w14:textId="77777777" w:rsidR="004B3407" w:rsidRDefault="004B3407">
            <w:pPr>
              <w:spacing w:before="100" w:beforeAutospacing="1"/>
              <w:jc w:val="center"/>
            </w:pPr>
            <w:r>
              <w:rPr>
                <w:rFonts w:eastAsia="Times New Roman" w:cstheme="minorHAnsi"/>
                <w:color w:val="0070C0"/>
                <w:szCs w:val="20"/>
              </w:rPr>
              <w:t> </w:t>
            </w:r>
          </w:p>
          <w:p w14:paraId="24591025" w14:textId="77777777" w:rsidR="004B3407" w:rsidRDefault="004B3407">
            <w:pPr>
              <w:spacing w:before="100" w:beforeAutospacing="1"/>
              <w:jc w:val="center"/>
            </w:pPr>
            <w:hyperlink r:id="rId5" w:history="1">
              <w:r>
                <w:rPr>
                  <w:rStyle w:val="Hyperlink"/>
                  <w:rFonts w:eastAsia="Times New Roman" w:cstheme="minorHAnsi"/>
                </w:rPr>
                <w:t>http://www.readabilityformulas.com/free-readability-formula-tests.php</w:t>
              </w:r>
            </w:hyperlink>
          </w:p>
        </w:tc>
      </w:tr>
    </w:tbl>
    <w:p w14:paraId="6593478F" w14:textId="77777777" w:rsidR="004B3407" w:rsidRDefault="004B3407" w:rsidP="004B3407">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14:paraId="5E2D357B" w14:textId="77777777" w:rsidR="004B3407" w:rsidRDefault="004B3407" w:rsidP="004B3407">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14:paraId="0769852E" w14:textId="77777777" w:rsidR="004B3407" w:rsidRDefault="004B3407" w:rsidP="004B3407">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‘Poverty’ –</w:t>
      </w:r>
      <w:r>
        <w:rPr>
          <w:rFonts w:ascii="Calibri" w:eastAsia="Times New Roman" w:hAnsi="Calibri" w:cs="Calibri"/>
          <w:color w:val="D05C12"/>
          <w:shd w:val="clear" w:color="auto" w:fill="FFFFFF"/>
        </w:rPr>
        <w:t> the materials try to show students that poverty is not something that only affects developing countries but those in our country too. I hope that the article prompts some discussion.</w:t>
      </w:r>
      <w:r>
        <w:rPr>
          <w:rFonts w:ascii="Arial" w:eastAsia="Times New Roman" w:hAnsi="Arial" w:cs="Arial"/>
          <w:color w:val="000000"/>
        </w:rPr>
        <w:t xml:space="preserve"> </w:t>
      </w:r>
    </w:p>
    <w:p w14:paraId="7626F2D9" w14:textId="77777777" w:rsidR="004B3407" w:rsidRDefault="004B3407" w:rsidP="004B3407">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b/>
          <w:color w:val="FF0000"/>
          <w:shd w:val="clear" w:color="auto" w:fill="FFFFFF"/>
        </w:rPr>
        <w:t>Preston Teaching Schools’ Alliance</w:t>
      </w:r>
      <w:r>
        <w:rPr>
          <w:rFonts w:ascii="Calibri" w:eastAsia="Times New Roman" w:hAnsi="Calibri" w:cs="Calibri"/>
          <w:color w:val="D05C12"/>
          <w:shd w:val="clear" w:color="auto" w:fill="FFFFFF"/>
        </w:rPr>
        <w:t>: Trainee Teachers – meeting MC at lunch on Thursday.</w:t>
      </w:r>
      <w:r>
        <w:rPr>
          <w:rFonts w:ascii="Arial" w:eastAsia="Times New Roman" w:hAnsi="Arial" w:cs="Arial"/>
          <w:color w:val="000000"/>
        </w:rPr>
        <w:t xml:space="preserve"> </w:t>
      </w:r>
    </w:p>
    <w:p w14:paraId="4F3F776D" w14:textId="77777777" w:rsidR="004B3407" w:rsidRDefault="004B3407" w:rsidP="004B3407">
      <w:pPr>
        <w:shd w:val="clear" w:color="auto" w:fill="FFFFFF"/>
        <w:spacing w:before="100" w:beforeAutospacing="1" w:after="100" w:afterAutospacing="1"/>
        <w:rPr>
          <w:rFonts w:ascii="Arial" w:hAnsi="Arial" w:cs="Arial"/>
          <w:color w:val="000000"/>
        </w:rPr>
      </w:pPr>
      <w:r>
        <w:rPr>
          <w:rFonts w:ascii="Calibri" w:eastAsia="Times New Roman" w:hAnsi="Calibri" w:cs="Calibri"/>
          <w:b/>
          <w:color w:val="00B050"/>
          <w:u w:val="single"/>
        </w:rPr>
        <w:t>Teaching Approach of the Week – Try It!</w:t>
      </w:r>
    </w:p>
    <w:p w14:paraId="50D56F88" w14:textId="77777777" w:rsidR="004B3407" w:rsidRDefault="004B3407" w:rsidP="004B3407">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xml:space="preserve">For this week, I am referring to our WLD </w:t>
      </w:r>
      <w:r>
        <w:rPr>
          <w:rFonts w:ascii="Calibri" w:eastAsia="Times New Roman" w:hAnsi="Calibri" w:cs="Calibri"/>
          <w:i/>
          <w:color w:val="00B050"/>
        </w:rPr>
        <w:t>Teaching and Learning Toolkit</w:t>
      </w:r>
      <w:r>
        <w:rPr>
          <w:rFonts w:ascii="Calibri" w:eastAsia="Times New Roman" w:hAnsi="Calibri" w:cs="Calibri"/>
          <w:color w:val="00B050"/>
        </w:rPr>
        <w:t xml:space="preserve"> (distributed two weeks ago).  Clearly, we want to ensure that all of our students make excellent progress.  However, we are all specifically focusing on engaging boys so that they make exceptional progress – this is no surprise to us.  </w:t>
      </w:r>
    </w:p>
    <w:p w14:paraId="27249391" w14:textId="77777777" w:rsidR="004B3407" w:rsidRDefault="004B3407" w:rsidP="004B3407">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xml:space="preserve">So for this week, think about the ‘Engaging Boys’ element of our </w:t>
      </w:r>
      <w:r>
        <w:rPr>
          <w:rFonts w:ascii="Calibri" w:eastAsia="Times New Roman" w:hAnsi="Calibri" w:cs="Calibri"/>
          <w:i/>
          <w:color w:val="00B050"/>
        </w:rPr>
        <w:t>Toolkit</w:t>
      </w:r>
      <w:r>
        <w:rPr>
          <w:rFonts w:ascii="Calibri" w:eastAsia="Times New Roman" w:hAnsi="Calibri" w:cs="Calibri"/>
          <w:color w:val="00B050"/>
        </w:rPr>
        <w:t xml:space="preserve"> by focusing on using an element of </w:t>
      </w:r>
      <w:r>
        <w:rPr>
          <w:rFonts w:ascii="Calibri" w:eastAsia="Times New Roman" w:hAnsi="Calibri" w:cs="Calibri"/>
          <w:b/>
          <w:color w:val="00B050"/>
          <w:u w:val="single"/>
        </w:rPr>
        <w:t>competition</w:t>
      </w:r>
      <w:r>
        <w:rPr>
          <w:rFonts w:ascii="Calibri" w:eastAsia="Times New Roman" w:hAnsi="Calibri" w:cs="Calibri"/>
          <w:color w:val="00B050"/>
        </w:rPr>
        <w:t xml:space="preserve"> in lessons.  It may be something very subtle like providing students with success criteria with which to mark their work; each element of the criteria could have a score; they could then discuss their score with a partner.  This is great for numeracy too… (I used this method and students used expanded brackets when working out...!).</w:t>
      </w:r>
    </w:p>
    <w:p w14:paraId="413DEF60" w14:textId="77777777" w:rsidR="004B3407" w:rsidRDefault="004B3407" w:rsidP="004B3407">
      <w:pPr>
        <w:shd w:val="clear" w:color="auto" w:fill="FFFFFF"/>
        <w:spacing w:before="100" w:beforeAutospacing="1" w:after="100" w:afterAutospacing="1"/>
        <w:rPr>
          <w:rFonts w:ascii="Arial" w:hAnsi="Arial" w:cs="Arial"/>
          <w:color w:val="000000"/>
        </w:rPr>
      </w:pPr>
      <w:r>
        <w:rPr>
          <w:rFonts w:ascii="Calibri" w:eastAsia="Times New Roman" w:hAnsi="Calibri" w:cs="Calibri"/>
          <w:color w:val="00B050"/>
        </w:rPr>
        <w:t xml:space="preserve">This is also a good strategy for stretch and challenge as the trickier elements of the criteria </w:t>
      </w:r>
      <w:proofErr w:type="gramStart"/>
      <w:r>
        <w:rPr>
          <w:rFonts w:ascii="Calibri" w:eastAsia="Times New Roman" w:hAnsi="Calibri" w:cs="Calibri"/>
          <w:color w:val="00B050"/>
        </w:rPr>
        <w:t>could be given</w:t>
      </w:r>
      <w:proofErr w:type="gramEnd"/>
      <w:r>
        <w:rPr>
          <w:rFonts w:ascii="Calibri" w:eastAsia="Times New Roman" w:hAnsi="Calibri" w:cs="Calibri"/>
          <w:color w:val="00B050"/>
        </w:rPr>
        <w:t xml:space="preserve"> a higher score (as they are harder to include).   For further information on why boys often like competition, read this article:</w:t>
      </w:r>
    </w:p>
    <w:p w14:paraId="00151D94" w14:textId="77777777" w:rsidR="004B3407" w:rsidRDefault="004B3407" w:rsidP="004B3407">
      <w:pPr>
        <w:shd w:val="clear" w:color="auto" w:fill="FFFFFF"/>
        <w:spacing w:before="100" w:beforeAutospacing="1" w:after="100" w:afterAutospacing="1"/>
        <w:rPr>
          <w:rFonts w:ascii="Arial" w:hAnsi="Arial" w:cs="Arial"/>
          <w:color w:val="000000"/>
        </w:rPr>
      </w:pPr>
    </w:p>
    <w:p w14:paraId="451C793A" w14:textId="77777777" w:rsidR="004B3407" w:rsidRDefault="004B3407" w:rsidP="004B3407">
      <w:pPr>
        <w:shd w:val="clear" w:color="auto" w:fill="FFFFFF"/>
        <w:spacing w:before="100" w:beforeAutospacing="1" w:after="100" w:afterAutospacing="1"/>
        <w:rPr>
          <w:rFonts w:ascii="Arial" w:hAnsi="Arial" w:cs="Arial"/>
          <w:color w:val="000000"/>
        </w:rPr>
      </w:pPr>
      <w:hyperlink r:id="rId6" w:history="1">
        <w:r>
          <w:rPr>
            <w:rStyle w:val="Hyperlink"/>
            <w:rFonts w:ascii="Calibri" w:eastAsia="Times New Roman" w:hAnsi="Calibri" w:cs="Calibri"/>
          </w:rPr>
          <w:t>http://www.slate.com/blogs/xx_factor/2013/05/17/boys_and_childhood_competition_are_kids_more_competitive_when_they_play.html</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5354"/>
      </w:tblGrid>
      <w:tr w:rsidR="004B3407" w14:paraId="013F8CA4" w14:textId="77777777" w:rsidTr="004B3407">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70638454" w14:textId="77777777" w:rsidR="004B3407" w:rsidRDefault="004B3407">
            <w:pPr>
              <w:shd w:val="clear" w:color="auto" w:fill="FFFFFF"/>
              <w:spacing w:before="300"/>
              <w:rPr>
                <w:rFonts w:eastAsia="Times New Roman"/>
              </w:rPr>
            </w:pPr>
            <w:r>
              <w:rPr>
                <w:rFonts w:eastAsia="Times New Roman"/>
                <w:noProof/>
                <w:color w:val="0000FF"/>
              </w:rPr>
              <w:lastRenderedPageBreak/>
              <w:drawing>
                <wp:inline distT="0" distB="0" distL="0" distR="0" wp14:anchorId="6F121977" wp14:editId="2467EB1C">
                  <wp:extent cx="2381250" cy="1685925"/>
                  <wp:effectExtent l="0" t="0" r="0" b="9525"/>
                  <wp:docPr id="1" name="Picture 1" descr="http://www.slate.com/content/dam/slate/blogs/xx_factor/2013/05/17/boys_and_childhood_competition_are_kids_more_competitive_when_they_play/152741883.jpg.CROP.promo-large.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44277096830.34498820595644486" descr="http://www.slate.com/content/dam/slate/blogs/xx_factor/2013/05/17/boys_and_childhood_competition_are_kids_more_competitive_when_they_play/152741883.jpg.CROP.promo-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34D88553" w14:textId="77777777" w:rsidR="004B3407" w:rsidRDefault="004B3407">
            <w:pPr>
              <w:spacing w:before="300" w:line="315" w:lineRule="atLeast"/>
              <w:rPr>
                <w:rFonts w:ascii="Segoe UI Light" w:eastAsia="Times New Roman" w:hAnsi="Segoe UI Light" w:cs="Segoe UI Light"/>
                <w:color w:val="5FBCA2"/>
                <w:sz w:val="32"/>
                <w:szCs w:val="32"/>
              </w:rPr>
            </w:pPr>
            <w:hyperlink r:id="rId8" w:tgtFrame="_blank" w:history="1">
              <w:r>
                <w:rPr>
                  <w:rStyle w:val="Hyperlink"/>
                  <w:rFonts w:ascii="Segoe UI Light" w:eastAsia="Times New Roman" w:hAnsi="Segoe UI Light" w:cs="Segoe UI Light"/>
                  <w:sz w:val="32"/>
                  <w:szCs w:val="32"/>
                </w:rPr>
                <w:t>Boys and childhood competition: Are kids more competitive ...</w:t>
              </w:r>
            </w:hyperlink>
          </w:p>
          <w:p w14:paraId="717F8FE6" w14:textId="77777777" w:rsidR="004B3407" w:rsidRDefault="004B3407">
            <w:pPr>
              <w:spacing w:before="300" w:line="210" w:lineRule="atLeast"/>
              <w:rPr>
                <w:rFonts w:ascii="Segoe UI" w:eastAsia="Times New Roman" w:hAnsi="Segoe UI" w:cs="Segoe UI"/>
                <w:color w:val="666666"/>
                <w:sz w:val="21"/>
                <w:szCs w:val="21"/>
              </w:rPr>
            </w:pPr>
            <w:hyperlink r:id="rId9" w:history="1">
              <w:r>
                <w:rPr>
                  <w:rStyle w:val="Hyperlink"/>
                  <w:rFonts w:ascii="Segoe UI" w:eastAsia="Times New Roman" w:hAnsi="Segoe UI" w:cs="Segoe UI"/>
                  <w:sz w:val="21"/>
                  <w:szCs w:val="21"/>
                </w:rPr>
                <w:t>www.slate.com</w:t>
              </w:r>
            </w:hyperlink>
          </w:p>
          <w:p w14:paraId="45C06716" w14:textId="77777777" w:rsidR="004B3407" w:rsidRDefault="004B3407">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Are Boys More Competitive Than </w:t>
            </w:r>
            <w:proofErr w:type="gramStart"/>
            <w:r>
              <w:rPr>
                <w:rFonts w:ascii="Segoe UI" w:eastAsia="Times New Roman" w:hAnsi="Segoe UI" w:cs="Segoe UI"/>
                <w:color w:val="666666"/>
                <w:sz w:val="21"/>
                <w:szCs w:val="21"/>
              </w:rPr>
              <w:t>Girls</w:t>
            </w:r>
            <w:proofErr w:type="gramEnd"/>
            <w:r>
              <w:rPr>
                <w:rFonts w:ascii="Segoe UI" w:eastAsia="Times New Roman" w:hAnsi="Segoe UI" w:cs="Segoe UI"/>
                <w:color w:val="666666"/>
                <w:sz w:val="21"/>
                <w:szCs w:val="21"/>
              </w:rPr>
              <w:t xml:space="preserve"> Because They Play in Groups?</w:t>
            </w:r>
          </w:p>
        </w:tc>
      </w:tr>
    </w:tbl>
    <w:p w14:paraId="7E03144A" w14:textId="77777777" w:rsidR="004B3407" w:rsidRDefault="004B3407" w:rsidP="004B3407">
      <w:pPr>
        <w:rPr>
          <w:rFonts w:ascii="Arial" w:eastAsia="Times New Roman" w:hAnsi="Arial" w:cs="Arial"/>
          <w:color w:val="000000"/>
        </w:rPr>
      </w:pPr>
    </w:p>
    <w:p w14:paraId="572E5B3C" w14:textId="77777777" w:rsidR="004B3407" w:rsidRDefault="004B3407" w:rsidP="004B3407">
      <w:pPr>
        <w:shd w:val="clear" w:color="auto" w:fill="FFFFFF"/>
        <w:spacing w:before="100" w:beforeAutospacing="1" w:after="150"/>
        <w:rPr>
          <w:rFonts w:ascii="Arial" w:hAnsi="Arial" w:cs="Arial"/>
          <w:color w:val="000000"/>
        </w:rPr>
      </w:pPr>
      <w:r>
        <w:rPr>
          <w:rFonts w:ascii="Calibri" w:eastAsia="Times New Roman" w:hAnsi="Calibri" w:cs="Calibri"/>
          <w:color w:val="00B050"/>
        </w:rPr>
        <w:t> </w:t>
      </w:r>
    </w:p>
    <w:p w14:paraId="286EF805" w14:textId="77777777" w:rsidR="004B3407" w:rsidRDefault="004B3407" w:rsidP="004B3407">
      <w:pPr>
        <w:shd w:val="clear" w:color="auto" w:fill="FFFFFF"/>
        <w:spacing w:before="100" w:beforeAutospacing="1" w:after="150"/>
        <w:rPr>
          <w:rFonts w:ascii="Arial" w:hAnsi="Arial" w:cs="Arial"/>
          <w:color w:val="000000"/>
        </w:rPr>
      </w:pPr>
      <w:r>
        <w:rPr>
          <w:rFonts w:ascii="Arial" w:eastAsia="Times New Roman" w:hAnsi="Arial" w:cs="Arial"/>
          <w:b/>
          <w:i/>
          <w:color w:val="00B050"/>
          <w:szCs w:val="26"/>
          <w:shd w:val="clear" w:color="auto" w:fill="FFFFFF"/>
        </w:rPr>
        <w:t>Year 11 – Top Tips</w:t>
      </w:r>
    </w:p>
    <w:p w14:paraId="442DAEE2" w14:textId="77777777" w:rsidR="004B3407" w:rsidRDefault="004B3407" w:rsidP="004B3407">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B050"/>
          <w:szCs w:val="26"/>
          <w:shd w:val="clear" w:color="auto" w:fill="FFFFFF"/>
        </w:rPr>
        <w:t>Do they have good examples of how to answer exam question on your written papers?</w:t>
      </w:r>
    </w:p>
    <w:p w14:paraId="279AF07D" w14:textId="77777777" w:rsidR="004B3407" w:rsidRDefault="004B3407" w:rsidP="004B3407">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B050"/>
          <w:szCs w:val="26"/>
          <w:shd w:val="clear" w:color="auto" w:fill="FFFFFF"/>
        </w:rPr>
        <w:t>Are you giving them quick-quizzes as starters to test their knowledge?</w:t>
      </w:r>
    </w:p>
    <w:p w14:paraId="7E08C3D2" w14:textId="77777777" w:rsidR="004B3407" w:rsidRDefault="004B3407" w:rsidP="004B3407">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B050"/>
          <w:szCs w:val="26"/>
          <w:shd w:val="clear" w:color="auto" w:fill="FFFFFF"/>
        </w:rPr>
        <w:t xml:space="preserve">Remember to use </w:t>
      </w:r>
      <w:proofErr w:type="spellStart"/>
      <w:r>
        <w:rPr>
          <w:rFonts w:ascii="Arial" w:eastAsia="Times New Roman" w:hAnsi="Arial" w:cs="Arial"/>
          <w:color w:val="00B050"/>
          <w:szCs w:val="26"/>
          <w:shd w:val="clear" w:color="auto" w:fill="FFFFFF"/>
        </w:rPr>
        <w:t>Headteacher’s</w:t>
      </w:r>
      <w:proofErr w:type="spellEnd"/>
      <w:r>
        <w:rPr>
          <w:rFonts w:ascii="Arial" w:eastAsia="Times New Roman" w:hAnsi="Arial" w:cs="Arial"/>
          <w:color w:val="00B050"/>
          <w:szCs w:val="26"/>
          <w:shd w:val="clear" w:color="auto" w:fill="FFFFFF"/>
        </w:rPr>
        <w:t xml:space="preserve"> commendations to motivate where necessary.</w:t>
      </w:r>
    </w:p>
    <w:p w14:paraId="314D5C61" w14:textId="77777777" w:rsidR="004B3407" w:rsidRDefault="004B3407" w:rsidP="004B3407">
      <w:pPr>
        <w:shd w:val="clear" w:color="auto" w:fill="FFFFFF"/>
        <w:spacing w:after="150"/>
        <w:ind w:left="360"/>
        <w:rPr>
          <w:rFonts w:ascii="Arial" w:hAnsi="Arial" w:cs="Arial"/>
          <w:color w:val="000000"/>
        </w:rPr>
      </w:pPr>
      <w:r>
        <w:rPr>
          <w:rFonts w:ascii="Arial" w:eastAsia="Times New Roman" w:hAnsi="Arial" w:cs="Arial"/>
          <w:color w:val="00B050"/>
          <w:szCs w:val="26"/>
          <w:shd w:val="clear" w:color="auto" w:fill="FFFFFF"/>
        </w:rPr>
        <w:t> </w:t>
      </w:r>
    </w:p>
    <w:p w14:paraId="7FDDD046" w14:textId="77777777" w:rsidR="004B3407" w:rsidRDefault="004B3407" w:rsidP="004B3407">
      <w:pPr>
        <w:shd w:val="clear" w:color="auto" w:fill="FFFFFF"/>
        <w:spacing w:before="100" w:beforeAutospacing="1"/>
        <w:rPr>
          <w:rFonts w:ascii="Arial" w:hAnsi="Arial" w:cs="Arial"/>
          <w:color w:val="000000"/>
        </w:rPr>
      </w:pPr>
      <w:r>
        <w:rPr>
          <w:rFonts w:ascii="Arial" w:eastAsia="Times New Roman" w:hAnsi="Arial" w:cstheme="minorHAnsi"/>
          <w:b/>
          <w:bCs/>
          <w:color w:val="C00000"/>
          <w:u w:val="single"/>
          <w:shd w:val="clear" w:color="auto" w:fill="FFFFFF"/>
        </w:rPr>
        <w:t>Recent Top Tips (abridged)… Keep using them if they worked!</w:t>
      </w:r>
    </w:p>
    <w:p w14:paraId="7B8C01DD"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Black dot in a white square – focus on the positives</w:t>
      </w:r>
      <w:r>
        <w:rPr>
          <w:rFonts w:ascii="Arial" w:eastAsia="Times New Roman" w:hAnsi="Arial" w:cs="Arial"/>
          <w:color w:val="C00000"/>
        </w:rPr>
        <w:t xml:space="preserve"> </w:t>
      </w:r>
    </w:p>
    <w:p w14:paraId="453085FA"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We Are Reading! – offer lots of opportunities for students to read</w:t>
      </w:r>
      <w:r>
        <w:rPr>
          <w:rFonts w:ascii="Arial" w:eastAsia="Times New Roman" w:hAnsi="Arial" w:cs="Arial"/>
          <w:color w:val="C00000"/>
        </w:rPr>
        <w:t xml:space="preserve"> </w:t>
      </w:r>
    </w:p>
    <w:p w14:paraId="7190AA0C"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Show the and in stages…think out loud</w:t>
      </w:r>
      <w:r>
        <w:rPr>
          <w:rFonts w:ascii="Arial" w:eastAsia="Times New Roman" w:hAnsi="Arial" w:cs="Arial"/>
          <w:color w:val="C00000"/>
        </w:rPr>
        <w:t xml:space="preserve"> </w:t>
      </w:r>
    </w:p>
    <w:p w14:paraId="55D89395"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Verbal Feedback</w:t>
      </w:r>
      <w:r>
        <w:rPr>
          <w:rFonts w:ascii="Arial" w:eastAsia="Times New Roman" w:hAnsi="Arial" w:cs="Arial"/>
          <w:color w:val="C00000"/>
        </w:rPr>
        <w:t xml:space="preserve"> </w:t>
      </w:r>
    </w:p>
    <w:p w14:paraId="70A29377"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Because, but, so – extend sentences and thinking</w:t>
      </w:r>
      <w:r>
        <w:rPr>
          <w:rFonts w:ascii="Arial" w:eastAsia="Times New Roman" w:hAnsi="Arial" w:cs="Arial"/>
          <w:color w:val="C00000"/>
        </w:rPr>
        <w:t xml:space="preserve"> </w:t>
      </w:r>
    </w:p>
    <w:p w14:paraId="2800425B"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PIE FACES – Features of good writing</w:t>
      </w:r>
      <w:r>
        <w:rPr>
          <w:rFonts w:ascii="Arial" w:eastAsia="Times New Roman" w:hAnsi="Arial" w:cs="Arial"/>
          <w:color w:val="C00000"/>
        </w:rPr>
        <w:t xml:space="preserve"> </w:t>
      </w:r>
    </w:p>
    <w:p w14:paraId="2CFE55EE"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 ‘Just a Minute’ and ‘Exam Wrappers’</w:t>
      </w:r>
      <w:r>
        <w:rPr>
          <w:rFonts w:ascii="Arial" w:eastAsia="Times New Roman" w:hAnsi="Arial" w:cs="Arial"/>
          <w:color w:val="C00000"/>
        </w:rPr>
        <w:t xml:space="preserve"> </w:t>
      </w:r>
    </w:p>
    <w:p w14:paraId="34336022"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Retrieval Practice – questions from last lesson, last week and last term</w:t>
      </w:r>
      <w:r>
        <w:rPr>
          <w:rFonts w:ascii="Arial" w:eastAsia="Times New Roman" w:hAnsi="Arial" w:cs="Arial"/>
          <w:color w:val="C00000"/>
        </w:rPr>
        <w:t xml:space="preserve"> </w:t>
      </w:r>
    </w:p>
    <w:p w14:paraId="31FBB592"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The ‘BIG Question’</w:t>
      </w:r>
      <w:r>
        <w:rPr>
          <w:rFonts w:ascii="Arial" w:eastAsia="Times New Roman" w:hAnsi="Arial" w:cs="Arial"/>
          <w:color w:val="C00000"/>
        </w:rPr>
        <w:t xml:space="preserve"> </w:t>
      </w:r>
    </w:p>
    <w:p w14:paraId="207164E1"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3B4ME – promoting independence</w:t>
      </w:r>
      <w:r>
        <w:rPr>
          <w:rFonts w:ascii="Arial" w:eastAsia="Times New Roman" w:hAnsi="Arial" w:cs="Arial"/>
          <w:color w:val="C00000"/>
        </w:rPr>
        <w:t xml:space="preserve"> </w:t>
      </w:r>
    </w:p>
    <w:p w14:paraId="3937C01D"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WAGOLLs (what a good one looks like – use of model work)</w:t>
      </w:r>
      <w:r>
        <w:rPr>
          <w:rFonts w:ascii="Arial" w:eastAsia="Times New Roman" w:hAnsi="Arial" w:cs="Arial"/>
          <w:color w:val="C00000"/>
        </w:rPr>
        <w:t xml:space="preserve"> </w:t>
      </w:r>
    </w:p>
    <w:p w14:paraId="2AD1F11A"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Pose, Pause, Pounce and Bounce</w:t>
      </w:r>
      <w:r>
        <w:rPr>
          <w:rFonts w:ascii="Arial" w:eastAsia="Times New Roman" w:hAnsi="Arial" w:cs="Arial"/>
          <w:color w:val="C00000"/>
        </w:rPr>
        <w:t xml:space="preserve"> </w:t>
      </w:r>
    </w:p>
    <w:p w14:paraId="531B40BF" w14:textId="77777777" w:rsidR="004B3407" w:rsidRDefault="004B3407" w:rsidP="004B3407">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Reading for understanding – mini-whiteboards, quick </w:t>
      </w:r>
      <w:proofErr w:type="gramStart"/>
      <w:r>
        <w:rPr>
          <w:rFonts w:ascii="Arial" w:eastAsia="Times New Roman" w:hAnsi="Arial" w:cstheme="minorHAnsi"/>
          <w:b/>
          <w:bCs/>
          <w:color w:val="C00000"/>
          <w:shd w:val="clear" w:color="auto" w:fill="FFFFFF"/>
        </w:rPr>
        <w:t>quizzes,</w:t>
      </w:r>
      <w:proofErr w:type="gramEnd"/>
      <w:r>
        <w:rPr>
          <w:rFonts w:ascii="Arial" w:eastAsia="Times New Roman" w:hAnsi="Arial" w:cstheme="minorHAnsi"/>
          <w:b/>
          <w:bCs/>
          <w:color w:val="C00000"/>
          <w:shd w:val="clear" w:color="auto" w:fill="FFFFFF"/>
        </w:rPr>
        <w:t xml:space="preserve"> verbal questioning, think-pair-share etc.</w:t>
      </w:r>
      <w:r>
        <w:rPr>
          <w:rFonts w:ascii="Arial" w:eastAsia="Times New Roman" w:hAnsi="Arial" w:cs="Arial"/>
          <w:color w:val="C00000"/>
        </w:rPr>
        <w:t xml:space="preserve"> </w:t>
      </w:r>
    </w:p>
    <w:p w14:paraId="578FB21B" w14:textId="77777777" w:rsidR="004B3407" w:rsidRDefault="004B3407" w:rsidP="004B3407">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 xml:space="preserve">Top Tips in Two this </w:t>
      </w:r>
      <w:proofErr w:type="gramStart"/>
      <w:r>
        <w:rPr>
          <w:rFonts w:ascii="Arial" w:eastAsia="Times New Roman" w:hAnsi="Arial" w:cstheme="minorHAnsi"/>
          <w:b/>
          <w:bCs/>
          <w:color w:val="7030A0"/>
          <w:u w:val="single"/>
          <w:shd w:val="clear" w:color="auto" w:fill="FFFFFF"/>
        </w:rPr>
        <w:t>Half-Term</w:t>
      </w:r>
      <w:proofErr w:type="gramEnd"/>
    </w:p>
    <w:p w14:paraId="3EB0A407" w14:textId="77777777" w:rsidR="004B3407" w:rsidRDefault="004B3407" w:rsidP="004B3407">
      <w:pPr>
        <w:numPr>
          <w:ilvl w:val="0"/>
          <w:numId w:val="4"/>
        </w:numPr>
        <w:shd w:val="clear" w:color="auto" w:fill="FFFFFF"/>
        <w:spacing w:before="100" w:beforeAutospacing="1" w:after="100" w:afterAutospacing="1"/>
        <w:rPr>
          <w:rFonts w:ascii="Arial" w:eastAsia="Times New Roman" w:hAnsi="Arial" w:cs="Arial"/>
          <w:color w:val="FF0000"/>
        </w:rPr>
      </w:pPr>
      <w:r>
        <w:rPr>
          <w:rFonts w:ascii="Arial" w:eastAsia="Times New Roman" w:hAnsi="Arial" w:cstheme="minorHAnsi"/>
          <w:strike/>
          <w:color w:val="7030A0"/>
          <w:shd w:val="clear" w:color="auto" w:fill="FFFFFF"/>
        </w:rPr>
        <w:t>Monday 9</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xml:space="preserve"> April –A. Christian – We Are Reading </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FF0000"/>
        </w:rPr>
        <w:t xml:space="preserve"> </w:t>
      </w:r>
    </w:p>
    <w:p w14:paraId="199181CD" w14:textId="77777777" w:rsidR="004B3407" w:rsidRDefault="004B3407" w:rsidP="004B3407">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13</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D. Turner – Doddle Revision</w:t>
      </w:r>
      <w:r>
        <w:rPr>
          <w:rFonts w:ascii="Arial" w:eastAsia="Times New Roman" w:hAnsi="Arial" w:cstheme="minorHAnsi"/>
          <w:color w:val="7030A0"/>
          <w:shd w:val="clear" w:color="auto" w:fill="FFFFFF"/>
        </w:rPr>
        <w:t xml:space="preserve"> - </w:t>
      </w:r>
      <w:r>
        <w:rPr>
          <w:rFonts w:ascii="Bradley Hand ITC" w:eastAsia="Times New Roman" w:hAnsi="Bradley Hand ITC" w:cstheme="minorHAnsi"/>
          <w:color w:val="FF0000"/>
          <w:shd w:val="clear" w:color="auto" w:fill="FFFFFF"/>
        </w:rPr>
        <w:t>Postponed</w:t>
      </w:r>
    </w:p>
    <w:p w14:paraId="7E2D6677" w14:textId="77777777" w:rsidR="004B3407" w:rsidRDefault="004B3407" w:rsidP="004B3407">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strike/>
          <w:color w:val="7030A0"/>
        </w:rPr>
        <w:t>Wednesday 18</w:t>
      </w:r>
      <w:r>
        <w:rPr>
          <w:rFonts w:ascii="Arial" w:eastAsia="Times New Roman" w:hAnsi="Arial" w:cs="Arial"/>
          <w:strike/>
          <w:color w:val="7030A0"/>
          <w:vertAlign w:val="superscript"/>
        </w:rPr>
        <w:t>th</w:t>
      </w:r>
      <w:r>
        <w:rPr>
          <w:rFonts w:ascii="Arial" w:eastAsia="Times New Roman" w:hAnsi="Arial" w:cs="Arial"/>
          <w:strike/>
          <w:color w:val="7030A0"/>
        </w:rPr>
        <w:t> April – G. Moore – revision strategy</w:t>
      </w:r>
      <w:r>
        <w:rPr>
          <w:rFonts w:ascii="Bradley Hand ITC" w:eastAsia="Times New Roman" w:hAnsi="Bradley Hand ITC" w:cs="Arial"/>
          <w:color w:val="FF0000"/>
        </w:rPr>
        <w:t xml:space="preserve"> Many thanks!</w:t>
      </w:r>
    </w:p>
    <w:p w14:paraId="2EC0F0FF" w14:textId="77777777" w:rsidR="004B3407" w:rsidRDefault="004B3407" w:rsidP="004B3407">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7232AD"/>
        </w:rPr>
        <w:t>Friday 27</w:t>
      </w:r>
      <w:r>
        <w:rPr>
          <w:rFonts w:ascii="Arial" w:eastAsia="Times New Roman" w:hAnsi="Arial" w:cs="Arial"/>
          <w:color w:val="7232AD"/>
          <w:vertAlign w:val="superscript"/>
        </w:rPr>
        <w:t>th</w:t>
      </w:r>
      <w:r>
        <w:rPr>
          <w:rFonts w:ascii="Arial" w:eastAsia="Times New Roman" w:hAnsi="Arial" w:cs="Arial"/>
          <w:color w:val="7232AD"/>
        </w:rPr>
        <w:t xml:space="preserve"> April </w:t>
      </w:r>
      <w:r>
        <w:rPr>
          <w:rFonts w:ascii="Arial" w:eastAsia="Times New Roman" w:hAnsi="Arial" w:cs="Arial"/>
          <w:color w:val="7030A0"/>
        </w:rPr>
        <w:t>– A. Halsall</w:t>
      </w:r>
    </w:p>
    <w:p w14:paraId="3AEA3397" w14:textId="77777777" w:rsidR="004B3407" w:rsidRDefault="004B3407" w:rsidP="004B3407">
      <w:pPr>
        <w:numPr>
          <w:ilvl w:val="0"/>
          <w:numId w:val="5"/>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color w:val="7030A0"/>
          <w:shd w:val="clear" w:color="auto" w:fill="FFFFFF"/>
        </w:rPr>
        <w:t>Friday 4</w:t>
      </w:r>
      <w:r>
        <w:rPr>
          <w:rFonts w:ascii="Arial" w:eastAsia="Times New Roman" w:hAnsi="Arial" w:cstheme="minorHAnsi"/>
          <w:color w:val="7030A0"/>
          <w:shd w:val="clear" w:color="auto" w:fill="FFFFFF"/>
          <w:vertAlign w:val="superscript"/>
        </w:rPr>
        <w:t>th</w:t>
      </w:r>
      <w:r>
        <w:rPr>
          <w:rFonts w:ascii="Arial" w:eastAsia="Times New Roman" w:hAnsi="Arial" w:cstheme="minorHAnsi"/>
          <w:color w:val="7030A0"/>
          <w:shd w:val="clear" w:color="auto" w:fill="FFFFFF"/>
        </w:rPr>
        <w:t> May – D. Turner – Teams/365</w:t>
      </w:r>
      <w:r>
        <w:rPr>
          <w:rFonts w:ascii="Arial" w:eastAsia="Times New Roman" w:hAnsi="Arial" w:cs="Arial"/>
          <w:color w:val="000000"/>
        </w:rPr>
        <w:t xml:space="preserve"> </w:t>
      </w:r>
    </w:p>
    <w:p w14:paraId="45C9F03C" w14:textId="77777777" w:rsidR="002247C4" w:rsidRDefault="002247C4">
      <w:bookmarkStart w:id="0" w:name="_GoBack"/>
      <w:bookmarkEnd w:id="0"/>
    </w:p>
    <w:sectPr w:rsidR="002247C4" w:rsidSect="004B34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5EE"/>
    <w:multiLevelType w:val="multilevel"/>
    <w:tmpl w:val="BB985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524AE"/>
    <w:multiLevelType w:val="multilevel"/>
    <w:tmpl w:val="AEDCD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006AD"/>
    <w:multiLevelType w:val="multilevel"/>
    <w:tmpl w:val="782A5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1242A"/>
    <w:multiLevelType w:val="multilevel"/>
    <w:tmpl w:val="4E440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96626"/>
    <w:multiLevelType w:val="multilevel"/>
    <w:tmpl w:val="100AC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07"/>
    <w:rsid w:val="002247C4"/>
    <w:rsid w:val="004B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DC38"/>
  <w15:chartTrackingRefBased/>
  <w15:docId w15:val="{3654A35E-1C35-464A-A002-F071B78B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blogs/xx_factor/2013/05/17/boys_and_childhood_competition_are_kids_more_competitive_when_they_play.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com/blogs/xx_factor/2013/05/17/boys_and_childhood_competition_are_kids_more_competitive_when_they_play.html" TargetMode="External"/><Relationship Id="rId11" Type="http://schemas.openxmlformats.org/officeDocument/2006/relationships/theme" Target="theme/theme1.xml"/><Relationship Id="rId5" Type="http://schemas.openxmlformats.org/officeDocument/2006/relationships/hyperlink" Target="http://www.readabilityformulas.com/free-readability-formula-test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2018-04-23T15:57:00Z</dcterms:created>
  <dcterms:modified xsi:type="dcterms:W3CDTF">2018-04-23T15:57:00Z</dcterms:modified>
</cp:coreProperties>
</file>