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3E85" w14:textId="77777777" w:rsidR="00D6374F" w:rsidRDefault="00D6374F" w:rsidP="00D6374F">
      <w:pPr>
        <w:spacing w:before="100" w:beforeAutospacing="1" w:after="100" w:afterAutospacing="1"/>
        <w:jc w:val="center"/>
        <w:rPr>
          <w:rFonts w:ascii="Arial" w:hAnsi="Arial" w:cs="Arial"/>
          <w:color w:val="000000"/>
        </w:rPr>
      </w:pPr>
      <w:r>
        <w:rPr>
          <w:rFonts w:ascii="Arial" w:hAnsi="Arial" w:cstheme="minorHAnsi"/>
          <w:b/>
          <w:bCs/>
          <w:color w:val="00B0F0"/>
          <w:sz w:val="32"/>
          <w:szCs w:val="22"/>
        </w:rPr>
        <w:t>WLD Teaching and Learning Digest – w/c 26</w:t>
      </w:r>
      <w:r>
        <w:rPr>
          <w:rFonts w:ascii="Arial" w:hAnsi="Arial" w:cstheme="minorHAnsi"/>
          <w:b/>
          <w:bCs/>
          <w:color w:val="00B0F0"/>
          <w:sz w:val="32"/>
          <w:szCs w:val="22"/>
          <w:vertAlign w:val="superscript"/>
        </w:rPr>
        <w:t>th</w:t>
      </w:r>
      <w:r>
        <w:rPr>
          <w:rFonts w:ascii="Arial" w:hAnsi="Arial" w:cstheme="minorHAnsi"/>
          <w:b/>
          <w:bCs/>
          <w:color w:val="00B0F0"/>
          <w:sz w:val="32"/>
          <w:szCs w:val="22"/>
        </w:rPr>
        <w:t xml:space="preserve"> February 2018</w:t>
      </w:r>
    </w:p>
    <w:p w14:paraId="632B5845" w14:textId="77777777" w:rsidR="00D6374F" w:rsidRDefault="00D6374F" w:rsidP="00D6374F">
      <w:pPr>
        <w:spacing w:before="100" w:beforeAutospacing="1" w:after="100" w:afterAutospacing="1"/>
        <w:jc w:val="center"/>
        <w:rPr>
          <w:rFonts w:ascii="Arial" w:hAnsi="Arial" w:cs="Arial"/>
          <w:color w:val="000000"/>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shd w:val="clear" w:color="auto" w:fill="F7CAAC" w:themeFill="accent2" w:themeFillTint="66"/>
        <w:tblLook w:val="04A0" w:firstRow="1" w:lastRow="0" w:firstColumn="1" w:lastColumn="0" w:noHBand="0" w:noVBand="1"/>
      </w:tblPr>
      <w:tblGrid>
        <w:gridCol w:w="4943"/>
        <w:gridCol w:w="3699"/>
      </w:tblGrid>
      <w:tr w:rsidR="00D6374F" w14:paraId="1B4EF256" w14:textId="77777777" w:rsidTr="00D6374F">
        <w:trPr>
          <w:jc w:val="center"/>
        </w:trPr>
        <w:tc>
          <w:tcPr>
            <w:tcW w:w="4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hideMark/>
          </w:tcPr>
          <w:p w14:paraId="10E634BF" w14:textId="77777777" w:rsidR="00D6374F" w:rsidRDefault="00D6374F">
            <w:pPr>
              <w:spacing w:before="100" w:beforeAutospacing="1"/>
              <w:jc w:val="center"/>
            </w:pPr>
            <w:r>
              <w:rPr>
                <w:rFonts w:ascii="OpenDyslexicAlta" w:hAnsi="OpenDyslexicAlta" w:cstheme="minorHAnsi"/>
                <w:b/>
                <w:bCs/>
                <w:color w:val="0070C0"/>
                <w:sz w:val="20"/>
                <w:szCs w:val="22"/>
                <w:u w:val="single"/>
              </w:rPr>
              <w:t>COMMUNICATION FOCUSES</w:t>
            </w:r>
          </w:p>
          <w:p w14:paraId="6A824984" w14:textId="77777777" w:rsidR="00D6374F" w:rsidRDefault="00D6374F">
            <w:pPr>
              <w:spacing w:before="100" w:beforeAutospacing="1"/>
              <w:jc w:val="center"/>
            </w:pPr>
            <w:r>
              <w:rPr>
                <w:rFonts w:ascii="OpenDyslexicAlta" w:hAnsi="OpenDyslexicAlta"/>
                <w:color w:val="0070C0"/>
                <w:sz w:val="20"/>
                <w:szCs w:val="20"/>
              </w:rPr>
              <w:t xml:space="preserve">Promote wider reading: give students suggested magazine/newspaper articles, websites, books </w:t>
            </w:r>
            <w:proofErr w:type="spellStart"/>
            <w:r>
              <w:rPr>
                <w:rFonts w:ascii="OpenDyslexicAlta" w:hAnsi="OpenDyslexicAlta"/>
                <w:color w:val="0070C0"/>
                <w:sz w:val="20"/>
                <w:szCs w:val="20"/>
              </w:rPr>
              <w:t>etc</w:t>
            </w:r>
            <w:proofErr w:type="spellEnd"/>
            <w:r>
              <w:rPr>
                <w:rFonts w:ascii="OpenDyslexicAlta" w:hAnsi="OpenDyslexicAlta"/>
                <w:color w:val="0070C0"/>
                <w:sz w:val="20"/>
                <w:szCs w:val="20"/>
              </w:rPr>
              <w:t xml:space="preserve"> to read to complement classroom learning.</w:t>
            </w:r>
          </w:p>
          <w:p w14:paraId="234B4DC2" w14:textId="77777777" w:rsidR="00D6374F" w:rsidRDefault="00D6374F">
            <w:pPr>
              <w:spacing w:before="100" w:beforeAutospacing="1"/>
            </w:pPr>
            <w:r>
              <w:rPr>
                <w:rFonts w:ascii="OpenDyslexicAlta" w:hAnsi="OpenDyslexicAlta" w:cstheme="minorHAnsi"/>
                <w:b/>
                <w:bCs/>
                <w:color w:val="0070C0"/>
                <w:sz w:val="20"/>
                <w:szCs w:val="22"/>
              </w:rPr>
              <w:t> </w:t>
            </w:r>
          </w:p>
        </w:tc>
        <w:tc>
          <w:tcPr>
            <w:tcW w:w="36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hideMark/>
          </w:tcPr>
          <w:p w14:paraId="1AF2C82C" w14:textId="77777777" w:rsidR="00D6374F" w:rsidRDefault="00D6374F">
            <w:pPr>
              <w:spacing w:before="100" w:beforeAutospacing="1"/>
              <w:jc w:val="center"/>
            </w:pPr>
            <w:r>
              <w:rPr>
                <w:rFonts w:ascii="OpenDyslexicAlta" w:hAnsi="OpenDyslexicAlta" w:cstheme="minorHAnsi"/>
                <w:b/>
                <w:bCs/>
                <w:color w:val="0070C0"/>
                <w:sz w:val="20"/>
                <w:szCs w:val="22"/>
                <w:u w:val="single"/>
              </w:rPr>
              <w:t>DYSLEXIA-FRIENDLY STRATEGY</w:t>
            </w:r>
          </w:p>
          <w:p w14:paraId="6EF5F867" w14:textId="77777777" w:rsidR="00D6374F" w:rsidRDefault="00D6374F">
            <w:pPr>
              <w:spacing w:before="100" w:beforeAutospacing="1"/>
              <w:jc w:val="center"/>
            </w:pPr>
            <w:r>
              <w:rPr>
                <w:rFonts w:ascii="OpenDyslexicAlta" w:hAnsi="OpenDyslexicAlta" w:cstheme="minorHAnsi"/>
                <w:b/>
                <w:bCs/>
                <w:color w:val="0070C0"/>
                <w:sz w:val="20"/>
                <w:szCs w:val="22"/>
                <w:u w:val="single"/>
              </w:rPr>
              <w:t> </w:t>
            </w:r>
          </w:p>
          <w:p w14:paraId="6D477F00" w14:textId="77777777" w:rsidR="00D6374F" w:rsidRDefault="00D6374F">
            <w:pPr>
              <w:spacing w:before="100" w:beforeAutospacing="1"/>
              <w:jc w:val="center"/>
            </w:pPr>
            <w:r>
              <w:rPr>
                <w:rFonts w:ascii="OpenDyslexicAlta" w:eastAsia="Times New Roman" w:hAnsi="OpenDyslexicAlta" w:cs="Calibri"/>
                <w:bCs/>
                <w:color w:val="0070C0"/>
                <w:sz w:val="20"/>
                <w:szCs w:val="26"/>
              </w:rPr>
              <w:t>Give ‘take up’ time – allow students to think before asking for them to comment</w:t>
            </w:r>
          </w:p>
          <w:p w14:paraId="6AE01F4E" w14:textId="77777777" w:rsidR="00D6374F" w:rsidRDefault="00D6374F">
            <w:pPr>
              <w:spacing w:before="100" w:beforeAutospacing="1"/>
              <w:jc w:val="center"/>
            </w:pPr>
            <w:r>
              <w:rPr>
                <w:rFonts w:ascii="OpenDyslexicAlta" w:hAnsi="OpenDyslexicAlta" w:cstheme="minorHAnsi"/>
                <w:bCs/>
                <w:color w:val="0070C0"/>
                <w:sz w:val="20"/>
                <w:szCs w:val="22"/>
              </w:rPr>
              <w:t> </w:t>
            </w:r>
          </w:p>
          <w:p w14:paraId="331DDA5D" w14:textId="77777777" w:rsidR="00D6374F" w:rsidRDefault="00D6374F">
            <w:pPr>
              <w:spacing w:before="100" w:beforeAutospacing="1"/>
              <w:jc w:val="center"/>
            </w:pPr>
            <w:r>
              <w:rPr>
                <w:rFonts w:ascii="OpenDyslexicAlta" w:hAnsi="OpenDyslexicAlta" w:cstheme="minorHAnsi"/>
                <w:b/>
                <w:bCs/>
                <w:color w:val="FFFFFF" w:themeColor="background1"/>
                <w:sz w:val="20"/>
                <w:szCs w:val="22"/>
              </w:rPr>
              <w:t> </w:t>
            </w:r>
          </w:p>
        </w:tc>
      </w:tr>
    </w:tbl>
    <w:p w14:paraId="3EB38AD5" w14:textId="77777777" w:rsidR="00D6374F" w:rsidRDefault="00D6374F" w:rsidP="00D6374F">
      <w:pPr>
        <w:spacing w:before="100" w:beforeAutospacing="1" w:after="100" w:afterAutospacing="1"/>
        <w:rPr>
          <w:rFonts w:ascii="Arial" w:hAnsi="Arial" w:cs="Arial"/>
          <w:color w:val="000000"/>
        </w:rPr>
      </w:pPr>
    </w:p>
    <w:p w14:paraId="08E1F30F" w14:textId="77777777" w:rsidR="00D6374F" w:rsidRDefault="00D6374F" w:rsidP="00D6374F">
      <w:pPr>
        <w:spacing w:before="100" w:beforeAutospacing="1" w:after="100" w:afterAutospacing="1"/>
        <w:rPr>
          <w:rFonts w:ascii="Arial" w:hAnsi="Arial" w:cs="Arial"/>
          <w:color w:val="000000"/>
        </w:rPr>
      </w:pPr>
      <w:r>
        <w:rPr>
          <w:rFonts w:ascii="OpenDyslexicAlta" w:hAnsi="OpenDyslexicAlta" w:cs="Arial"/>
          <w:color w:val="C45911"/>
          <w:sz w:val="28"/>
          <w:szCs w:val="28"/>
        </w:rPr>
        <w:t xml:space="preserve">It was great to see (hear!) </w:t>
      </w:r>
      <w:proofErr w:type="gramStart"/>
      <w:r>
        <w:rPr>
          <w:rFonts w:ascii="OpenDyslexicAlta" w:hAnsi="OpenDyslexicAlta" w:cs="Arial"/>
          <w:color w:val="C45911"/>
          <w:sz w:val="28"/>
          <w:szCs w:val="28"/>
        </w:rPr>
        <w:t>lots of</w:t>
      </w:r>
      <w:proofErr w:type="gramEnd"/>
      <w:r>
        <w:rPr>
          <w:rFonts w:ascii="OpenDyslexicAlta" w:hAnsi="OpenDyslexicAlta" w:cs="Arial"/>
          <w:color w:val="C45911"/>
          <w:sz w:val="28"/>
          <w:szCs w:val="28"/>
        </w:rPr>
        <w:t xml:space="preserve"> dice being rolled last week following Claire's 'Top Tip'!</w:t>
      </w:r>
    </w:p>
    <w:p w14:paraId="5F364C95" w14:textId="77777777" w:rsidR="00D6374F" w:rsidRDefault="00D6374F" w:rsidP="00D6374F">
      <w:pPr>
        <w:spacing w:before="100" w:beforeAutospacing="1" w:after="100" w:afterAutospacing="1"/>
        <w:rPr>
          <w:rFonts w:ascii="Arial" w:hAnsi="Arial" w:cs="Arial"/>
          <w:color w:val="000000"/>
        </w:rPr>
      </w:pPr>
    </w:p>
    <w:p w14:paraId="4124CA91" w14:textId="77777777" w:rsidR="00D6374F" w:rsidRDefault="00D6374F" w:rsidP="00D6374F">
      <w:pPr>
        <w:spacing w:before="100" w:beforeAutospacing="1" w:after="100" w:afterAutospacing="1"/>
        <w:rPr>
          <w:rFonts w:ascii="Arial" w:hAnsi="Arial" w:cs="Arial"/>
          <w:color w:val="000000"/>
        </w:rPr>
      </w:pPr>
      <w:r>
        <w:rPr>
          <w:rFonts w:ascii="OpenDyslexicAlta" w:hAnsi="OpenDyslexicAlta" w:cstheme="minorHAnsi"/>
          <w:b/>
          <w:bCs/>
          <w:color w:val="C45911" w:themeColor="accent2" w:themeShade="BF"/>
          <w:u w:val="single"/>
        </w:rPr>
        <w:t>This week:</w:t>
      </w:r>
    </w:p>
    <w:p w14:paraId="3B7BFFBB" w14:textId="77777777" w:rsidR="00D6374F" w:rsidRDefault="00D6374F" w:rsidP="00D6374F">
      <w:pPr>
        <w:numPr>
          <w:ilvl w:val="0"/>
          <w:numId w:val="1"/>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color w:val="C45911" w:themeColor="accent2" w:themeShade="BF"/>
        </w:rPr>
        <w:t xml:space="preserve">The thought for the week this week is </w:t>
      </w:r>
      <w:r>
        <w:rPr>
          <w:rFonts w:ascii="OpenDyslexicAlta" w:eastAsia="Times New Roman" w:hAnsi="OpenDyslexicAlta" w:cstheme="minorHAnsi"/>
          <w:b/>
          <w:bCs/>
          <w:color w:val="C45911" w:themeColor="accent2" w:themeShade="BF"/>
        </w:rPr>
        <w:t>British Science Week (Launch) –</w:t>
      </w:r>
      <w:r>
        <w:rPr>
          <w:rFonts w:ascii="OpenDyslexicAlta" w:eastAsia="Times New Roman" w:hAnsi="OpenDyslexicAlta" w:cstheme="minorHAnsi"/>
          <w:color w:val="C45911" w:themeColor="accent2" w:themeShade="BF"/>
        </w:rPr>
        <w:t xml:space="preserve"> Please use the PPT and article emailed.  </w:t>
      </w:r>
      <w:r>
        <w:rPr>
          <w:rFonts w:ascii="OpenDyslexicAlta" w:eastAsia="Times New Roman" w:hAnsi="OpenDyslexicAlta" w:cs="Arial"/>
          <w:i/>
          <w:iCs/>
          <w:color w:val="C55A11"/>
        </w:rPr>
        <w:t>Think about the Science around you and remember ‘The important thing is to never stop questioning.’ (Albert Einstein)</w:t>
      </w:r>
    </w:p>
    <w:p w14:paraId="1F0E87B8" w14:textId="77777777" w:rsidR="00D6374F" w:rsidRDefault="00D6374F" w:rsidP="00D6374F">
      <w:pPr>
        <w:numPr>
          <w:ilvl w:val="0"/>
          <w:numId w:val="1"/>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color w:val="C45911" w:themeColor="accent2" w:themeShade="BF"/>
        </w:rPr>
        <w:t>YEAR 11 –</w:t>
      </w:r>
      <w:r>
        <w:rPr>
          <w:rFonts w:ascii="OpenDyslexicAlta" w:eastAsia="Times New Roman" w:hAnsi="OpenDyslexicAlta" w:cstheme="minorHAnsi"/>
          <w:i/>
          <w:iCs/>
          <w:color w:val="C45911" w:themeColor="accent2" w:themeShade="BF"/>
        </w:rPr>
        <w:t xml:space="preserve"> revision timetable starts today.  Parents will also receive some ‘top tips’ to use alongside this timetable.</w:t>
      </w:r>
    </w:p>
    <w:p w14:paraId="0B796F12" w14:textId="77777777" w:rsidR="00D6374F" w:rsidRDefault="00D6374F" w:rsidP="00D6374F">
      <w:pPr>
        <w:numPr>
          <w:ilvl w:val="0"/>
          <w:numId w:val="1"/>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color w:val="C45911" w:themeColor="accent2" w:themeShade="BF"/>
        </w:rPr>
        <w:t xml:space="preserve">Heads up! – this </w:t>
      </w:r>
      <w:r>
        <w:rPr>
          <w:rFonts w:ascii="OpenDyslexicAlta" w:eastAsia="Times New Roman" w:hAnsi="OpenDyslexicAlta" w:cstheme="minorHAnsi"/>
          <w:color w:val="C45911" w:themeColor="accent2" w:themeShade="BF"/>
          <w:highlight w:val="yellow"/>
        </w:rPr>
        <w:t>Thursday morning</w:t>
      </w:r>
      <w:r>
        <w:rPr>
          <w:rFonts w:ascii="OpenDyslexicAlta" w:eastAsia="Times New Roman" w:hAnsi="OpenDyslexicAlta" w:cstheme="minorHAnsi"/>
          <w:color w:val="C45911" w:themeColor="accent2" w:themeShade="BF"/>
        </w:rPr>
        <w:t>, please come armed with one revision strategy that you are using with Year 11;  we can then do a ‘speed swap’ to share good practice.</w:t>
      </w:r>
    </w:p>
    <w:p w14:paraId="4CA6B51E" w14:textId="77777777" w:rsidR="00D6374F" w:rsidRDefault="00D6374F" w:rsidP="00D6374F">
      <w:pPr>
        <w:pStyle w:val="ListParagraph"/>
        <w:rPr>
          <w:rFonts w:ascii="Arial" w:hAnsi="Arial" w:cs="Arial"/>
          <w:color w:val="000000"/>
        </w:rPr>
      </w:pPr>
      <w:r>
        <w:rPr>
          <w:rFonts w:ascii="OpenDyslexicAlta" w:hAnsi="OpenDyslexicAlta" w:cstheme="minorHAnsi"/>
          <w:color w:val="C45911" w:themeColor="accent2" w:themeShade="BF"/>
        </w:rPr>
        <w:t xml:space="preserve">  </w:t>
      </w:r>
    </w:p>
    <w:p w14:paraId="327F26DA" w14:textId="77777777" w:rsidR="00D6374F" w:rsidRDefault="00D6374F" w:rsidP="00D6374F">
      <w:pPr>
        <w:spacing w:before="100" w:beforeAutospacing="1" w:after="100" w:afterAutospacing="1"/>
        <w:rPr>
          <w:rFonts w:ascii="Arial" w:hAnsi="Arial" w:cs="Arial"/>
          <w:color w:val="000000"/>
        </w:rPr>
      </w:pPr>
      <w:r>
        <w:rPr>
          <w:rFonts w:ascii="OpenDyslexicAlta" w:hAnsi="OpenDyslexicAlta" w:cstheme="minorHAnsi"/>
          <w:b/>
          <w:bCs/>
          <w:color w:val="00B050"/>
          <w:u w:val="single"/>
        </w:rPr>
        <w:t>Teaching Approach of the Week – Try It!</w:t>
      </w:r>
    </w:p>
    <w:p w14:paraId="530242B3" w14:textId="77777777" w:rsidR="00D6374F" w:rsidRDefault="00D6374F" w:rsidP="00D6374F">
      <w:pPr>
        <w:spacing w:before="100" w:beforeAutospacing="1" w:after="100" w:afterAutospacing="1"/>
        <w:rPr>
          <w:rFonts w:ascii="Arial" w:hAnsi="Arial" w:cs="Arial"/>
          <w:color w:val="000000"/>
        </w:rPr>
      </w:pPr>
      <w:r>
        <w:rPr>
          <w:rFonts w:ascii="OpenDyslexicAlta" w:hAnsi="OpenDyslexicAlta" w:cstheme="minorHAnsi"/>
          <w:color w:val="00B050"/>
        </w:rPr>
        <w:lastRenderedPageBreak/>
        <w:t>Try using the ‘Because, but, so’ technique to allow your students to engage in more specific and focused thinking than just asking them to respond to an open-ended question. For example:</w:t>
      </w:r>
    </w:p>
    <w:p w14:paraId="18C5AE23" w14:textId="77777777" w:rsidR="00D6374F" w:rsidRDefault="00D6374F" w:rsidP="00D6374F">
      <w:pPr>
        <w:numPr>
          <w:ilvl w:val="0"/>
          <w:numId w:val="2"/>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00B050"/>
          <w:szCs w:val="22"/>
        </w:rPr>
        <w:t>Seeds need light to grow BECAUSE…</w:t>
      </w:r>
    </w:p>
    <w:p w14:paraId="72B637C6" w14:textId="77777777" w:rsidR="00D6374F" w:rsidRDefault="00D6374F" w:rsidP="00D6374F">
      <w:pPr>
        <w:numPr>
          <w:ilvl w:val="0"/>
          <w:numId w:val="2"/>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00B050"/>
          <w:szCs w:val="22"/>
        </w:rPr>
        <w:t>Seeds need light to grow, BUT…</w:t>
      </w:r>
    </w:p>
    <w:p w14:paraId="53869692" w14:textId="77777777" w:rsidR="00D6374F" w:rsidRDefault="00D6374F" w:rsidP="00D6374F">
      <w:pPr>
        <w:numPr>
          <w:ilvl w:val="0"/>
          <w:numId w:val="2"/>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00B050"/>
          <w:szCs w:val="22"/>
        </w:rPr>
        <w:t>Seeds need light to grow, SO…</w:t>
      </w:r>
    </w:p>
    <w:p w14:paraId="6D4B51C0" w14:textId="77777777" w:rsidR="00D6374F" w:rsidRDefault="00D6374F" w:rsidP="00D6374F">
      <w:pPr>
        <w:spacing w:before="100" w:beforeAutospacing="1" w:after="100" w:afterAutospacing="1"/>
        <w:rPr>
          <w:rFonts w:ascii="Arial" w:hAnsi="Arial" w:cs="Arial"/>
          <w:color w:val="000000"/>
        </w:rPr>
      </w:pPr>
      <w:r>
        <w:rPr>
          <w:rFonts w:ascii="OpenDyslexicAlta" w:hAnsi="OpenDyslexicAlta" w:cstheme="minorHAnsi"/>
          <w:color w:val="00B050"/>
        </w:rPr>
        <w:t>This can be adapted to suit any subject. This strategy not only boosts literacy levels (by making students extend sentences using conjunctions), but it also encourages students to think more deeply about the content of the sentence and extends their thinking.</w:t>
      </w:r>
    </w:p>
    <w:p w14:paraId="7D8C3678" w14:textId="77777777" w:rsidR="00D6374F" w:rsidRDefault="00D6374F" w:rsidP="00D6374F">
      <w:pPr>
        <w:spacing w:before="100" w:beforeAutospacing="1" w:after="100" w:afterAutospacing="1"/>
        <w:rPr>
          <w:rFonts w:ascii="Arial" w:hAnsi="Arial" w:cs="Arial"/>
          <w:color w:val="000000"/>
        </w:rPr>
      </w:pPr>
    </w:p>
    <w:p w14:paraId="0712A663" w14:textId="77777777" w:rsidR="00D6374F" w:rsidRDefault="00D6374F" w:rsidP="00D6374F">
      <w:pPr>
        <w:spacing w:before="100" w:beforeAutospacing="1" w:after="100" w:afterAutospacing="1"/>
        <w:rPr>
          <w:rFonts w:ascii="Arial" w:hAnsi="Arial" w:cs="Arial"/>
          <w:color w:val="000000"/>
        </w:rPr>
      </w:pPr>
      <w:r>
        <w:rPr>
          <w:rFonts w:ascii="OpenDyslexicAlta" w:hAnsi="OpenDyslexicAlta" w:cs="Arial"/>
          <w:color w:val="00B050"/>
        </w:rPr>
        <w:t>To read more, click on the link:</w:t>
      </w:r>
    </w:p>
    <w:p w14:paraId="7185E320" w14:textId="77777777" w:rsidR="00D6374F" w:rsidRDefault="00D6374F" w:rsidP="00D6374F">
      <w:pPr>
        <w:spacing w:before="100" w:beforeAutospacing="1" w:after="100" w:afterAutospacing="1"/>
        <w:rPr>
          <w:rFonts w:ascii="Arial" w:hAnsi="Arial" w:cs="Arial"/>
          <w:color w:val="000000"/>
        </w:rPr>
      </w:pPr>
      <w:hyperlink r:id="rId5" w:history="1">
        <w:r>
          <w:rPr>
            <w:rStyle w:val="Hyperlink"/>
            <w:rFonts w:ascii="OpenDyslexicAlta" w:hAnsi="OpenDyslexicAlta" w:cstheme="minorHAnsi"/>
          </w:rPr>
          <w:t>https://tomneedhamteach.wordpress.com/</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3750"/>
        <w:gridCol w:w="4373"/>
      </w:tblGrid>
      <w:tr w:rsidR="00D6374F" w14:paraId="05388A40" w14:textId="77777777" w:rsidTr="00D6374F">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14:paraId="3867478C" w14:textId="77777777" w:rsidR="00D6374F" w:rsidRDefault="00D6374F">
            <w:pPr>
              <w:shd w:val="clear" w:color="auto" w:fill="FFFFFF"/>
              <w:spacing w:before="300"/>
              <w:rPr>
                <w:rFonts w:eastAsia="Times New Roman"/>
              </w:rPr>
            </w:pPr>
            <w:r>
              <w:rPr>
                <w:rFonts w:eastAsia="Times New Roman"/>
                <w:noProof/>
                <w:color w:val="0000FF"/>
              </w:rPr>
              <w:drawing>
                <wp:inline distT="0" distB="0" distL="0" distR="0" wp14:anchorId="4007157F" wp14:editId="6AD08EF6">
                  <wp:extent cx="1901825" cy="1901825"/>
                  <wp:effectExtent l="0" t="0" r="3175" b="3175"/>
                  <wp:docPr id="1" name="Picture 1" descr="https://s0.wp.com/i/blank.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195929466070.7185047855732842" descr="https://s0.wp.com/i/bla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14:paraId="6D30A8B0" w14:textId="77777777" w:rsidR="00D6374F" w:rsidRDefault="00D6374F">
            <w:pPr>
              <w:spacing w:before="300" w:line="315" w:lineRule="atLeast"/>
              <w:rPr>
                <w:rFonts w:ascii="Segoe UI Light" w:eastAsia="Times New Roman" w:hAnsi="Segoe UI Light" w:cs="Segoe UI Light"/>
                <w:color w:val="5FBCA2"/>
                <w:sz w:val="32"/>
                <w:szCs w:val="32"/>
              </w:rPr>
            </w:pPr>
            <w:hyperlink r:id="rId7" w:tgtFrame="_blank" w:history="1">
              <w:proofErr w:type="spellStart"/>
              <w:r>
                <w:rPr>
                  <w:rStyle w:val="Hyperlink"/>
                  <w:rFonts w:ascii="Segoe UI Light" w:eastAsia="Times New Roman" w:hAnsi="Segoe UI Light" w:cs="Segoe UI Light"/>
                  <w:sz w:val="32"/>
                  <w:szCs w:val="32"/>
                </w:rPr>
                <w:t>TomNeedham</w:t>
              </w:r>
              <w:proofErr w:type="spellEnd"/>
              <w:r>
                <w:rPr>
                  <w:rStyle w:val="Hyperlink"/>
                  <w:rFonts w:ascii="Segoe UI Light" w:eastAsia="Times New Roman" w:hAnsi="Segoe UI Light" w:cs="Segoe UI Light"/>
                  <w:sz w:val="32"/>
                  <w:szCs w:val="32"/>
                </w:rPr>
                <w:t xml:space="preserve"> – Thoughts about teaching</w:t>
              </w:r>
            </w:hyperlink>
          </w:p>
          <w:p w14:paraId="7EC4582D" w14:textId="77777777" w:rsidR="00D6374F" w:rsidRDefault="00D6374F">
            <w:pPr>
              <w:spacing w:before="300" w:line="21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tomneedhamteach.wordpress.com</w:t>
            </w:r>
          </w:p>
          <w:p w14:paraId="4D77BA72" w14:textId="77777777" w:rsidR="00D6374F" w:rsidRDefault="00D6374F">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In my last post I tried to give an overview of the importance of teaching formal, academic vocabulary as well as how we approach it by mostly focussing on Tier 2 ...</w:t>
            </w:r>
          </w:p>
        </w:tc>
      </w:tr>
    </w:tbl>
    <w:p w14:paraId="651C5CC4" w14:textId="77777777" w:rsidR="00D6374F" w:rsidRDefault="00D6374F" w:rsidP="00D6374F">
      <w:pPr>
        <w:spacing w:before="100" w:beforeAutospacing="1" w:after="100" w:afterAutospacing="1"/>
        <w:rPr>
          <w:rFonts w:ascii="Arial" w:hAnsi="Arial" w:cs="Arial"/>
          <w:color w:val="000000"/>
        </w:rPr>
      </w:pPr>
      <w:r>
        <w:rPr>
          <w:rFonts w:ascii="OpenDyslexicAlta" w:hAnsi="OpenDyslexicAlta" w:cstheme="minorHAnsi"/>
          <w:b/>
          <w:bCs/>
          <w:color w:val="C00000"/>
          <w:u w:val="single"/>
        </w:rPr>
        <w:t>Recent Top Tips (abridged)… Keep using them if they worked!</w:t>
      </w:r>
    </w:p>
    <w:p w14:paraId="0C1FA8CB" w14:textId="77777777" w:rsidR="00D6374F" w:rsidRDefault="00D6374F" w:rsidP="00D6374F">
      <w:pPr>
        <w:numPr>
          <w:ilvl w:val="0"/>
          <w:numId w:val="3"/>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C00000"/>
        </w:rPr>
        <w:t xml:space="preserve">PIE FACES – Features of good writing </w:t>
      </w:r>
    </w:p>
    <w:p w14:paraId="359B2234" w14:textId="77777777" w:rsidR="00D6374F" w:rsidRDefault="00D6374F" w:rsidP="00D6374F">
      <w:pPr>
        <w:numPr>
          <w:ilvl w:val="0"/>
          <w:numId w:val="3"/>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C00000"/>
        </w:rPr>
        <w:t>‘Prepare to Teach’ and ‘Topic Ranking’</w:t>
      </w:r>
    </w:p>
    <w:p w14:paraId="1B7BF00C" w14:textId="77777777" w:rsidR="00D6374F" w:rsidRDefault="00D6374F" w:rsidP="00D6374F">
      <w:pPr>
        <w:numPr>
          <w:ilvl w:val="0"/>
          <w:numId w:val="3"/>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C00000"/>
        </w:rPr>
        <w:t>‘Just a Minute’ and ‘Exam Wrappers’</w:t>
      </w:r>
    </w:p>
    <w:p w14:paraId="7CB4B6F3" w14:textId="77777777" w:rsidR="00D6374F" w:rsidRDefault="00D6374F" w:rsidP="00D6374F">
      <w:pPr>
        <w:numPr>
          <w:ilvl w:val="0"/>
          <w:numId w:val="3"/>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C00000"/>
        </w:rPr>
        <w:lastRenderedPageBreak/>
        <w:t>Retrieval Practice – questions from last lesson, last week and last term</w:t>
      </w:r>
    </w:p>
    <w:p w14:paraId="3BDB8A21" w14:textId="77777777" w:rsidR="00D6374F" w:rsidRDefault="00D6374F" w:rsidP="00D6374F">
      <w:pPr>
        <w:numPr>
          <w:ilvl w:val="0"/>
          <w:numId w:val="3"/>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C00000"/>
        </w:rPr>
        <w:t>Presentation as an indirect way of enhancing progress</w:t>
      </w:r>
    </w:p>
    <w:p w14:paraId="704EE595" w14:textId="77777777" w:rsidR="00D6374F" w:rsidRDefault="00D6374F" w:rsidP="00D6374F">
      <w:pPr>
        <w:numPr>
          <w:ilvl w:val="0"/>
          <w:numId w:val="3"/>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C00000"/>
        </w:rPr>
        <w:t>Unlocking key words – discussing possible meanings</w:t>
      </w:r>
    </w:p>
    <w:p w14:paraId="1DCA7DEA" w14:textId="77777777" w:rsidR="00D6374F" w:rsidRDefault="00D6374F" w:rsidP="00D6374F">
      <w:pPr>
        <w:numPr>
          <w:ilvl w:val="0"/>
          <w:numId w:val="3"/>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C00000"/>
        </w:rPr>
        <w:t xml:space="preserve">The ‘BIG Question’ </w:t>
      </w:r>
    </w:p>
    <w:p w14:paraId="7C4D4C5A" w14:textId="77777777" w:rsidR="00D6374F" w:rsidRDefault="00D6374F" w:rsidP="00D6374F">
      <w:pPr>
        <w:numPr>
          <w:ilvl w:val="0"/>
          <w:numId w:val="3"/>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C00000"/>
        </w:rPr>
        <w:t>3B4ME – promoting independence</w:t>
      </w:r>
    </w:p>
    <w:p w14:paraId="3C770A70" w14:textId="77777777" w:rsidR="00D6374F" w:rsidRDefault="00D6374F" w:rsidP="00D6374F">
      <w:pPr>
        <w:numPr>
          <w:ilvl w:val="0"/>
          <w:numId w:val="3"/>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C00000"/>
        </w:rPr>
        <w:t>WAGOLLs (what a good one looks like – use of model work)</w:t>
      </w:r>
    </w:p>
    <w:p w14:paraId="3DD83A56" w14:textId="77777777" w:rsidR="00D6374F" w:rsidRDefault="00D6374F" w:rsidP="00D6374F">
      <w:pPr>
        <w:numPr>
          <w:ilvl w:val="0"/>
          <w:numId w:val="3"/>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C00000"/>
        </w:rPr>
        <w:t>Pose, Pause, Pounce and Bounce</w:t>
      </w:r>
    </w:p>
    <w:p w14:paraId="2B42D24E" w14:textId="77777777" w:rsidR="00D6374F" w:rsidRDefault="00D6374F" w:rsidP="00D6374F">
      <w:pPr>
        <w:numPr>
          <w:ilvl w:val="0"/>
          <w:numId w:val="3"/>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C00000"/>
        </w:rPr>
        <w:t xml:space="preserve">Reading for understanding – mini-whiteboards, quick </w:t>
      </w:r>
      <w:proofErr w:type="gramStart"/>
      <w:r>
        <w:rPr>
          <w:rFonts w:ascii="OpenDyslexicAlta" w:eastAsia="Times New Roman" w:hAnsi="OpenDyslexicAlta" w:cstheme="minorHAnsi"/>
          <w:b/>
          <w:bCs/>
          <w:color w:val="C00000"/>
        </w:rPr>
        <w:t>quizzes,</w:t>
      </w:r>
      <w:proofErr w:type="gramEnd"/>
      <w:r>
        <w:rPr>
          <w:rFonts w:ascii="OpenDyslexicAlta" w:eastAsia="Times New Roman" w:hAnsi="OpenDyslexicAlta" w:cstheme="minorHAnsi"/>
          <w:b/>
          <w:bCs/>
          <w:color w:val="C00000"/>
        </w:rPr>
        <w:t xml:space="preserve"> verbal questioning, think-pair-share etc. </w:t>
      </w:r>
    </w:p>
    <w:p w14:paraId="3D8AC4BD" w14:textId="77777777" w:rsidR="00D6374F" w:rsidRDefault="00D6374F" w:rsidP="00D6374F">
      <w:pPr>
        <w:spacing w:before="100" w:beforeAutospacing="1" w:after="100" w:afterAutospacing="1"/>
        <w:rPr>
          <w:rFonts w:ascii="Arial" w:hAnsi="Arial" w:cs="Arial"/>
          <w:color w:val="000000"/>
        </w:rPr>
      </w:pPr>
      <w:r>
        <w:rPr>
          <w:rFonts w:ascii="OpenDyslexicAlta" w:hAnsi="OpenDyslexicAlta" w:cstheme="minorHAnsi"/>
          <w:b/>
          <w:bCs/>
          <w:color w:val="7030A0"/>
          <w:u w:val="single"/>
        </w:rPr>
        <w:t xml:space="preserve">Top Tips in Two this </w:t>
      </w:r>
      <w:proofErr w:type="gramStart"/>
      <w:r>
        <w:rPr>
          <w:rFonts w:ascii="OpenDyslexicAlta" w:hAnsi="OpenDyslexicAlta" w:cstheme="minorHAnsi"/>
          <w:b/>
          <w:bCs/>
          <w:color w:val="7030A0"/>
          <w:u w:val="single"/>
        </w:rPr>
        <w:t>Half-Term</w:t>
      </w:r>
      <w:proofErr w:type="gramEnd"/>
    </w:p>
    <w:p w14:paraId="0FAA6EAA" w14:textId="77777777" w:rsidR="00D6374F" w:rsidRDefault="00D6374F" w:rsidP="00D6374F">
      <w:pPr>
        <w:spacing w:before="100" w:beforeAutospacing="1" w:after="100" w:afterAutospacing="1"/>
        <w:jc w:val="both"/>
        <w:rPr>
          <w:rFonts w:ascii="Arial" w:hAnsi="Arial" w:cs="Arial"/>
          <w:color w:val="000000"/>
        </w:rPr>
      </w:pPr>
      <w:r>
        <w:rPr>
          <w:rFonts w:ascii="OpenDyslexicAlta" w:hAnsi="OpenDyslexicAlta" w:cstheme="minorHAnsi"/>
          <w:color w:val="7030A0"/>
        </w:rPr>
        <w:t xml:space="preserve">Scheduled in this </w:t>
      </w:r>
      <w:proofErr w:type="gramStart"/>
      <w:r>
        <w:rPr>
          <w:rFonts w:ascii="OpenDyslexicAlta" w:hAnsi="OpenDyslexicAlta" w:cstheme="minorHAnsi"/>
          <w:color w:val="7030A0"/>
        </w:rPr>
        <w:t>half-term</w:t>
      </w:r>
      <w:proofErr w:type="gramEnd"/>
      <w:r>
        <w:rPr>
          <w:rFonts w:ascii="OpenDyslexicAlta" w:hAnsi="OpenDyslexicAlta" w:cstheme="minorHAnsi"/>
          <w:color w:val="7030A0"/>
        </w:rPr>
        <w:t>, we have:</w:t>
      </w:r>
    </w:p>
    <w:p w14:paraId="186427BB" w14:textId="77777777" w:rsidR="00D6374F" w:rsidRDefault="00D6374F" w:rsidP="00D6374F">
      <w:pPr>
        <w:numPr>
          <w:ilvl w:val="0"/>
          <w:numId w:val="4"/>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strike/>
          <w:color w:val="7030A0"/>
        </w:rPr>
        <w:t>Weds 21</w:t>
      </w:r>
      <w:r>
        <w:rPr>
          <w:rFonts w:ascii="OpenDyslexicAlta" w:eastAsia="Times New Roman" w:hAnsi="OpenDyslexicAlta" w:cstheme="minorHAnsi"/>
          <w:strike/>
          <w:color w:val="7030A0"/>
          <w:vertAlign w:val="superscript"/>
        </w:rPr>
        <w:t>st</w:t>
      </w:r>
      <w:r>
        <w:rPr>
          <w:rFonts w:ascii="OpenDyslexicAlta" w:eastAsia="Times New Roman" w:hAnsi="OpenDyslexicAlta" w:cstheme="minorHAnsi"/>
          <w:strike/>
          <w:color w:val="7030A0"/>
        </w:rPr>
        <w:t xml:space="preserve"> Feb – C. Rowson</w:t>
      </w:r>
    </w:p>
    <w:p w14:paraId="5554FEB5" w14:textId="77777777" w:rsidR="00D6374F" w:rsidRDefault="00D6374F" w:rsidP="00D6374F">
      <w:pPr>
        <w:numPr>
          <w:ilvl w:val="0"/>
          <w:numId w:val="4"/>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FF0000"/>
          <w:highlight w:val="cyan"/>
        </w:rPr>
        <w:t>This week!</w:t>
      </w:r>
      <w:r>
        <w:rPr>
          <w:rFonts w:ascii="OpenDyslexicAlta" w:eastAsia="Times New Roman" w:hAnsi="OpenDyslexicAlta" w:cstheme="minorHAnsi"/>
          <w:color w:val="FF0000"/>
          <w:highlight w:val="cyan"/>
        </w:rPr>
        <w:t xml:space="preserve"> </w:t>
      </w:r>
      <w:r>
        <w:rPr>
          <w:rFonts w:ascii="OpenDyslexicAlta" w:eastAsia="Times New Roman" w:hAnsi="OpenDyslexicAlta" w:cstheme="minorHAnsi"/>
          <w:color w:val="7030A0"/>
          <w:highlight w:val="cyan"/>
        </w:rPr>
        <w:t>Thursday 1</w:t>
      </w:r>
      <w:r>
        <w:rPr>
          <w:rFonts w:ascii="OpenDyslexicAlta" w:eastAsia="Times New Roman" w:hAnsi="OpenDyslexicAlta" w:cstheme="minorHAnsi"/>
          <w:color w:val="7030A0"/>
          <w:highlight w:val="cyan"/>
          <w:vertAlign w:val="superscript"/>
        </w:rPr>
        <w:t>st</w:t>
      </w:r>
      <w:r>
        <w:rPr>
          <w:rFonts w:ascii="OpenDyslexicAlta" w:eastAsia="Times New Roman" w:hAnsi="OpenDyslexicAlta" w:cstheme="minorHAnsi"/>
          <w:color w:val="7030A0"/>
          <w:highlight w:val="cyan"/>
        </w:rPr>
        <w:t xml:space="preserve"> Mar – All staff – Year 11 revision strategies swap</w:t>
      </w:r>
    </w:p>
    <w:p w14:paraId="38BC546C" w14:textId="77777777" w:rsidR="00D6374F" w:rsidRDefault="00D6374F" w:rsidP="00D6374F">
      <w:pPr>
        <w:numPr>
          <w:ilvl w:val="0"/>
          <w:numId w:val="4"/>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b/>
          <w:bCs/>
          <w:color w:val="FF0000"/>
        </w:rPr>
        <w:t>Next Week:</w:t>
      </w:r>
      <w:r>
        <w:rPr>
          <w:rFonts w:ascii="OpenDyslexicAlta" w:eastAsia="Times New Roman" w:hAnsi="OpenDyslexicAlta" w:cstheme="minorHAnsi"/>
          <w:color w:val="FF0000"/>
        </w:rPr>
        <w:t xml:space="preserve"> </w:t>
      </w:r>
      <w:r>
        <w:rPr>
          <w:rFonts w:ascii="OpenDyslexicAlta" w:eastAsia="Times New Roman" w:hAnsi="OpenDyslexicAlta" w:cstheme="minorHAnsi"/>
          <w:color w:val="7030A0"/>
        </w:rPr>
        <w:t>Thursday 8</w:t>
      </w:r>
      <w:r>
        <w:rPr>
          <w:rFonts w:ascii="OpenDyslexicAlta" w:eastAsia="Times New Roman" w:hAnsi="OpenDyslexicAlta" w:cstheme="minorHAnsi"/>
          <w:color w:val="7030A0"/>
          <w:vertAlign w:val="superscript"/>
        </w:rPr>
        <w:t>th</w:t>
      </w:r>
      <w:r>
        <w:rPr>
          <w:rFonts w:ascii="OpenDyslexicAlta" w:eastAsia="Times New Roman" w:hAnsi="OpenDyslexicAlta" w:cstheme="minorHAnsi"/>
          <w:color w:val="7030A0"/>
        </w:rPr>
        <w:t xml:space="preserve"> March – D. Turner (Teams and 365)</w:t>
      </w:r>
    </w:p>
    <w:p w14:paraId="2BFF97F1" w14:textId="77777777" w:rsidR="00D6374F" w:rsidRDefault="00D6374F" w:rsidP="00D6374F">
      <w:pPr>
        <w:numPr>
          <w:ilvl w:val="0"/>
          <w:numId w:val="4"/>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color w:val="7030A0"/>
        </w:rPr>
        <w:t>Thursday 15</w:t>
      </w:r>
      <w:r>
        <w:rPr>
          <w:rFonts w:ascii="OpenDyslexicAlta" w:eastAsia="Times New Roman" w:hAnsi="OpenDyslexicAlta" w:cstheme="minorHAnsi"/>
          <w:color w:val="7030A0"/>
          <w:vertAlign w:val="superscript"/>
        </w:rPr>
        <w:t>th</w:t>
      </w:r>
      <w:r>
        <w:rPr>
          <w:rFonts w:ascii="OpenDyslexicAlta" w:eastAsia="Times New Roman" w:hAnsi="OpenDyslexicAlta" w:cstheme="minorHAnsi"/>
          <w:color w:val="7030A0"/>
        </w:rPr>
        <w:t xml:space="preserve"> March – S. Smith-Sergeant (mindfulness) </w:t>
      </w:r>
    </w:p>
    <w:p w14:paraId="0774B0D3" w14:textId="77777777" w:rsidR="00D6374F" w:rsidRDefault="00D6374F" w:rsidP="00D6374F">
      <w:pPr>
        <w:numPr>
          <w:ilvl w:val="0"/>
          <w:numId w:val="4"/>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color w:val="7030A0"/>
        </w:rPr>
        <w:t>Thurs 22</w:t>
      </w:r>
      <w:r>
        <w:rPr>
          <w:rFonts w:ascii="OpenDyslexicAlta" w:eastAsia="Times New Roman" w:hAnsi="OpenDyslexicAlta" w:cstheme="minorHAnsi"/>
          <w:color w:val="7030A0"/>
          <w:vertAlign w:val="superscript"/>
        </w:rPr>
        <w:t>nd</w:t>
      </w:r>
      <w:r>
        <w:rPr>
          <w:rFonts w:ascii="OpenDyslexicAlta" w:eastAsia="Times New Roman" w:hAnsi="OpenDyslexicAlta" w:cstheme="minorHAnsi"/>
          <w:color w:val="7030A0"/>
        </w:rPr>
        <w:t xml:space="preserve"> March – R. Long </w:t>
      </w:r>
    </w:p>
    <w:p w14:paraId="22B051F1" w14:textId="77777777" w:rsidR="00D6374F" w:rsidRDefault="00D6374F" w:rsidP="00D6374F">
      <w:pPr>
        <w:spacing w:before="100" w:beforeAutospacing="1" w:after="100" w:afterAutospacing="1"/>
        <w:rPr>
          <w:rFonts w:ascii="Arial" w:hAnsi="Arial" w:cs="Arial"/>
          <w:color w:val="000000"/>
        </w:rPr>
      </w:pPr>
      <w:r>
        <w:rPr>
          <w:rFonts w:ascii="OpenDyslexicAlta" w:hAnsi="OpenDyslexicAlta" w:cstheme="minorHAnsi"/>
          <w:b/>
          <w:bCs/>
          <w:color w:val="0070C0"/>
          <w:u w:val="single"/>
        </w:rPr>
        <w:t xml:space="preserve">CPD </w:t>
      </w:r>
    </w:p>
    <w:p w14:paraId="6144425F" w14:textId="77777777" w:rsidR="00D6374F" w:rsidRDefault="00D6374F" w:rsidP="00D6374F">
      <w:pPr>
        <w:numPr>
          <w:ilvl w:val="0"/>
          <w:numId w:val="5"/>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color w:val="FF0000"/>
        </w:rPr>
        <w:t xml:space="preserve">Reminder </w:t>
      </w:r>
      <w:r>
        <w:rPr>
          <w:rFonts w:ascii="OpenDyslexicAlta" w:eastAsia="Times New Roman" w:hAnsi="OpenDyslexicAlta" w:cstheme="minorHAnsi"/>
          <w:color w:val="0070C0"/>
        </w:rPr>
        <w:t xml:space="preserve">- The Preston Schools Teaching Alliance is holding its annual Teaching and Learning Conference in April.  Please submit your interest to me by the end of the week. </w:t>
      </w:r>
    </w:p>
    <w:p w14:paraId="12B31CB8" w14:textId="77777777" w:rsidR="00D6374F" w:rsidRDefault="00D6374F" w:rsidP="00D6374F">
      <w:pPr>
        <w:numPr>
          <w:ilvl w:val="0"/>
          <w:numId w:val="5"/>
        </w:numPr>
        <w:spacing w:before="100" w:beforeAutospacing="1" w:after="100" w:afterAutospacing="1"/>
        <w:rPr>
          <w:rFonts w:ascii="Arial" w:eastAsia="Times New Roman" w:hAnsi="Arial" w:cs="Arial"/>
          <w:color w:val="000000"/>
        </w:rPr>
      </w:pPr>
      <w:r>
        <w:rPr>
          <w:rFonts w:ascii="OpenDyslexicAlta" w:eastAsia="Times New Roman" w:hAnsi="OpenDyslexicAlta" w:cstheme="minorHAnsi"/>
          <w:color w:val="0070C0"/>
        </w:rPr>
        <w:t xml:space="preserve">The T&amp;L Think Tank meets tomorrow evening at </w:t>
      </w:r>
      <w:proofErr w:type="spellStart"/>
      <w:r>
        <w:rPr>
          <w:rFonts w:ascii="OpenDyslexicAlta" w:eastAsia="Times New Roman" w:hAnsi="OpenDyslexicAlta" w:cstheme="minorHAnsi"/>
          <w:color w:val="0070C0"/>
        </w:rPr>
        <w:t>Balshaws</w:t>
      </w:r>
      <w:proofErr w:type="spellEnd"/>
      <w:r>
        <w:rPr>
          <w:rFonts w:ascii="OpenDyslexicAlta" w:eastAsia="Times New Roman" w:hAnsi="OpenDyslexicAlta" w:cstheme="minorHAnsi"/>
          <w:color w:val="0070C0"/>
        </w:rPr>
        <w:t>.  Thanks to those of you who have expressed an interest.  If you are interested, let me know.</w:t>
      </w:r>
    </w:p>
    <w:p w14:paraId="7C616906" w14:textId="77777777" w:rsidR="00A54D46" w:rsidRDefault="00A54D46">
      <w:bookmarkStart w:id="0" w:name="_GoBack"/>
      <w:bookmarkEnd w:id="0"/>
    </w:p>
    <w:sectPr w:rsidR="00A54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DyslexicAlta">
    <w:panose1 w:val="00000500000000000000"/>
    <w:charset w:val="00"/>
    <w:family w:val="modern"/>
    <w:notTrueType/>
    <w:pitch w:val="variable"/>
    <w:sig w:usb0="20000007" w:usb1="00000000" w:usb2="00000000" w:usb3="00000000" w:csb0="00000193"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B1D11"/>
    <w:multiLevelType w:val="multilevel"/>
    <w:tmpl w:val="98DA6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DB7632"/>
    <w:multiLevelType w:val="multilevel"/>
    <w:tmpl w:val="817A8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A672A"/>
    <w:multiLevelType w:val="multilevel"/>
    <w:tmpl w:val="E13A3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C24764"/>
    <w:multiLevelType w:val="multilevel"/>
    <w:tmpl w:val="1D78C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73B06"/>
    <w:multiLevelType w:val="multilevel"/>
    <w:tmpl w:val="3E84D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4F"/>
    <w:rsid w:val="00A54D46"/>
    <w:rsid w:val="00D6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F8F5"/>
  <w15:chartTrackingRefBased/>
  <w15:docId w15:val="{9AD09EB0-0722-4168-9C26-FEB96D64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4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74F"/>
    <w:rPr>
      <w:color w:val="0000FF"/>
      <w:u w:val="single"/>
    </w:rPr>
  </w:style>
  <w:style w:type="paragraph" w:styleId="ListParagraph">
    <w:name w:val="List Paragraph"/>
    <w:basedOn w:val="Normal"/>
    <w:uiPriority w:val="34"/>
    <w:qFormat/>
    <w:rsid w:val="00D6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mneedhamteach.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omneedhamteach.wordpr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2018-02-25T21:57:00Z</dcterms:created>
  <dcterms:modified xsi:type="dcterms:W3CDTF">2018-02-25T22:00:00Z</dcterms:modified>
</cp:coreProperties>
</file>