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jc w:val="center"/>
        <w:rPr>
          <w:rFonts w:ascii="Arial" w:hAnsi="Arial" w:cs="Arial"/>
          <w:color w:val="000000"/>
        </w:rPr>
      </w:pPr>
      <w:r>
        <w:rPr>
          <w:rFonts w:ascii="Arial" w:hAnsi="Arial" w:cstheme="minorHAnsi"/>
          <w:b/>
          <w:bCs/>
          <w:color w:val="00B0F0"/>
          <w:sz w:val="28"/>
          <w:szCs w:val="22"/>
        </w:rPr>
        <w:t>WLD Teaching and Learning Digest – w/c 29</w:t>
      </w:r>
      <w:r>
        <w:rPr>
          <w:rFonts w:ascii="Arial" w:hAnsi="Arial" w:cstheme="minorHAnsi"/>
          <w:b/>
          <w:bCs/>
          <w:color w:val="00B0F0"/>
          <w:sz w:val="28"/>
          <w:szCs w:val="22"/>
          <w:vertAlign w:val="superscript"/>
        </w:rPr>
        <w:t>th</w:t>
      </w:r>
      <w:r>
        <w:rPr>
          <w:rFonts w:ascii="Arial" w:hAnsi="Arial" w:cstheme="minorHAnsi"/>
          <w:b/>
          <w:bCs/>
          <w:color w:val="00B0F0"/>
          <w:sz w:val="28"/>
          <w:szCs w:val="22"/>
        </w:rPr>
        <w:t xml:space="preserve"> January 2018</w:t>
      </w:r>
    </w:p>
    <w:p>
      <w:pPr>
        <w:spacing w:before="100" w:beforeAutospacing="1" w:after="100" w:afterAutospacing="1"/>
        <w:rPr>
          <w:rFonts w:ascii="Arial" w:hAnsi="Arial" w:cs="Arial"/>
          <w:color w:val="000000"/>
        </w:rPr>
      </w:pPr>
      <w:r>
        <w:rPr>
          <w:rFonts w:ascii="Arial" w:hAnsi="Arial" w:cstheme="minorHAnsi"/>
          <w:b/>
          <w:bCs/>
          <w:color w:val="C45911" w:themeColor="accent2" w:themeShade="BF"/>
          <w:u w:val="single"/>
        </w:rPr>
        <w:t>This week:</w:t>
      </w:r>
    </w:p>
    <w:p>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theme="minorHAnsi"/>
          <w:color w:val="C45911" w:themeColor="accent2" w:themeShade="BF"/>
        </w:rPr>
        <w:t xml:space="preserve">Thought for the week this week is </w:t>
      </w:r>
      <w:r>
        <w:rPr>
          <w:rFonts w:ascii="Arial" w:eastAsia="Times New Roman" w:hAnsi="Arial" w:cstheme="minorHAnsi"/>
          <w:b/>
          <w:bCs/>
          <w:color w:val="C45911" w:themeColor="accent2" w:themeShade="BF"/>
        </w:rPr>
        <w:t xml:space="preserve">Holocaust Memorial Week – </w:t>
      </w:r>
      <w:r>
        <w:rPr>
          <w:rFonts w:ascii="Arial" w:eastAsia="Times New Roman" w:hAnsi="Arial" w:cstheme="minorHAnsi"/>
          <w:color w:val="C45911" w:themeColor="accent2" w:themeShade="BF"/>
        </w:rPr>
        <w:t xml:space="preserve">the PPT contains the Holocaust Memorial Week film.  I have also put an extract from ‘The Boy in the Striped Pyjamas’ in registers; should hopefully prompt some interesting discussions about why we need to remember this event.  </w:t>
      </w:r>
    </w:p>
    <w:p>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theme="minorHAnsi"/>
          <w:color w:val="C45911" w:themeColor="accent2" w:themeShade="BF"/>
        </w:rPr>
        <w:t>School T&amp;L Priorities – Mr Sharples</w:t>
      </w:r>
      <w:r>
        <w:rPr>
          <w:rFonts w:ascii="Arial" w:eastAsia="Times New Roman" w:hAnsi="Arial" w:cstheme="minorHAnsi"/>
          <w:color w:val="C45911" w:themeColor="accent2" w:themeShade="BF"/>
        </w:rPr>
        <w:t xml:space="preserve"> has very kindly designed our priorities on the CPD noticeboard (directly opposite the staffroom door).  Please take time t</w:t>
      </w:r>
      <w:r>
        <w:rPr>
          <w:rFonts w:ascii="Arial" w:eastAsia="Times New Roman" w:hAnsi="Arial" w:cstheme="minorHAnsi"/>
          <w:color w:val="C45911" w:themeColor="accent2" w:themeShade="BF"/>
        </w:rPr>
        <w:t>o remind yourselves.  Thanks</w:t>
      </w:r>
      <w:r>
        <w:rPr>
          <w:rFonts w:ascii="Arial" w:eastAsia="Times New Roman" w:hAnsi="Arial" w:cstheme="minorHAnsi"/>
          <w:color w:val="C45911" w:themeColor="accent2" w:themeShade="BF"/>
        </w:rPr>
        <w:t>!</w:t>
      </w:r>
    </w:p>
    <w:p>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theme="minorHAnsi"/>
          <w:color w:val="C45911" w:themeColor="accent2" w:themeShade="BF"/>
        </w:rPr>
        <w:t>Our Trainees are shadowing Progress Coordinators on Monday and Wednesday this week.</w:t>
      </w:r>
    </w:p>
    <w:p>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theme="minorHAnsi"/>
          <w:color w:val="C45911" w:themeColor="accent2" w:themeShade="BF"/>
        </w:rPr>
        <w:t>Please prompt students to have planners and equipment ready at the start of every lesson.</w:t>
      </w:r>
    </w:p>
    <w:p>
      <w:pPr>
        <w:spacing w:before="100" w:beforeAutospacing="1" w:after="100" w:afterAutospacing="1"/>
        <w:rPr>
          <w:rFonts w:ascii="Arial" w:hAnsi="Arial" w:cs="Arial"/>
          <w:color w:val="000000"/>
        </w:rPr>
      </w:pPr>
      <w:r>
        <w:rPr>
          <w:rFonts w:ascii="Arial" w:hAnsi="Arial" w:cstheme="minorHAnsi"/>
          <w:b/>
          <w:bCs/>
          <w:color w:val="00B050"/>
          <w:u w:val="single"/>
        </w:rPr>
        <w:t>Teaching Approach of the Week – Try It!</w:t>
      </w:r>
    </w:p>
    <w:p>
      <w:pPr>
        <w:spacing w:before="100" w:beforeAutospacing="1" w:after="100" w:afterAutospacing="1"/>
        <w:rPr>
          <w:rFonts w:ascii="Arial" w:hAnsi="Arial" w:cs="Arial"/>
          <w:color w:val="000000"/>
        </w:rPr>
      </w:pPr>
    </w:p>
    <w:p>
      <w:pPr>
        <w:spacing w:before="100" w:beforeAutospacing="1" w:after="100" w:afterAutospacing="1"/>
        <w:jc w:val="center"/>
        <w:rPr>
          <w:rFonts w:ascii="Arial" w:hAnsi="Arial" w:cs="Arial"/>
          <w:color w:val="000000"/>
        </w:rPr>
      </w:pPr>
      <w:hyperlink r:id="rId5" w:history="1">
        <w:r>
          <w:rPr>
            <w:rStyle w:val="Hyperlink"/>
            <w:rFonts w:ascii="Arial" w:hAnsi="Arial" w:cs="Arial"/>
            <w:b/>
            <w:bCs/>
          </w:rPr>
          <w:t>http://www.theconfidentteacher.com/2018/01/top-10-revision-strategies/</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058"/>
      </w:tblGrid>
      <w:tr>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pPr>
              <w:shd w:val="clear" w:color="auto" w:fill="FFFFFF"/>
              <w:spacing w:before="300"/>
              <w:rPr>
                <w:rFonts w:eastAsia="Times New Roman"/>
              </w:rPr>
            </w:pPr>
            <w:r>
              <w:rPr>
                <w:rFonts w:eastAsia="Times New Roman"/>
                <w:noProof/>
                <w:color w:val="0000FF"/>
              </w:rPr>
              <w:drawing>
                <wp:inline distT="0" distB="0" distL="0" distR="0">
                  <wp:extent cx="2381250" cy="1781175"/>
                  <wp:effectExtent l="0" t="0" r="0" b="9525"/>
                  <wp:docPr id="2" name="Picture 2" descr="http://www.theconfidentteacher.com/wp-content/uploads/2014/08/20130407-220657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171725617610.21050686127762375" descr="http://www.theconfidentteacher.com/wp-content/uploads/2014/08/20130407-22065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pPr>
              <w:spacing w:before="300" w:line="315" w:lineRule="atLeast"/>
              <w:rPr>
                <w:rFonts w:ascii="Segoe UI Light" w:eastAsia="Times New Roman" w:hAnsi="Segoe UI Light" w:cs="Segoe UI Light"/>
                <w:color w:val="5FBCA2"/>
                <w:sz w:val="32"/>
                <w:szCs w:val="32"/>
              </w:rPr>
            </w:pPr>
            <w:hyperlink r:id="rId7" w:tgtFrame="_blank" w:history="1">
              <w:r>
                <w:rPr>
                  <w:rStyle w:val="Hyperlink"/>
                  <w:rFonts w:ascii="Segoe UI Light" w:eastAsia="Times New Roman" w:hAnsi="Segoe UI Light" w:cs="Segoe UI Light"/>
                  <w:sz w:val="32"/>
                  <w:szCs w:val="32"/>
                </w:rPr>
                <w:t>Top 10 Revision Strategies - theconfidentteacher.com</w:t>
              </w:r>
            </w:hyperlink>
          </w:p>
          <w:p>
            <w:pPr>
              <w:spacing w:before="300" w:line="210" w:lineRule="atLeast"/>
              <w:rPr>
                <w:rFonts w:ascii="Segoe UI" w:eastAsia="Times New Roman" w:hAnsi="Segoe UI" w:cs="Segoe UI"/>
                <w:color w:val="666666"/>
                <w:sz w:val="21"/>
                <w:szCs w:val="21"/>
              </w:rPr>
            </w:pPr>
            <w:hyperlink r:id="rId8" w:history="1">
              <w:r>
                <w:rPr>
                  <w:rStyle w:val="Hyperlink"/>
                  <w:rFonts w:ascii="Segoe UI" w:eastAsia="Times New Roman" w:hAnsi="Segoe UI" w:cs="Segoe UI"/>
                  <w:sz w:val="21"/>
                  <w:szCs w:val="21"/>
                </w:rPr>
                <w:t>www.theconfidentteacher.com</w:t>
              </w:r>
            </w:hyperlink>
          </w:p>
          <w:p>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Year after the year, the same pressures attend exam revision. Each year teachers try the old favourites, alongside a few new revision strategies to keep our students ...</w:t>
            </w:r>
          </w:p>
        </w:tc>
      </w:tr>
    </w:tbl>
    <w:p>
      <w:pPr>
        <w:rPr>
          <w:rFonts w:ascii="Arial" w:eastAsia="Times New Roman" w:hAnsi="Arial" w:cs="Arial"/>
          <w:color w:val="000000"/>
        </w:rPr>
      </w:pPr>
      <w:r>
        <w:rPr>
          <w:rFonts w:ascii="Arial" w:eastAsia="Times New Roman" w:hAnsi="Arial" w:cs="Arial"/>
          <w:color w:val="000000"/>
        </w:rPr>
        <w:br/>
      </w:r>
    </w:p>
    <w:p>
      <w:pPr>
        <w:spacing w:before="100" w:beforeAutospacing="1" w:after="100" w:afterAutospacing="1"/>
        <w:jc w:val="center"/>
        <w:rPr>
          <w:rFonts w:ascii="Arial" w:hAnsi="Arial" w:cs="Arial"/>
          <w:color w:val="000000"/>
        </w:rPr>
      </w:pPr>
    </w:p>
    <w:p>
      <w:pPr>
        <w:spacing w:before="100" w:beforeAutospacing="1" w:after="100" w:afterAutospacing="1"/>
        <w:jc w:val="both"/>
        <w:rPr>
          <w:rFonts w:ascii="Arial" w:hAnsi="Arial" w:cs="Arial"/>
          <w:color w:val="000000"/>
        </w:rPr>
      </w:pPr>
      <w:r>
        <w:rPr>
          <w:rFonts w:ascii="Arial" w:hAnsi="Arial" w:cstheme="minorHAnsi"/>
          <w:b/>
          <w:bCs/>
          <w:color w:val="00B050"/>
        </w:rPr>
        <w:t>The emphasis is on revision (or consolidation) of knowledge and skills at this time of the year – especially for Year 11.  Try these two and see if they work:</w:t>
      </w:r>
    </w:p>
    <w:p>
      <w:pPr>
        <w:pStyle w:val="NormalWeb"/>
        <w:rPr>
          <w:rFonts w:ascii="Arial" w:hAnsi="Arial" w:cs="Arial"/>
          <w:color w:val="000000"/>
        </w:rPr>
      </w:pPr>
      <w:r>
        <w:rPr>
          <w:rFonts w:ascii="Calibri" w:hAnsi="Calibri" w:cs="Calibri"/>
          <w:b/>
          <w:bCs/>
          <w:color w:val="00B050"/>
          <w:sz w:val="28"/>
          <w:szCs w:val="28"/>
        </w:rPr>
        <w:t xml:space="preserve">1. </w:t>
      </w:r>
      <w:r>
        <w:rPr>
          <w:rStyle w:val="Strong"/>
          <w:rFonts w:ascii="Calibri" w:hAnsi="Calibri" w:cs="Calibri"/>
          <w:color w:val="00B050"/>
          <w:sz w:val="28"/>
          <w:szCs w:val="28"/>
        </w:rPr>
        <w:t>‘Prepare to teach’</w:t>
      </w:r>
      <w:r>
        <w:rPr>
          <w:rFonts w:asciiTheme="minorHAnsi" w:hAnsiTheme="minorHAnsi" w:cstheme="minorHAnsi"/>
          <w:color w:val="00B050"/>
          <w:sz w:val="28"/>
          <w:szCs w:val="28"/>
        </w:rPr>
        <w:t xml:space="preserve"> (Similar to ‘</w:t>
      </w:r>
      <w:r>
        <w:rPr>
          <w:rStyle w:val="Emphasis"/>
          <w:rFonts w:asciiTheme="minorHAnsi" w:hAnsiTheme="minorHAnsi" w:cstheme="minorHAnsi"/>
          <w:color w:val="00B050"/>
          <w:sz w:val="28"/>
          <w:szCs w:val="28"/>
        </w:rPr>
        <w:t>Just a Minute</w:t>
      </w:r>
      <w:r>
        <w:rPr>
          <w:rFonts w:asciiTheme="minorHAnsi" w:hAnsiTheme="minorHAnsi" w:cstheme="minorHAnsi"/>
          <w:color w:val="00B050"/>
          <w:sz w:val="28"/>
          <w:szCs w:val="28"/>
        </w:rPr>
        <w:t xml:space="preserve">’).  Involves the common idea of getting students to teach a peer a topic/term from their revision. Read more in the above link on how effective ‘expect to teach’ can be.  </w:t>
      </w:r>
    </w:p>
    <w:p>
      <w:pPr>
        <w:pStyle w:val="NormalWeb"/>
        <w:rPr>
          <w:rStyle w:val="Strong"/>
          <w:rFonts w:ascii="Calibri" w:hAnsi="Calibri" w:cs="Calibri"/>
          <w:color w:val="00B050"/>
          <w:sz w:val="28"/>
          <w:szCs w:val="28"/>
        </w:rPr>
      </w:pPr>
    </w:p>
    <w:p>
      <w:pPr>
        <w:pStyle w:val="NormalWeb"/>
        <w:rPr>
          <w:rFonts w:ascii="Arial" w:hAnsi="Arial" w:cs="Arial"/>
          <w:color w:val="000000"/>
        </w:rPr>
      </w:pPr>
      <w:r>
        <w:rPr>
          <w:rStyle w:val="Strong"/>
          <w:rFonts w:ascii="Calibri" w:hAnsi="Calibri" w:cs="Calibri"/>
          <w:color w:val="00B050"/>
          <w:sz w:val="28"/>
          <w:szCs w:val="28"/>
        </w:rPr>
        <w:lastRenderedPageBreak/>
        <w:t>2. Topic ranking</w:t>
      </w:r>
      <w:r>
        <w:rPr>
          <w:rFonts w:asciiTheme="minorHAnsi" w:hAnsiTheme="minorHAnsi" w:cstheme="minorHAnsi"/>
          <w:color w:val="00B050"/>
          <w:sz w:val="28"/>
          <w:szCs w:val="28"/>
        </w:rPr>
        <w:t xml:space="preserve">. Remember that students are often </w:t>
      </w:r>
      <w:r>
        <w:rPr>
          <w:rFonts w:asciiTheme="minorHAnsi" w:hAnsiTheme="minorHAnsi" w:cstheme="minorHAnsi"/>
          <w:b/>
          <w:bCs/>
          <w:color w:val="00B050"/>
          <w:sz w:val="28"/>
          <w:szCs w:val="28"/>
          <w:u w:val="single"/>
        </w:rPr>
        <w:t>not</w:t>
      </w:r>
      <w:r>
        <w:rPr>
          <w:rFonts w:asciiTheme="minorHAnsi" w:hAnsiTheme="minorHAnsi" w:cstheme="minorHAnsi"/>
          <w:color w:val="00B050"/>
          <w:sz w:val="28"/>
          <w:szCs w:val="28"/>
        </w:rPr>
        <w:t xml:space="preserve"> the best judge of the effectiveness of their own revision.  By getting students to rank their own knowledge of their topics being revised, they are evaluating their learning. Though they will probably be over-optimistic, it still helps students better calibrate their revision and monitor their ongoing progress. Give them a list of topics and try it this week as a starter!</w:t>
      </w:r>
    </w:p>
    <w:p>
      <w:pPr>
        <w:pStyle w:val="NormalWeb"/>
        <w:rPr>
          <w:rFonts w:ascii="Arial" w:hAnsi="Arial" w:cs="Arial"/>
          <w:color w:val="000000"/>
        </w:rPr>
      </w:pPr>
    </w:p>
    <w:p>
      <w:pPr>
        <w:spacing w:before="100" w:beforeAutospacing="1" w:after="100" w:afterAutospacing="1"/>
        <w:rPr>
          <w:rFonts w:ascii="Arial" w:hAnsi="Arial" w:cs="Arial"/>
          <w:color w:val="000000"/>
        </w:rPr>
      </w:pPr>
      <w:r>
        <w:rPr>
          <w:rFonts w:ascii="Arial" w:hAnsi="Arial" w:cstheme="minorHAnsi"/>
          <w:b/>
          <w:bCs/>
          <w:color w:val="C00000"/>
          <w:u w:val="single"/>
        </w:rPr>
        <w:t>Recent Top Tips (abridged)… Keep using them if they worked!</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‘Just a Minute’ and ‘Exam Wrappers’</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Retrieval Practice – questions from last lesson, last week and last term</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Presentation as an indirect way of enhancing progress</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Unlocking key words – discussing possible meanings</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 xml:space="preserve">The ‘BIG Question’ </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3B4ME – promoting independence</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WAGOLLs (what a good one looks like – use of model work)</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Pose, Pause, Pounce and Bounce</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bCs/>
          <w:color w:val="C00000"/>
        </w:rPr>
        <w:t xml:space="preserve">Reading for understanding – mini-whiteboards, quick quizzes, verbal questioning, think-pair-share etc. </w:t>
      </w:r>
    </w:p>
    <w:p>
      <w:pPr>
        <w:spacing w:before="100" w:beforeAutospacing="1" w:after="100" w:afterAutospacing="1"/>
        <w:rPr>
          <w:rFonts w:ascii="Arial" w:hAnsi="Arial" w:cs="Arial"/>
          <w:color w:val="000000"/>
        </w:rPr>
      </w:pPr>
      <w:r>
        <w:rPr>
          <w:rFonts w:ascii="Arial" w:hAnsi="Arial" w:cstheme="minorHAnsi"/>
          <w:b/>
          <w:bCs/>
          <w:color w:val="7030A0"/>
          <w:u w:val="single"/>
        </w:rPr>
        <w:t>Top Tips in Two this Term</w:t>
      </w:r>
    </w:p>
    <w:p>
      <w:pPr>
        <w:spacing w:before="100" w:beforeAutospacing="1" w:after="100" w:afterAutospacing="1"/>
        <w:jc w:val="both"/>
        <w:rPr>
          <w:rFonts w:ascii="Arial" w:hAnsi="Arial" w:cs="Arial"/>
          <w:color w:val="000000"/>
        </w:rPr>
      </w:pPr>
      <w:r>
        <w:rPr>
          <w:rFonts w:ascii="Arial" w:hAnsi="Arial" w:cstheme="minorHAnsi"/>
          <w:color w:val="7030A0"/>
        </w:rPr>
        <w:t>Scheduled in this term, we have:</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color w:val="7030A0"/>
        </w:rPr>
        <w:t>Thurs 1</w:t>
      </w:r>
      <w:r>
        <w:rPr>
          <w:rFonts w:ascii="Arial" w:eastAsia="Times New Roman" w:hAnsi="Arial" w:cstheme="minorHAnsi"/>
          <w:color w:val="7030A0"/>
          <w:vertAlign w:val="superscript"/>
        </w:rPr>
        <w:t>st</w:t>
      </w:r>
      <w:r>
        <w:rPr>
          <w:rFonts w:ascii="Arial" w:eastAsia="Times New Roman" w:hAnsi="Arial" w:cstheme="minorHAnsi"/>
          <w:color w:val="7030A0"/>
        </w:rPr>
        <w:t xml:space="preserve"> Feb – </w:t>
      </w:r>
      <w:r>
        <w:rPr>
          <w:rFonts w:ascii="Arial" w:eastAsia="Times New Roman" w:hAnsi="Arial" w:cstheme="minorHAnsi"/>
          <w:color w:val="7030A0"/>
        </w:rPr>
        <w:t>FD</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theme="minorHAnsi"/>
          <w:color w:val="7030A0"/>
        </w:rPr>
        <w:t>Weds 7</w:t>
      </w:r>
      <w:r>
        <w:rPr>
          <w:rFonts w:ascii="Arial" w:eastAsia="Times New Roman" w:hAnsi="Arial" w:cstheme="minorHAnsi"/>
          <w:color w:val="7030A0"/>
          <w:vertAlign w:val="superscript"/>
        </w:rPr>
        <w:t>th</w:t>
      </w:r>
      <w:r>
        <w:rPr>
          <w:rFonts w:ascii="Arial" w:eastAsia="Times New Roman" w:hAnsi="Arial" w:cstheme="minorHAnsi"/>
          <w:color w:val="7030A0"/>
        </w:rPr>
        <w:t xml:space="preserve"> Feb – </w:t>
      </w:r>
      <w:r>
        <w:rPr>
          <w:rFonts w:ascii="Arial" w:eastAsia="Times New Roman" w:hAnsi="Arial" w:cstheme="minorHAnsi"/>
          <w:color w:val="7030A0"/>
        </w:rPr>
        <w:t>EH</w:t>
      </w:r>
    </w:p>
    <w:p>
      <w:pPr>
        <w:spacing w:before="100" w:beforeAutospacing="1" w:after="100" w:afterAutospacing="1"/>
        <w:ind w:left="360"/>
        <w:rPr>
          <w:rFonts w:ascii="Arial" w:hAnsi="Arial" w:cs="Arial"/>
          <w:color w:val="000000"/>
        </w:rPr>
      </w:pPr>
      <w:r>
        <w:rPr>
          <w:rFonts w:ascii="Arial" w:hAnsi="Arial" w:cstheme="minorHAnsi"/>
          <w:b/>
          <w:bCs/>
          <w:color w:val="7030A0"/>
        </w:rPr>
        <w:t>HALF-TERM</w:t>
      </w:r>
    </w:p>
    <w:p>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theme="minorHAnsi"/>
          <w:color w:val="7030A0"/>
        </w:rPr>
        <w:t>Weds 21</w:t>
      </w:r>
      <w:r>
        <w:rPr>
          <w:rFonts w:ascii="Arial" w:eastAsia="Times New Roman" w:hAnsi="Arial" w:cstheme="minorHAnsi"/>
          <w:color w:val="7030A0"/>
          <w:vertAlign w:val="superscript"/>
        </w:rPr>
        <w:t>st</w:t>
      </w:r>
      <w:r>
        <w:rPr>
          <w:rFonts w:ascii="Arial" w:eastAsia="Times New Roman" w:hAnsi="Arial" w:cstheme="minorHAnsi"/>
          <w:color w:val="7030A0"/>
        </w:rPr>
        <w:t xml:space="preserve"> Feb – </w:t>
      </w:r>
      <w:r>
        <w:rPr>
          <w:rFonts w:ascii="Arial" w:eastAsia="Times New Roman" w:hAnsi="Arial" w:cstheme="minorHAnsi"/>
          <w:color w:val="7030A0"/>
        </w:rPr>
        <w:t>RW</w:t>
      </w:r>
    </w:p>
    <w:p>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theme="minorHAnsi"/>
          <w:color w:val="7030A0"/>
        </w:rPr>
        <w:t>Thursday 1</w:t>
      </w:r>
      <w:r>
        <w:rPr>
          <w:rFonts w:ascii="Arial" w:eastAsia="Times New Roman" w:hAnsi="Arial" w:cstheme="minorHAnsi"/>
          <w:color w:val="7030A0"/>
          <w:vertAlign w:val="superscript"/>
        </w:rPr>
        <w:t>st</w:t>
      </w:r>
      <w:r>
        <w:rPr>
          <w:rFonts w:ascii="Arial" w:eastAsia="Times New Roman" w:hAnsi="Arial" w:cstheme="minorHAnsi"/>
          <w:color w:val="7030A0"/>
        </w:rPr>
        <w:t xml:space="preserve"> March – </w:t>
      </w:r>
      <w:r>
        <w:rPr>
          <w:rFonts w:ascii="Arial" w:eastAsia="Times New Roman" w:hAnsi="Arial" w:cstheme="minorHAnsi"/>
          <w:color w:val="7030A0"/>
        </w:rPr>
        <w:t>TU</w:t>
      </w:r>
      <w:bookmarkStart w:id="0" w:name="_GoBack"/>
      <w:bookmarkEnd w:id="0"/>
    </w:p>
    <w:p>
      <w:pPr>
        <w:spacing w:before="100" w:beforeAutospacing="1" w:after="100" w:afterAutospacing="1"/>
        <w:ind w:left="360"/>
        <w:rPr>
          <w:rFonts w:ascii="Arial" w:hAnsi="Arial" w:cs="Arial"/>
          <w:color w:val="000000"/>
        </w:rPr>
      </w:pPr>
      <w:r>
        <w:rPr>
          <w:rFonts w:ascii="Arial" w:hAnsi="Arial" w:cstheme="minorHAnsi"/>
          <w:b/>
          <w:bCs/>
          <w:i/>
          <w:iCs/>
          <w:color w:val="7030A0"/>
        </w:rPr>
        <w:t>After half-term:</w:t>
      </w:r>
      <w:r>
        <w:rPr>
          <w:rFonts w:ascii="Arial" w:hAnsi="Arial" w:cstheme="minorHAnsi"/>
          <w:color w:val="7030A0"/>
        </w:rPr>
        <w:t xml:space="preserve"> Please let me know if you are happy to share an idea; simple ideas are the best.</w:t>
      </w:r>
    </w:p>
    <w:p>
      <w:pPr>
        <w:spacing w:before="100" w:beforeAutospacing="1" w:after="100" w:afterAutospacing="1"/>
        <w:rPr>
          <w:rFonts w:ascii="Arial" w:hAnsi="Arial" w:cs="Arial"/>
          <w:color w:val="000000"/>
        </w:rPr>
      </w:pPr>
      <w:r>
        <w:rPr>
          <w:rFonts w:ascii="Arial" w:hAnsi="Arial" w:cs="Arial"/>
          <w:color w:val="000000"/>
        </w:rPr>
        <w:t> </w:t>
      </w:r>
    </w:p>
    <w:p>
      <w:pPr>
        <w:spacing w:before="100" w:beforeAutospacing="1" w:after="100" w:afterAutospacing="1"/>
        <w:rPr>
          <w:rFonts w:ascii="Arial" w:hAnsi="Arial" w:cs="Arial"/>
          <w:color w:val="000000"/>
        </w:rPr>
      </w:pPr>
      <w:r>
        <w:rPr>
          <w:rFonts w:ascii="Arial" w:hAnsi="Arial" w:cstheme="minorHAnsi"/>
          <w:b/>
          <w:bCs/>
          <w:color w:val="0070C0"/>
          <w:u w:val="single"/>
        </w:rPr>
        <w:t xml:space="preserve">CPD </w:t>
      </w:r>
    </w:p>
    <w:p>
      <w:pPr>
        <w:spacing w:before="100" w:beforeAutospacing="1" w:after="100" w:afterAutospacing="1"/>
        <w:rPr>
          <w:rFonts w:ascii="Arial" w:hAnsi="Arial" w:cs="Arial"/>
          <w:color w:val="000000"/>
        </w:rPr>
      </w:pPr>
      <w:r>
        <w:rPr>
          <w:rFonts w:ascii="Arial" w:eastAsia="Times New Roman" w:hAnsi="Arial" w:cstheme="minorHAnsi"/>
          <w:color w:val="0070C0"/>
        </w:rPr>
        <w:t xml:space="preserve">Reminder - Please let me have any course requests for this financial year </w:t>
      </w:r>
      <w:proofErr w:type="gramStart"/>
      <w:r>
        <w:rPr>
          <w:rFonts w:ascii="Arial" w:eastAsia="Times New Roman" w:hAnsi="Arial" w:cstheme="minorHAnsi"/>
          <w:color w:val="0070C0"/>
        </w:rPr>
        <w:t>asap</w:t>
      </w:r>
      <w:proofErr w:type="gramEnd"/>
      <w:r>
        <w:rPr>
          <w:rFonts w:ascii="Arial" w:eastAsia="Times New Roman" w:hAnsi="Arial" w:cstheme="minorHAnsi"/>
          <w:color w:val="0070C0"/>
        </w:rPr>
        <w:t xml:space="preserve">.  </w:t>
      </w:r>
    </w:p>
    <w:p>
      <w:pPr>
        <w:spacing w:before="100" w:beforeAutospacing="1" w:after="100" w:afterAutospacing="1"/>
        <w:rPr>
          <w:rFonts w:ascii="Arial" w:hAnsi="Arial" w:cs="Arial"/>
          <w:color w:val="000000"/>
        </w:rPr>
      </w:pPr>
      <w:r>
        <w:rPr>
          <w:rFonts w:ascii="Arial" w:eastAsia="Times New Roman" w:hAnsi="Arial" w:cstheme="minorHAnsi"/>
          <w:color w:val="0070C0"/>
        </w:rPr>
        <w:t>If you are interested in attending this CPD conference, let me know.  There are some really good speakers attending.  It is on a Saturday – the only drawback!</w:t>
      </w:r>
    </w:p>
    <w:p>
      <w:pPr>
        <w:spacing w:before="100" w:beforeAutospacing="1" w:after="100" w:afterAutospacing="1"/>
        <w:jc w:val="center"/>
        <w:rPr>
          <w:rFonts w:ascii="Arial" w:hAnsi="Arial" w:cs="Arial"/>
          <w:color w:val="000000"/>
        </w:rPr>
      </w:pPr>
      <w:hyperlink r:id="rId9" w:history="1">
        <w:r>
          <w:rPr>
            <w:rStyle w:val="Hyperlink"/>
            <w:rFonts w:ascii="Arial" w:eastAsia="Times New Roman" w:hAnsi="Arial" w:cstheme="minorHAnsi"/>
          </w:rPr>
          <w:t>https://www.eventbrite.co.uk/e/researched-at-blackpool-research-school-tickets-39649489691</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95"/>
        <w:gridCol w:w="4028"/>
      </w:tblGrid>
      <w:tr>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pPr>
              <w:shd w:val="clear" w:color="auto" w:fill="FFFFFF"/>
              <w:spacing w:before="300"/>
              <w:rPr>
                <w:rFonts w:eastAsia="Times New Roman"/>
              </w:rPr>
            </w:pPr>
            <w:r>
              <w:rPr>
                <w:rFonts w:eastAsia="Times New Roman"/>
                <w:noProof/>
                <w:color w:val="0000FF"/>
              </w:rPr>
              <w:lastRenderedPageBreak/>
              <w:drawing>
                <wp:inline distT="0" distB="0" distL="0" distR="0">
                  <wp:extent cx="2390775" cy="1190625"/>
                  <wp:effectExtent l="0" t="0" r="9525" b="9525"/>
                  <wp:docPr id="1" name="Picture 1" descr="https://img.evbuc.com/https%3A%2F%2Fcdn.evbuc.com%2Fimages%2F39504201%2F228556396361%2F1%2Foriginal.jpg?w=1000&amp;rect=0%2C0%2C2160%2C1080&amp;s=cc297f264e494e3d5c0fbb0a22fc75dd">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171726233660.599487487577834" descr="https://img.evbuc.com/https%3A%2F%2Fcdn.evbuc.com%2Fimages%2F39504201%2F228556396361%2F1%2Foriginal.jpg?w=1000&amp;rect=0%2C0%2C2160%2C1080&amp;s=cc297f264e494e3d5c0fbb0a22fc75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1906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pPr>
              <w:spacing w:before="300" w:line="315" w:lineRule="atLeast"/>
              <w:rPr>
                <w:rFonts w:ascii="Segoe UI Light" w:eastAsia="Times New Roman" w:hAnsi="Segoe UI Light" w:cs="Segoe UI Light"/>
                <w:color w:val="5FBCA2"/>
                <w:sz w:val="32"/>
                <w:szCs w:val="32"/>
              </w:rPr>
            </w:pPr>
            <w:hyperlink r:id="rId11" w:tgtFrame="_blank" w:history="1">
              <w:proofErr w:type="spellStart"/>
              <w:r>
                <w:rPr>
                  <w:rStyle w:val="Hyperlink"/>
                  <w:rFonts w:ascii="Segoe UI Light" w:eastAsia="Times New Roman" w:hAnsi="Segoe UI Light" w:cs="Segoe UI Light"/>
                  <w:sz w:val="32"/>
                  <w:szCs w:val="32"/>
                </w:rPr>
                <w:t>researchED</w:t>
              </w:r>
              <w:proofErr w:type="spellEnd"/>
              <w:r>
                <w:rPr>
                  <w:rStyle w:val="Hyperlink"/>
                  <w:rFonts w:ascii="Segoe UI Light" w:eastAsia="Times New Roman" w:hAnsi="Segoe UI Light" w:cs="Segoe UI Light"/>
                  <w:sz w:val="32"/>
                  <w:szCs w:val="32"/>
                </w:rPr>
                <w:t xml:space="preserve"> at Blackpool Research School Tickets, Sat, 24 ...</w:t>
              </w:r>
            </w:hyperlink>
          </w:p>
          <w:p>
            <w:pPr>
              <w:spacing w:before="300" w:line="210" w:lineRule="atLeast"/>
              <w:rPr>
                <w:rFonts w:ascii="Segoe UI" w:eastAsia="Times New Roman" w:hAnsi="Segoe UI" w:cs="Segoe UI"/>
                <w:color w:val="666666"/>
                <w:sz w:val="21"/>
                <w:szCs w:val="21"/>
              </w:rPr>
            </w:pPr>
            <w:hyperlink r:id="rId12" w:history="1">
              <w:r>
                <w:rPr>
                  <w:rStyle w:val="Hyperlink"/>
                  <w:rFonts w:ascii="Segoe UI" w:eastAsia="Times New Roman" w:hAnsi="Segoe UI" w:cs="Segoe UI"/>
                  <w:sz w:val="21"/>
                  <w:szCs w:val="21"/>
                </w:rPr>
                <w:t>www.eventbrite.co.uk</w:t>
              </w:r>
            </w:hyperlink>
          </w:p>
          <w:p>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Eventbrite - Blackpool Research School presents </w:t>
            </w:r>
            <w:proofErr w:type="spellStart"/>
            <w:r>
              <w:rPr>
                <w:rFonts w:ascii="Segoe UI" w:eastAsia="Times New Roman" w:hAnsi="Segoe UI" w:cs="Segoe UI"/>
                <w:color w:val="666666"/>
                <w:sz w:val="21"/>
                <w:szCs w:val="21"/>
              </w:rPr>
              <w:t>researchED</w:t>
            </w:r>
            <w:proofErr w:type="spellEnd"/>
            <w:r>
              <w:rPr>
                <w:rFonts w:ascii="Segoe UI" w:eastAsia="Times New Roman" w:hAnsi="Segoe UI" w:cs="Segoe UI"/>
                <w:color w:val="666666"/>
                <w:sz w:val="21"/>
                <w:szCs w:val="21"/>
              </w:rPr>
              <w:t xml:space="preserve"> at Blackpool Research School - Saturday, 24 March 2018 at St. Mary's Catholic Academy, Blackpool, England.</w:t>
            </w:r>
          </w:p>
        </w:tc>
      </w:tr>
    </w:tbl>
    <w:p>
      <w:pPr>
        <w:rPr>
          <w:rFonts w:ascii="Arial" w:eastAsia="Times New Roman" w:hAnsi="Arial" w:cs="Arial"/>
          <w:color w:val="000000"/>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4A"/>
    <w:multiLevelType w:val="multilevel"/>
    <w:tmpl w:val="F24E5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10B12"/>
    <w:multiLevelType w:val="multilevel"/>
    <w:tmpl w:val="D7AA4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8783C"/>
    <w:multiLevelType w:val="multilevel"/>
    <w:tmpl w:val="F4368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A3329"/>
    <w:multiLevelType w:val="multilevel"/>
    <w:tmpl w:val="C20E1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B1B17-EB9B-40A5-9224-4F122E6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fidentteach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onfidentteacher.com/2018/01/top-10-revision-strategies/" TargetMode="External"/><Relationship Id="rId12" Type="http://schemas.openxmlformats.org/officeDocument/2006/relationships/hyperlink" Target="http://www.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ventbrite.co.uk/e/researched-at-blackpool-research-school-tickets-39649489691" TargetMode="External"/><Relationship Id="rId5" Type="http://schemas.openxmlformats.org/officeDocument/2006/relationships/hyperlink" Target="http://www.theconfidentteacher.com/2018/01/top-10-revision-strategie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ventbrite.co.uk/e/researched-at-blackpool-research-school-tickets-396494896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2018-02-02T16:27:00Z</dcterms:created>
  <dcterms:modified xsi:type="dcterms:W3CDTF">2018-02-02T16:29:00Z</dcterms:modified>
</cp:coreProperties>
</file>