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31" w:rsidRDefault="008C3B31" w:rsidP="008C3B31">
      <w:pPr>
        <w:pStyle w:val="NormalWeb"/>
        <w:rPr>
          <w:rFonts w:ascii="Arial" w:hAnsi="Arial" w:cs="Arial"/>
          <w:color w:val="000000"/>
        </w:rPr>
      </w:pPr>
    </w:p>
    <w:p w:rsidR="008C3B31" w:rsidRDefault="008C3B31" w:rsidP="008C3B31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</w:rPr>
        <w:t>WLD Teaching and Learning Digest – w/c 4</w:t>
      </w: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</w:rPr>
        <w:t xml:space="preserve"> June 2018</w:t>
      </w:r>
    </w:p>
    <w:p w:rsidR="008C3B31" w:rsidRDefault="008C3B31" w:rsidP="008C3B31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:rsidR="008C3B31" w:rsidRDefault="008C3B31" w:rsidP="008C3B31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tbl>
      <w:tblPr>
        <w:tblW w:w="0" w:type="auto"/>
        <w:jc w:val="center"/>
        <w:shd w:val="clear" w:color="auto" w:fill="F7CAA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416"/>
      </w:tblGrid>
      <w:tr w:rsidR="008C3B31" w:rsidTr="008C3B31">
        <w:trPr>
          <w:jc w:val="center"/>
        </w:trPr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31" w:rsidRDefault="008C3B31"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bCs/>
                <w:color w:val="0070C0"/>
                <w:szCs w:val="20"/>
                <w:u w:val="single"/>
              </w:rPr>
              <w:t>COMMUNICATION FOCUSES</w:t>
            </w:r>
          </w:p>
          <w:p w:rsidR="008C3B31" w:rsidRDefault="008C3B31"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</w:rPr>
              <w:t> </w:t>
            </w:r>
          </w:p>
          <w:p w:rsidR="008C3B31" w:rsidRDefault="008C3B31"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color w:val="0070C0"/>
                <w:szCs w:val="20"/>
              </w:rPr>
              <w:t>Please encourage Year 7 to complete their summer reading challenge (attached for info). If they complete, they win a prize!</w:t>
            </w:r>
          </w:p>
        </w:tc>
        <w:tc>
          <w:tcPr>
            <w:tcW w:w="34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31" w:rsidRDefault="008C3B31"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bCs/>
                <w:color w:val="0070C0"/>
                <w:szCs w:val="20"/>
                <w:u w:val="single"/>
              </w:rPr>
              <w:t>DYSLEXIA-FRIENDLY STRATEGY</w:t>
            </w:r>
          </w:p>
          <w:p w:rsidR="008C3B31" w:rsidRDefault="008C3B31">
            <w:pPr>
              <w:spacing w:before="100" w:beforeAutospacing="1"/>
            </w:pPr>
            <w:r>
              <w:rPr>
                <w:rFonts w:eastAsia="Times New Roman" w:cstheme="minorHAnsi"/>
                <w:color w:val="0070C0"/>
                <w:szCs w:val="20"/>
              </w:rPr>
              <w:t> </w:t>
            </w:r>
          </w:p>
          <w:p w:rsidR="008C3B31" w:rsidRDefault="008C3B31"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color w:val="0070C0"/>
              </w:rPr>
              <w:t>Cue in students using names</w:t>
            </w:r>
          </w:p>
        </w:tc>
      </w:tr>
    </w:tbl>
    <w:p w:rsidR="008C3B31" w:rsidRDefault="008C3B31" w:rsidP="008C3B31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:rsidR="008C3B31" w:rsidRDefault="008C3B31" w:rsidP="008C3B31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color w:val="C45911"/>
          <w:shd w:val="clear" w:color="auto" w:fill="FFFFFF"/>
        </w:rPr>
        <w:t> </w:t>
      </w:r>
    </w:p>
    <w:p w:rsidR="008C3B31" w:rsidRDefault="008C3B31" w:rsidP="008C3B31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color w:val="C45911"/>
          <w:u w:val="single"/>
          <w:shd w:val="clear" w:color="auto" w:fill="FFFFFF"/>
        </w:rPr>
        <w:t>This week:</w:t>
      </w:r>
    </w:p>
    <w:p w:rsidR="008C3B31" w:rsidRDefault="008C3B31" w:rsidP="008C3B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D05C12"/>
          <w:shd w:val="clear" w:color="auto" w:fill="FFFFFF"/>
        </w:rPr>
        <w:t>The </w:t>
      </w:r>
      <w:r>
        <w:rPr>
          <w:rFonts w:ascii="Calibri" w:eastAsia="Times New Roman" w:hAnsi="Calibri" w:cs="Calibri"/>
          <w:b/>
          <w:bCs/>
          <w:color w:val="FF0000"/>
          <w:shd w:val="clear" w:color="auto" w:fill="FFFFFF"/>
        </w:rPr>
        <w:t>thought for the week</w:t>
      </w:r>
      <w:r>
        <w:rPr>
          <w:rFonts w:ascii="Calibri" w:eastAsia="Times New Roman" w:hAnsi="Calibri" w:cs="Calibri"/>
          <w:color w:val="D05C12"/>
          <w:shd w:val="clear" w:color="auto" w:fill="FFFFFF"/>
        </w:rPr>
        <w:t> this week is </w:t>
      </w:r>
      <w:r>
        <w:rPr>
          <w:rFonts w:ascii="Calibri" w:eastAsia="Times New Roman" w:hAnsi="Calibri" w:cs="Calibri"/>
          <w:b/>
          <w:bCs/>
          <w:color w:val="D05C12"/>
          <w:shd w:val="clear" w:color="auto" w:fill="FFFFFF"/>
        </w:rPr>
        <w:t>‘Reflections – 7 weeks to achieve your goals’ –</w:t>
      </w:r>
      <w:r>
        <w:rPr>
          <w:rFonts w:ascii="Calibri" w:eastAsia="Times New Roman" w:hAnsi="Calibri" w:cs="Calibri"/>
          <w:color w:val="D05C12"/>
          <w:shd w:val="clear" w:color="auto" w:fill="FFFFFF"/>
        </w:rPr>
        <w:t xml:space="preserve"> ask students whether they can remember their goals/resolutions from January?  What measures do they need to put in place to achieve them? There is also an article in registers with the headline ‘Mind </w:t>
      </w:r>
      <w:proofErr w:type="gramStart"/>
      <w:r>
        <w:rPr>
          <w:rFonts w:ascii="Calibri" w:eastAsia="Times New Roman" w:hAnsi="Calibri" w:cs="Calibri"/>
          <w:color w:val="D05C12"/>
          <w:shd w:val="clear" w:color="auto" w:fill="FFFFFF"/>
        </w:rPr>
        <w:t>Over</w:t>
      </w:r>
      <w:proofErr w:type="gramEnd"/>
      <w:r>
        <w:rPr>
          <w:rFonts w:ascii="Calibri" w:eastAsia="Times New Roman" w:hAnsi="Calibri" w:cs="Calibri"/>
          <w:color w:val="D05C12"/>
          <w:shd w:val="clear" w:color="auto" w:fill="FFFFFF"/>
        </w:rPr>
        <w:t xml:space="preserve"> Matter’, encouraging students to push themselves in this final stage of the academic year.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8C3B31" w:rsidRDefault="008C3B31" w:rsidP="008C3B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b/>
          <w:color w:val="FF0000"/>
          <w:shd w:val="clear" w:color="auto" w:fill="FFFFFF"/>
        </w:rPr>
        <w:t>Preston Teaching Schools’ Alliance</w:t>
      </w:r>
      <w:r>
        <w:rPr>
          <w:rFonts w:ascii="Calibri" w:eastAsia="Times New Roman" w:hAnsi="Calibri" w:cs="Calibri"/>
          <w:color w:val="D05C12"/>
          <w:shd w:val="clear" w:color="auto" w:fill="FFFFFF"/>
        </w:rPr>
        <w:t>: Trainee Teachers – final assessment observations and meetings will take place this week.  Good luck to all!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8C3B31" w:rsidRDefault="008C3B31" w:rsidP="008C3B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45911" w:themeColor="accent2" w:themeShade="BF"/>
        </w:rPr>
      </w:pPr>
      <w:r>
        <w:rPr>
          <w:rFonts w:ascii="Calibri" w:eastAsia="Times New Roman" w:hAnsi="Calibri" w:cs="Calibri"/>
          <w:b/>
          <w:color w:val="FF0000"/>
          <w:shd w:val="clear" w:color="auto" w:fill="FFFFFF"/>
        </w:rPr>
        <w:t xml:space="preserve">Year 7 </w:t>
      </w:r>
      <w:r>
        <w:rPr>
          <w:rFonts w:ascii="Calibri" w:eastAsia="Times New Roman" w:hAnsi="Calibri" w:cs="Calibri"/>
          <w:b/>
          <w:color w:val="FF0000"/>
        </w:rPr>
        <w:t>Teachers</w:t>
      </w:r>
      <w:r>
        <w:rPr>
          <w:rFonts w:ascii="Calibri" w:eastAsia="Times New Roman" w:hAnsi="Calibri" w:cs="Calibri"/>
          <w:color w:val="C45911" w:themeColor="accent2" w:themeShade="BF"/>
        </w:rPr>
        <w:t xml:space="preserve"> – please continue to enforce the protocols emailed two weeks ago to promote consistency and to facilitate progress for all. Thanks for your support. </w:t>
      </w:r>
    </w:p>
    <w:p w:rsidR="008C3B31" w:rsidRDefault="008C3B31" w:rsidP="008C3B3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color w:val="00B050"/>
          <w:u w:val="single"/>
        </w:rPr>
        <w:t>Teaching Approach of the Week – Try It!</w:t>
      </w:r>
    </w:p>
    <w:p w:rsidR="008C3B31" w:rsidRDefault="008C3B31" w:rsidP="008C3B3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00B050"/>
        </w:rPr>
        <w:t xml:space="preserve">This approach links to our </w:t>
      </w:r>
      <w:r>
        <w:rPr>
          <w:rFonts w:ascii="Calibri" w:eastAsia="Times New Roman" w:hAnsi="Calibri" w:cs="Calibri"/>
          <w:b/>
          <w:i/>
          <w:color w:val="FF0000"/>
        </w:rPr>
        <w:t>TOOLKIT: ‘Understanding from Memory’</w:t>
      </w:r>
      <w:r>
        <w:rPr>
          <w:rFonts w:ascii="Calibri" w:eastAsia="Times New Roman" w:hAnsi="Calibri" w:cs="Calibri"/>
          <w:color w:val="00B050"/>
        </w:rPr>
        <w:t xml:space="preserve"> section.  Try using the retrieval practice grid shared by Keira and Claire in our ‘Top Tip in Two’ two weeks ago.  It is a good way to ask students to reflect on their learning, particularly at the start of a new half-term. </w:t>
      </w:r>
    </w:p>
    <w:p w:rsidR="008C3B31" w:rsidRDefault="008C3B31" w:rsidP="008C3B3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8C3B31" w:rsidRDefault="008C3B31" w:rsidP="008C3B3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noProof/>
          <w:color w:val="00B050"/>
        </w:rPr>
        <w:lastRenderedPageBreak/>
        <w:drawing>
          <wp:inline distT="0" distB="0" distL="0" distR="0">
            <wp:extent cx="5734050" cy="3219450"/>
            <wp:effectExtent l="0" t="0" r="0" b="0"/>
            <wp:docPr id="1" name="Picture 1" descr="cid:3ce32270-9a19-4462-8ac2-e571faddae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44992" descr="cid:3ce32270-9a19-4462-8ac2-e571faddae4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31" w:rsidRDefault="008C3B31" w:rsidP="008C3B3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8C3B31" w:rsidRDefault="008C3B31" w:rsidP="008C3B3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8C3B31" w:rsidRDefault="008C3B31" w:rsidP="008C3B3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C00000"/>
          <w:u w:val="single"/>
        </w:rPr>
        <w:t>Recent Top Tips (abridged)… Keep using them if they worked!</w:t>
      </w:r>
    </w:p>
    <w:p w:rsidR="008C3B31" w:rsidRDefault="008C3B31" w:rsidP="008C3B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color w:val="C00000"/>
        </w:rPr>
        <w:t>Reading strategy – sum up a paragraph at a time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8C3B31" w:rsidRDefault="008C3B31" w:rsidP="008C3B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color w:val="C00000"/>
        </w:rPr>
        <w:t>Calm behaviour management – wait, cue in positive role models for behaviour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8C3B31" w:rsidRDefault="008C3B31" w:rsidP="008C3B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color w:val="C00000"/>
        </w:rPr>
        <w:t>Competition in lessons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8C3B31" w:rsidRDefault="008C3B31" w:rsidP="008C3B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color w:val="C00000"/>
        </w:rPr>
        <w:t>Black dot in a white square – focus on the positives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8C3B31" w:rsidRDefault="008C3B31" w:rsidP="008C3B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color w:val="C00000"/>
        </w:rPr>
        <w:t>We Are Reading! – offer lots of opportunities for students to read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8C3B31" w:rsidRDefault="008C3B31" w:rsidP="008C3B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Show the and in stages…think out loud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8C3B31" w:rsidRDefault="008C3B31" w:rsidP="008C3B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Verbal Feedback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8C3B31" w:rsidRDefault="008C3B31" w:rsidP="008C3B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Because, but, so – extend sentences and thinking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8C3B31" w:rsidRDefault="008C3B31" w:rsidP="008C3B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PIE FACES – Features of good writing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8C3B31" w:rsidRDefault="008C3B31" w:rsidP="008C3B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 xml:space="preserve"> ‘Just a Minute’ and ‘Exam Wrappers’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8C3B31" w:rsidRDefault="008C3B31" w:rsidP="008C3B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Retrieval Practice – questions from last lesson, last week and last term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8C3B31" w:rsidRDefault="008C3B31" w:rsidP="008C3B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The ‘BIG Question’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8C3B31" w:rsidRDefault="008C3B31" w:rsidP="008C3B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3B4ME – promoting independence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8C3B31" w:rsidRDefault="008C3B31" w:rsidP="008C3B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WAGOLLs (what a good one looks like – use of model work)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8C3B31" w:rsidRDefault="008C3B31" w:rsidP="008C3B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Pose, Pause, Pounce and Bounce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8C3B31" w:rsidRDefault="008C3B31" w:rsidP="008C3B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Reading for understanding – mini-whiteboards, quick quizzes, verbal questioning, think-pair-share etc.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8C3B31" w:rsidRDefault="008C3B31" w:rsidP="008C3B31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color w:val="7030A0"/>
          <w:u w:val="single"/>
          <w:shd w:val="clear" w:color="auto" w:fill="FFFFFF"/>
        </w:rPr>
        <w:t>Top Tips in Two this Half-Term</w:t>
      </w:r>
    </w:p>
    <w:p w:rsidR="008C3B31" w:rsidRDefault="008C3B31" w:rsidP="008C3B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FF0000"/>
        </w:rPr>
      </w:pPr>
      <w:bookmarkStart w:id="0" w:name="_GoBack"/>
      <w:bookmarkEnd w:id="0"/>
      <w:r>
        <w:rPr>
          <w:rFonts w:ascii="Arial" w:eastAsia="Times New Roman" w:hAnsi="Arial" w:cstheme="minorHAnsi"/>
          <w:strike/>
          <w:color w:val="7030A0"/>
          <w:shd w:val="clear" w:color="auto" w:fill="FFFFFF"/>
        </w:rPr>
        <w:t>Monday 9</w:t>
      </w:r>
      <w:r>
        <w:rPr>
          <w:rFonts w:ascii="Arial" w:eastAsia="Times New Roman" w:hAnsi="Arial" w:cstheme="minorHAnsi"/>
          <w:strike/>
          <w:color w:val="7030A0"/>
          <w:shd w:val="clear" w:color="auto" w:fill="FFFFFF"/>
          <w:vertAlign w:val="superscript"/>
        </w:rPr>
        <w:t>th</w:t>
      </w:r>
      <w:r>
        <w:rPr>
          <w:rFonts w:ascii="Arial" w:eastAsia="Times New Roman" w:hAnsi="Arial" w:cstheme="minorHAnsi"/>
          <w:strike/>
          <w:color w:val="7030A0"/>
          <w:shd w:val="clear" w:color="auto" w:fill="FFFFFF"/>
        </w:rPr>
        <w:t xml:space="preserve"> April –A. Christian – We Are Reading </w:t>
      </w:r>
      <w:r>
        <w:rPr>
          <w:rFonts w:ascii="Arial" w:eastAsia="Times New Roman" w:hAnsi="Arial" w:cstheme="minorHAnsi"/>
          <w:color w:val="7030A0"/>
          <w:shd w:val="clear" w:color="auto" w:fill="FFFFFF"/>
        </w:rPr>
        <w:t xml:space="preserve">– </w:t>
      </w:r>
      <w:r>
        <w:rPr>
          <w:rFonts w:ascii="Bradley Hand ITC" w:eastAsia="Times New Roman" w:hAnsi="Bradley Hand ITC" w:cstheme="minorHAnsi"/>
          <w:color w:val="FF0000"/>
          <w:shd w:val="clear" w:color="auto" w:fill="FFFFFF"/>
        </w:rPr>
        <w:t>Many thanks!</w:t>
      </w:r>
      <w:r>
        <w:rPr>
          <w:rFonts w:ascii="Arial" w:eastAsia="Times New Roman" w:hAnsi="Arial" w:cs="Arial"/>
          <w:color w:val="FF0000"/>
        </w:rPr>
        <w:t xml:space="preserve"> </w:t>
      </w:r>
    </w:p>
    <w:p w:rsidR="008C3B31" w:rsidRDefault="008C3B31" w:rsidP="008C3B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strike/>
          <w:color w:val="7030A0"/>
          <w:shd w:val="clear" w:color="auto" w:fill="FFFFFF"/>
        </w:rPr>
        <w:t>Friday 13</w:t>
      </w:r>
      <w:r>
        <w:rPr>
          <w:rFonts w:ascii="Arial" w:eastAsia="Times New Roman" w:hAnsi="Arial" w:cstheme="minorHAnsi"/>
          <w:strike/>
          <w:color w:val="7030A0"/>
          <w:shd w:val="clear" w:color="auto" w:fill="FFFFFF"/>
          <w:vertAlign w:val="superscript"/>
        </w:rPr>
        <w:t>th</w:t>
      </w:r>
      <w:r>
        <w:rPr>
          <w:rFonts w:ascii="Arial" w:eastAsia="Times New Roman" w:hAnsi="Arial" w:cstheme="minorHAnsi"/>
          <w:strike/>
          <w:color w:val="7030A0"/>
          <w:shd w:val="clear" w:color="auto" w:fill="FFFFFF"/>
        </w:rPr>
        <w:t> April – D. Turner – Doddle Revision</w:t>
      </w:r>
      <w:r>
        <w:rPr>
          <w:rFonts w:ascii="Arial" w:eastAsia="Times New Roman" w:hAnsi="Arial" w:cstheme="minorHAnsi"/>
          <w:color w:val="7030A0"/>
          <w:shd w:val="clear" w:color="auto" w:fill="FFFFFF"/>
        </w:rPr>
        <w:t xml:space="preserve"> - </w:t>
      </w:r>
      <w:r>
        <w:rPr>
          <w:rFonts w:ascii="Bradley Hand ITC" w:eastAsia="Times New Roman" w:hAnsi="Bradley Hand ITC" w:cstheme="minorHAnsi"/>
          <w:color w:val="FF0000"/>
          <w:shd w:val="clear" w:color="auto" w:fill="FFFFFF"/>
        </w:rPr>
        <w:t>Postponed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8C3B31" w:rsidRDefault="008C3B31" w:rsidP="008C3B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strike/>
          <w:color w:val="7030A0"/>
          <w:shd w:val="clear" w:color="auto" w:fill="FFFFFF"/>
        </w:rPr>
        <w:t>Wednesday 18</w:t>
      </w:r>
      <w:r>
        <w:rPr>
          <w:rFonts w:ascii="Arial" w:eastAsia="Times New Roman" w:hAnsi="Arial" w:cstheme="minorHAnsi"/>
          <w:strike/>
          <w:color w:val="7030A0"/>
          <w:shd w:val="clear" w:color="auto" w:fill="FFFFFF"/>
          <w:vertAlign w:val="superscript"/>
        </w:rPr>
        <w:t>th</w:t>
      </w:r>
      <w:r>
        <w:rPr>
          <w:rFonts w:ascii="Arial" w:eastAsia="Times New Roman" w:hAnsi="Arial" w:cstheme="minorHAnsi"/>
          <w:strike/>
          <w:color w:val="7030A0"/>
          <w:shd w:val="clear" w:color="auto" w:fill="FFFFFF"/>
        </w:rPr>
        <w:t> April – G. Moore – revision strategy</w:t>
      </w:r>
      <w:r>
        <w:rPr>
          <w:rFonts w:ascii="Bradley Hand ITC" w:eastAsia="Times New Roman" w:hAnsi="Bradley Hand ITC" w:cstheme="minorHAnsi"/>
          <w:color w:val="FF0000"/>
          <w:shd w:val="clear" w:color="auto" w:fill="FFFFFF"/>
        </w:rPr>
        <w:t xml:space="preserve"> Many thanks!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8C3B31" w:rsidRDefault="008C3B31" w:rsidP="008C3B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strike/>
          <w:color w:val="7030A0"/>
          <w:shd w:val="clear" w:color="auto" w:fill="FFFFFF"/>
        </w:rPr>
        <w:lastRenderedPageBreak/>
        <w:t>Friday 27</w:t>
      </w:r>
      <w:r>
        <w:rPr>
          <w:rFonts w:ascii="Arial" w:eastAsia="Times New Roman" w:hAnsi="Arial" w:cstheme="minorHAnsi"/>
          <w:strike/>
          <w:color w:val="7030A0"/>
          <w:shd w:val="clear" w:color="auto" w:fill="FFFFFF"/>
          <w:vertAlign w:val="superscript"/>
        </w:rPr>
        <w:t>th</w:t>
      </w:r>
      <w:r>
        <w:rPr>
          <w:rFonts w:ascii="Arial" w:eastAsia="Times New Roman" w:hAnsi="Arial" w:cstheme="minorHAnsi"/>
          <w:strike/>
          <w:color w:val="7030A0"/>
          <w:shd w:val="clear" w:color="auto" w:fill="FFFFFF"/>
        </w:rPr>
        <w:t> April – A. Halsall</w:t>
      </w:r>
      <w:r>
        <w:rPr>
          <w:rFonts w:ascii="Arial" w:eastAsia="Times New Roman" w:hAnsi="Arial" w:cstheme="minorHAnsi"/>
          <w:color w:val="7030A0"/>
          <w:shd w:val="clear" w:color="auto" w:fill="FFFFFF"/>
        </w:rPr>
        <w:t xml:space="preserve"> </w:t>
      </w:r>
      <w:r>
        <w:rPr>
          <w:rFonts w:ascii="Bradley Hand ITC" w:eastAsia="Times New Roman" w:hAnsi="Bradley Hand ITC" w:cstheme="minorHAnsi"/>
          <w:color w:val="FF0000"/>
          <w:shd w:val="clear" w:color="auto" w:fill="FFFFFF"/>
        </w:rPr>
        <w:t>Many thanks!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8C3B31" w:rsidRDefault="008C3B31" w:rsidP="008C3B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strike/>
          <w:color w:val="7030A0"/>
          <w:shd w:val="clear" w:color="auto" w:fill="FFFFFF"/>
        </w:rPr>
        <w:t>Friday 4</w:t>
      </w:r>
      <w:r>
        <w:rPr>
          <w:rFonts w:ascii="Arial" w:eastAsia="Times New Roman" w:hAnsi="Arial" w:cstheme="minorHAnsi"/>
          <w:strike/>
          <w:color w:val="7030A0"/>
          <w:shd w:val="clear" w:color="auto" w:fill="FFFFFF"/>
          <w:vertAlign w:val="superscript"/>
        </w:rPr>
        <w:t>th</w:t>
      </w:r>
      <w:r>
        <w:rPr>
          <w:rFonts w:ascii="Arial" w:eastAsia="Times New Roman" w:hAnsi="Arial" w:cstheme="minorHAnsi"/>
          <w:strike/>
          <w:color w:val="7030A0"/>
          <w:shd w:val="clear" w:color="auto" w:fill="FFFFFF"/>
        </w:rPr>
        <w:t> May – D. Turner – Read Write Gold</w:t>
      </w:r>
      <w:r>
        <w:rPr>
          <w:rFonts w:ascii="Arial" w:eastAsia="Times New Roman" w:hAnsi="Arial" w:cstheme="minorHAnsi"/>
          <w:color w:val="7030A0"/>
          <w:shd w:val="clear" w:color="auto" w:fill="FFFFFF"/>
        </w:rPr>
        <w:t xml:space="preserve"> - </w:t>
      </w:r>
      <w:r>
        <w:rPr>
          <w:rFonts w:ascii="Bradley Hand ITC" w:eastAsia="Times New Roman" w:hAnsi="Bradley Hand ITC" w:cstheme="minorHAnsi"/>
          <w:color w:val="FF0000"/>
          <w:shd w:val="clear" w:color="auto" w:fill="FFFFFF"/>
        </w:rPr>
        <w:t>Many thanks!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8C3B31" w:rsidRDefault="008C3B31" w:rsidP="008C3B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strike/>
          <w:color w:val="7030A0"/>
        </w:rPr>
        <w:t>Friday 18</w:t>
      </w:r>
      <w:r>
        <w:rPr>
          <w:rFonts w:ascii="Arial" w:eastAsia="Times New Roman" w:hAnsi="Arial" w:cstheme="minorHAnsi"/>
          <w:strike/>
          <w:color w:val="7030A0"/>
          <w:vertAlign w:val="superscript"/>
        </w:rPr>
        <w:t>th</w:t>
      </w:r>
      <w:r>
        <w:rPr>
          <w:rFonts w:ascii="Arial" w:eastAsia="Times New Roman" w:hAnsi="Arial" w:cstheme="minorHAnsi"/>
          <w:strike/>
          <w:color w:val="7030A0"/>
        </w:rPr>
        <w:t xml:space="preserve"> May – C. Rowson and K. </w:t>
      </w:r>
      <w:proofErr w:type="spellStart"/>
      <w:r>
        <w:rPr>
          <w:rFonts w:ascii="Arial" w:eastAsia="Times New Roman" w:hAnsi="Arial" w:cstheme="minorHAnsi"/>
          <w:strike/>
          <w:color w:val="7030A0"/>
        </w:rPr>
        <w:t>McPartlan</w:t>
      </w:r>
      <w:proofErr w:type="spellEnd"/>
      <w:r>
        <w:rPr>
          <w:rFonts w:ascii="Arial" w:eastAsia="Times New Roman" w:hAnsi="Arial" w:cstheme="minorHAnsi"/>
          <w:strike/>
          <w:color w:val="7030A0"/>
        </w:rPr>
        <w:t xml:space="preserve"> – knowledge </w:t>
      </w:r>
      <w:proofErr w:type="gramStart"/>
      <w:r>
        <w:rPr>
          <w:rFonts w:ascii="Arial" w:eastAsia="Times New Roman" w:hAnsi="Arial" w:cstheme="minorHAnsi"/>
          <w:strike/>
          <w:color w:val="7030A0"/>
        </w:rPr>
        <w:t>retrieval</w:t>
      </w:r>
      <w:r>
        <w:rPr>
          <w:rFonts w:ascii="Arial" w:eastAsia="Times New Roman" w:hAnsi="Arial" w:cstheme="minorHAnsi"/>
          <w:color w:val="7030A0"/>
        </w:rPr>
        <w:t xml:space="preserve">  </w:t>
      </w:r>
      <w:r>
        <w:rPr>
          <w:rFonts w:ascii="Bradley Hand ITC" w:eastAsia="Times New Roman" w:hAnsi="Bradley Hand ITC" w:cstheme="minorHAnsi"/>
          <w:color w:val="FF0000"/>
          <w:shd w:val="clear" w:color="auto" w:fill="FFFFFF"/>
        </w:rPr>
        <w:t>Many</w:t>
      </w:r>
      <w:proofErr w:type="gramEnd"/>
      <w:r>
        <w:rPr>
          <w:rFonts w:ascii="Bradley Hand ITC" w:eastAsia="Times New Roman" w:hAnsi="Bradley Hand ITC" w:cstheme="minorHAnsi"/>
          <w:color w:val="FF0000"/>
          <w:shd w:val="clear" w:color="auto" w:fill="FFFFFF"/>
        </w:rPr>
        <w:t xml:space="preserve"> thanks!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8C3B31" w:rsidRDefault="008C3B31" w:rsidP="008C3B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</w:rPr>
      </w:pPr>
      <w:r>
        <w:rPr>
          <w:rFonts w:ascii="Arial" w:eastAsia="Times New Roman" w:hAnsi="Arial" w:cstheme="minorHAnsi"/>
          <w:color w:val="7030A0"/>
        </w:rPr>
        <w:t>Wednesday 23</w:t>
      </w:r>
      <w:r>
        <w:rPr>
          <w:rFonts w:ascii="Arial" w:eastAsia="Times New Roman" w:hAnsi="Arial" w:cstheme="minorHAnsi"/>
          <w:color w:val="7030A0"/>
          <w:vertAlign w:val="superscript"/>
        </w:rPr>
        <w:t>rd</w:t>
      </w:r>
      <w:r>
        <w:rPr>
          <w:rFonts w:ascii="Arial" w:eastAsia="Times New Roman" w:hAnsi="Arial" w:cstheme="minorHAnsi"/>
          <w:color w:val="7030A0"/>
        </w:rPr>
        <w:t xml:space="preserve"> May – J. Mayor – postponed TBC</w:t>
      </w:r>
      <w:r>
        <w:rPr>
          <w:rFonts w:ascii="Arial" w:eastAsia="Times New Roman" w:hAnsi="Arial" w:cs="Arial"/>
          <w:color w:val="7030A0"/>
        </w:rPr>
        <w:t xml:space="preserve"> </w:t>
      </w:r>
    </w:p>
    <w:p w:rsidR="008C3B31" w:rsidRDefault="008C3B31" w:rsidP="008C3B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</w:rPr>
      </w:pPr>
      <w:r>
        <w:rPr>
          <w:rFonts w:ascii="Arial" w:eastAsia="Times New Roman" w:hAnsi="Arial" w:cstheme="minorHAnsi"/>
          <w:color w:val="7030A0"/>
        </w:rPr>
        <w:t>Monday 4</w:t>
      </w:r>
      <w:r>
        <w:rPr>
          <w:rFonts w:ascii="Arial" w:eastAsia="Times New Roman" w:hAnsi="Arial" w:cstheme="minorHAnsi"/>
          <w:color w:val="7030A0"/>
          <w:vertAlign w:val="superscript"/>
        </w:rPr>
        <w:t>th</w:t>
      </w:r>
      <w:r>
        <w:rPr>
          <w:rFonts w:ascii="Arial" w:eastAsia="Times New Roman" w:hAnsi="Arial" w:cstheme="minorHAnsi"/>
          <w:color w:val="7030A0"/>
        </w:rPr>
        <w:t xml:space="preserve"> June – A. Sam </w:t>
      </w:r>
    </w:p>
    <w:p w:rsidR="008C3B31" w:rsidRDefault="008C3B31" w:rsidP="008C3B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</w:rPr>
      </w:pPr>
      <w:r>
        <w:rPr>
          <w:rFonts w:ascii="Arial" w:eastAsia="Times New Roman" w:hAnsi="Arial" w:cstheme="minorHAnsi"/>
          <w:color w:val="7030A0"/>
        </w:rPr>
        <w:t>Friday 15</w:t>
      </w:r>
      <w:r>
        <w:rPr>
          <w:rFonts w:ascii="Arial" w:eastAsia="Times New Roman" w:hAnsi="Arial" w:cstheme="minorHAnsi"/>
          <w:color w:val="7030A0"/>
          <w:vertAlign w:val="superscript"/>
        </w:rPr>
        <w:t>th</w:t>
      </w:r>
      <w:r>
        <w:rPr>
          <w:rFonts w:ascii="Arial" w:eastAsia="Times New Roman" w:hAnsi="Arial" w:cstheme="minorHAnsi"/>
          <w:color w:val="7030A0"/>
        </w:rPr>
        <w:t xml:space="preserve"> June – A. Lyons</w:t>
      </w:r>
      <w:r>
        <w:rPr>
          <w:rFonts w:ascii="Arial" w:eastAsia="Times New Roman" w:hAnsi="Arial" w:cs="Arial"/>
          <w:color w:val="7030A0"/>
        </w:rPr>
        <w:t xml:space="preserve"> </w:t>
      </w:r>
    </w:p>
    <w:p w:rsidR="008C3B31" w:rsidRDefault="008C3B31" w:rsidP="008C3B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</w:rPr>
      </w:pPr>
      <w:r>
        <w:rPr>
          <w:rFonts w:ascii="Arial" w:eastAsia="Times New Roman" w:hAnsi="Arial" w:cstheme="minorHAnsi"/>
          <w:color w:val="7030A0"/>
        </w:rPr>
        <w:t>Wednesday 20</w:t>
      </w:r>
      <w:r>
        <w:rPr>
          <w:rFonts w:ascii="Arial" w:eastAsia="Times New Roman" w:hAnsi="Arial" w:cstheme="minorHAnsi"/>
          <w:color w:val="7030A0"/>
          <w:vertAlign w:val="superscript"/>
        </w:rPr>
        <w:t>th</w:t>
      </w:r>
      <w:r>
        <w:rPr>
          <w:rFonts w:ascii="Arial" w:eastAsia="Times New Roman" w:hAnsi="Arial" w:cstheme="minorHAnsi"/>
          <w:color w:val="7030A0"/>
        </w:rPr>
        <w:t xml:space="preserve"> June – E. Hand and S. Allen</w:t>
      </w:r>
      <w:r>
        <w:rPr>
          <w:rFonts w:ascii="Arial" w:eastAsia="Times New Roman" w:hAnsi="Arial" w:cs="Arial"/>
          <w:color w:val="7030A0"/>
        </w:rPr>
        <w:t xml:space="preserve"> </w:t>
      </w:r>
    </w:p>
    <w:p w:rsidR="008C3B31" w:rsidRDefault="008C3B31" w:rsidP="008C3B31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000000"/>
          <w:shd w:val="clear" w:color="auto" w:fill="FFFFFF"/>
        </w:rPr>
        <w:t> </w:t>
      </w:r>
    </w:p>
    <w:p w:rsidR="00E64D35" w:rsidRDefault="00E64D35"/>
    <w:sectPr w:rsidR="00E64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72EB"/>
    <w:multiLevelType w:val="multilevel"/>
    <w:tmpl w:val="D7B2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670691"/>
    <w:multiLevelType w:val="multilevel"/>
    <w:tmpl w:val="468A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6724B5"/>
    <w:multiLevelType w:val="multilevel"/>
    <w:tmpl w:val="D61C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31"/>
    <w:rsid w:val="008C3B31"/>
    <w:rsid w:val="00E6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87D0"/>
  <w15:chartTrackingRefBased/>
  <w15:docId w15:val="{6B462AC0-FCE8-4AC1-B08F-ECD02204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3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B31"/>
  </w:style>
  <w:style w:type="character" w:styleId="Emphasis">
    <w:name w:val="Emphasis"/>
    <w:basedOn w:val="DefaultParagraphFont"/>
    <w:uiPriority w:val="20"/>
    <w:qFormat/>
    <w:rsid w:val="008C3B31"/>
    <w:rPr>
      <w:i/>
      <w:iCs/>
    </w:rPr>
  </w:style>
  <w:style w:type="character" w:styleId="Strong">
    <w:name w:val="Strong"/>
    <w:basedOn w:val="DefaultParagraphFont"/>
    <w:uiPriority w:val="22"/>
    <w:qFormat/>
    <w:rsid w:val="008C3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3ce32270-9a19-4462-8ac2-e571faddae4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 Harris</cp:lastModifiedBy>
  <cp:revision>1</cp:revision>
  <dcterms:created xsi:type="dcterms:W3CDTF">2018-06-03T08:41:00Z</dcterms:created>
  <dcterms:modified xsi:type="dcterms:W3CDTF">2018-06-03T08:42:00Z</dcterms:modified>
</cp:coreProperties>
</file>