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jc w:val="center"/>
        <w:rPr>
          <w:rFonts w:ascii="Arial" w:hAnsi="Arial" w:cs="Arial"/>
          <w:color w:val="000000"/>
        </w:rPr>
      </w:pPr>
      <w:r>
        <w:rPr>
          <w:rFonts w:ascii="Arial" w:hAnsi="Arial" w:cstheme="minorHAnsi"/>
          <w:b/>
          <w:bCs/>
          <w:color w:val="00B0F0"/>
          <w:sz w:val="28"/>
          <w:szCs w:val="22"/>
        </w:rPr>
        <w:t>WLD Teaching and Learning Digest – w/c 5</w:t>
      </w:r>
      <w:r>
        <w:rPr>
          <w:rFonts w:ascii="Arial" w:hAnsi="Arial" w:cstheme="minorHAnsi"/>
          <w:b/>
          <w:bCs/>
          <w:color w:val="00B0F0"/>
          <w:sz w:val="28"/>
          <w:szCs w:val="22"/>
          <w:vertAlign w:val="superscript"/>
        </w:rPr>
        <w:t>th</w:t>
      </w:r>
      <w:r>
        <w:rPr>
          <w:rFonts w:ascii="Arial" w:hAnsi="Arial" w:cstheme="minorHAnsi"/>
          <w:b/>
          <w:bCs/>
          <w:color w:val="00B0F0"/>
          <w:sz w:val="28"/>
          <w:szCs w:val="22"/>
        </w:rPr>
        <w:t xml:space="preserve"> February 2018</w:t>
      </w:r>
    </w:p>
    <w:p>
      <w:pPr>
        <w:spacing w:before="100" w:beforeAutospacing="1" w:after="100" w:afterAutospacing="1"/>
        <w:jc w:val="center"/>
        <w:rPr>
          <w:rFonts w:ascii="Arial" w:hAnsi="Arial" w:cs="Arial"/>
          <w:color w:val="000000"/>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F7CAAC" w:themeFill="accent2" w:themeFillTint="66"/>
        <w:tblLook w:val="04A0" w:firstRow="1" w:lastRow="0" w:firstColumn="1" w:lastColumn="0" w:noHBand="0" w:noVBand="1"/>
      </w:tblPr>
      <w:tblGrid>
        <w:gridCol w:w="4087"/>
        <w:gridCol w:w="3142"/>
      </w:tblGrid>
      <w:tr>
        <w:trPr>
          <w:jc w:val="center"/>
        </w:trPr>
        <w:tc>
          <w:tcPr>
            <w:tcW w:w="4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pPr>
              <w:spacing w:before="100" w:beforeAutospacing="1"/>
              <w:jc w:val="center"/>
            </w:pPr>
            <w:r>
              <w:rPr>
                <w:b/>
                <w:bCs/>
                <w:color w:val="0070C0"/>
                <w:u w:val="single"/>
              </w:rPr>
              <w:t>COMMUNICATION FOCUSES</w:t>
            </w:r>
          </w:p>
          <w:p>
            <w:pPr>
              <w:numPr>
                <w:ilvl w:val="0"/>
                <w:numId w:val="1"/>
              </w:numPr>
              <w:spacing w:before="100" w:beforeAutospacing="1" w:after="100" w:afterAutospacing="1"/>
              <w:rPr>
                <w:rFonts w:eastAsia="Times New Roman"/>
              </w:rPr>
            </w:pPr>
            <w:r>
              <w:rPr>
                <w:rFonts w:eastAsia="Times New Roman"/>
                <w:color w:val="0070C0"/>
              </w:rPr>
              <w:t>How are we promoting reading with our students?</w:t>
            </w:r>
          </w:p>
          <w:p>
            <w:pPr>
              <w:numPr>
                <w:ilvl w:val="0"/>
                <w:numId w:val="1"/>
              </w:numPr>
              <w:spacing w:before="100" w:beforeAutospacing="1" w:after="100" w:afterAutospacing="1"/>
              <w:rPr>
                <w:rFonts w:eastAsia="Times New Roman"/>
              </w:rPr>
            </w:pPr>
            <w:r>
              <w:rPr>
                <w:rFonts w:eastAsia="Times New Roman"/>
                <w:color w:val="0070C0"/>
              </w:rPr>
              <w:t>Are you checking understanding (and spelling) of key subject words?</w:t>
            </w: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pPr>
              <w:spacing w:before="100" w:beforeAutospacing="1"/>
              <w:jc w:val="center"/>
            </w:pPr>
            <w:r>
              <w:rPr>
                <w:b/>
                <w:bCs/>
                <w:color w:val="0070C0"/>
                <w:u w:val="single"/>
              </w:rPr>
              <w:t>DYSLEXIA-FRIENDLY STRATEGY</w:t>
            </w:r>
          </w:p>
          <w:p>
            <w:pPr>
              <w:spacing w:before="100" w:beforeAutospacing="1"/>
              <w:jc w:val="center"/>
            </w:pPr>
            <w:r>
              <w:rPr>
                <w:rFonts w:cstheme="minorHAnsi"/>
                <w:b/>
                <w:bCs/>
                <w:color w:val="FFFFFF" w:themeColor="background1"/>
              </w:rPr>
              <w:t> </w:t>
            </w:r>
          </w:p>
          <w:p>
            <w:pPr>
              <w:spacing w:before="100" w:beforeAutospacing="1"/>
              <w:jc w:val="center"/>
            </w:pPr>
            <w:r>
              <w:rPr>
                <w:color w:val="0070C0"/>
              </w:rPr>
              <w:t>Address students by name to ‘cue in’ attention</w:t>
            </w:r>
          </w:p>
          <w:p>
            <w:pPr>
              <w:spacing w:before="100" w:beforeAutospacing="1"/>
              <w:jc w:val="center"/>
            </w:pPr>
            <w:r>
              <w:rPr>
                <w:rFonts w:cstheme="minorHAnsi"/>
                <w:b/>
                <w:bCs/>
                <w:color w:val="FFFFFF" w:themeColor="background1"/>
              </w:rPr>
              <w:t> </w:t>
            </w:r>
          </w:p>
        </w:tc>
      </w:tr>
    </w:tbl>
    <w:p>
      <w:pPr>
        <w:spacing w:before="100" w:beforeAutospacing="1" w:after="100" w:afterAutospacing="1"/>
        <w:rPr>
          <w:rFonts w:ascii="Arial" w:hAnsi="Arial" w:cs="Arial"/>
          <w:color w:val="000000"/>
        </w:rPr>
      </w:pPr>
      <w:r>
        <w:rPr>
          <w:rFonts w:ascii="Arial" w:hAnsi="Arial" w:cstheme="minorHAnsi"/>
          <w:b/>
          <w:bCs/>
          <w:color w:val="C45911" w:themeColor="accent2" w:themeShade="BF"/>
          <w:u w:val="single"/>
        </w:rPr>
        <w:t>This week:</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color w:val="C45911" w:themeColor="accent2" w:themeShade="BF"/>
        </w:rPr>
        <w:t xml:space="preserve">Thought for the week this week is </w:t>
      </w:r>
      <w:r>
        <w:rPr>
          <w:rFonts w:ascii="Arial" w:eastAsia="Times New Roman" w:hAnsi="Arial" w:cstheme="minorHAnsi"/>
          <w:b/>
          <w:bCs/>
          <w:color w:val="C45911" w:themeColor="accent2" w:themeShade="BF"/>
        </w:rPr>
        <w:t xml:space="preserve">Manners – </w:t>
      </w:r>
      <w:r>
        <w:rPr>
          <w:rFonts w:ascii="Arial" w:eastAsia="Times New Roman" w:hAnsi="Arial" w:cstheme="minorHAnsi"/>
          <w:color w:val="C45911" w:themeColor="accent2" w:themeShade="BF"/>
        </w:rPr>
        <w:t>Please use the PPT with your forms and encourage ‘professional’ behaviour around school.  You may wish to discuss language, gestures and general attitude around school.</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color w:val="C45911" w:themeColor="accent2" w:themeShade="BF"/>
        </w:rPr>
        <w:t>Well done to our Trainees who have ‘almost’ survived their first half-</w:t>
      </w:r>
      <w:proofErr w:type="gramStart"/>
      <w:r>
        <w:rPr>
          <w:rFonts w:ascii="Arial" w:eastAsia="Times New Roman" w:hAnsi="Arial" w:cstheme="minorHAnsi"/>
          <w:color w:val="C45911" w:themeColor="accent2" w:themeShade="BF"/>
        </w:rPr>
        <w:t>term.</w:t>
      </w:r>
      <w:proofErr w:type="gramEnd"/>
      <w:r>
        <w:rPr>
          <w:rFonts w:ascii="Arial" w:eastAsia="Times New Roman" w:hAnsi="Arial" w:cstheme="minorHAnsi"/>
          <w:color w:val="C45911" w:themeColor="accent2" w:themeShade="BF"/>
        </w:rPr>
        <w:t xml:space="preserve">  </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45911" w:themeColor="accent2" w:themeShade="BF"/>
        </w:rPr>
        <w:t>Thank you</w:t>
      </w:r>
      <w:r>
        <w:rPr>
          <w:rFonts w:ascii="Arial" w:eastAsia="Times New Roman" w:hAnsi="Arial" w:cstheme="minorHAnsi"/>
          <w:color w:val="C45911" w:themeColor="accent2" w:themeShade="BF"/>
        </w:rPr>
        <w:t xml:space="preserve">! – </w:t>
      </w:r>
      <w:proofErr w:type="gramStart"/>
      <w:r>
        <w:rPr>
          <w:rFonts w:ascii="Arial" w:eastAsia="Times New Roman" w:hAnsi="Arial" w:cstheme="minorHAnsi"/>
          <w:color w:val="C45911" w:themeColor="accent2" w:themeShade="BF"/>
        </w:rPr>
        <w:t>for</w:t>
      </w:r>
      <w:proofErr w:type="gramEnd"/>
      <w:r>
        <w:rPr>
          <w:rFonts w:ascii="Arial" w:eastAsia="Times New Roman" w:hAnsi="Arial" w:cstheme="minorHAnsi"/>
          <w:color w:val="C45911" w:themeColor="accent2" w:themeShade="BF"/>
        </w:rPr>
        <w:t xml:space="preserve"> encouraging students to have planners and equipment ready in lessons.  If we all do it, we support one another.  </w:t>
      </w:r>
    </w:p>
    <w:p>
      <w:pPr>
        <w:spacing w:before="100" w:beforeAutospacing="1" w:after="100" w:afterAutospacing="1"/>
        <w:rPr>
          <w:rFonts w:ascii="Arial" w:hAnsi="Arial" w:cs="Arial"/>
          <w:color w:val="000000"/>
        </w:rPr>
      </w:pPr>
      <w:r>
        <w:rPr>
          <w:rFonts w:ascii="Arial" w:hAnsi="Arial" w:cstheme="minorHAnsi"/>
          <w:b/>
          <w:bCs/>
          <w:color w:val="00B050"/>
          <w:u w:val="single"/>
        </w:rPr>
        <w:t>Teaching Approach of the Week – Try It!</w:t>
      </w:r>
    </w:p>
    <w:p>
      <w:pPr>
        <w:spacing w:before="100" w:beforeAutospacing="1" w:after="100" w:afterAutospacing="1"/>
        <w:jc w:val="both"/>
        <w:rPr>
          <w:rFonts w:ascii="Arial" w:hAnsi="Arial" w:cs="Arial"/>
          <w:color w:val="000000"/>
        </w:rPr>
      </w:pPr>
      <w:r>
        <w:rPr>
          <w:rFonts w:ascii="Arial" w:hAnsi="Arial" w:cs="Arial"/>
          <w:color w:val="00B050"/>
        </w:rPr>
        <w:t>Remember Elevate…?  The Year 11s are going to be having their second workshop soon.  The following approach to past papers is nothing new and one that we will all know well but perhaps is worth reinforcing with them over the coming weeks:</w:t>
      </w:r>
    </w:p>
    <w:p>
      <w:pPr>
        <w:spacing w:before="100" w:beforeAutospacing="1" w:after="100" w:afterAutospacing="1"/>
        <w:jc w:val="both"/>
        <w:rPr>
          <w:rFonts w:ascii="Arial" w:hAnsi="Arial" w:cs="Arial"/>
          <w:color w:val="000000"/>
        </w:rPr>
      </w:pPr>
    </w:p>
    <w:p>
      <w:pPr>
        <w:spacing w:before="100" w:beforeAutospacing="1" w:after="100" w:afterAutospacing="1"/>
        <w:jc w:val="center"/>
        <w:rPr>
          <w:rFonts w:ascii="Arial" w:hAnsi="Arial" w:cs="Arial"/>
          <w:color w:val="000000"/>
        </w:rPr>
      </w:pPr>
      <w:r>
        <w:rPr>
          <w:rFonts w:ascii="Arial" w:hAnsi="Arial" w:cs="Arial"/>
          <w:noProof/>
          <w:color w:val="00B050"/>
        </w:rPr>
        <w:drawing>
          <wp:inline distT="0" distB="0" distL="0" distR="0">
            <wp:extent cx="5457825" cy="3057525"/>
            <wp:effectExtent l="0" t="0" r="9525" b="9525"/>
            <wp:docPr id="1" name="Picture 1" descr="cid:1af99165-49f1-4115-bf7c-941f2aa4ae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004_rs|3" descr="cid:1af99165-49f1-4115-bf7c-941f2aa4ae8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57825" cy="3057525"/>
                    </a:xfrm>
                    <a:prstGeom prst="rect">
                      <a:avLst/>
                    </a:prstGeom>
                    <a:noFill/>
                    <a:ln>
                      <a:noFill/>
                    </a:ln>
                  </pic:spPr>
                </pic:pic>
              </a:graphicData>
            </a:graphic>
          </wp:inline>
        </w:drawing>
      </w:r>
    </w:p>
    <w:p>
      <w:pPr>
        <w:spacing w:before="100" w:beforeAutospacing="1" w:after="100" w:afterAutospacing="1"/>
        <w:jc w:val="both"/>
        <w:rPr>
          <w:rFonts w:ascii="Arial" w:hAnsi="Arial" w:cs="Arial"/>
          <w:color w:val="000000"/>
        </w:rPr>
      </w:pPr>
    </w:p>
    <w:p>
      <w:pPr>
        <w:spacing w:before="100" w:beforeAutospacing="1" w:after="100" w:afterAutospacing="1"/>
        <w:rPr>
          <w:rFonts w:ascii="Arial" w:hAnsi="Arial" w:cs="Arial"/>
          <w:color w:val="000000"/>
        </w:rPr>
      </w:pPr>
      <w:r>
        <w:rPr>
          <w:rFonts w:ascii="Arial" w:hAnsi="Arial" w:cstheme="minorHAnsi"/>
          <w:b/>
          <w:bCs/>
          <w:color w:val="C00000"/>
          <w:u w:val="single"/>
        </w:rPr>
        <w:t>Recent Top Tips (abridged)… Keep using them if they worked!</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‘Prepare to Teach’ and ‘Topic Ranking’</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‘Just a Minute’ and ‘Exam Wrappers’</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Retrieval Practice – questions from last lesson, last week and last term</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Presentation as an indirect way of enhancing progress</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Unlocking key words – discussing possible meanings</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 xml:space="preserve">The ‘BIG Question’ </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3B4ME – promoting independence</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WAGOLLs (what a good one looks like – use of model work)</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Pose, Pause, Pounce and Bounce</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 xml:space="preserve">Reading for understanding – mini-whiteboards, quick quizzes, verbal questioning, think-pair-share etc. </w:t>
      </w:r>
    </w:p>
    <w:p>
      <w:pPr>
        <w:spacing w:before="100" w:beforeAutospacing="1" w:after="100" w:afterAutospacing="1"/>
        <w:rPr>
          <w:rFonts w:ascii="Arial" w:hAnsi="Arial" w:cs="Arial"/>
          <w:color w:val="000000"/>
        </w:rPr>
      </w:pPr>
      <w:r>
        <w:rPr>
          <w:rFonts w:ascii="Arial" w:hAnsi="Arial" w:cstheme="minorHAnsi"/>
          <w:b/>
          <w:bCs/>
          <w:color w:val="7030A0"/>
          <w:u w:val="single"/>
        </w:rPr>
        <w:t>Top Tips in Two this Term</w:t>
      </w:r>
    </w:p>
    <w:p>
      <w:pPr>
        <w:spacing w:before="100" w:beforeAutospacing="1" w:after="100" w:afterAutospacing="1"/>
        <w:jc w:val="both"/>
        <w:rPr>
          <w:rFonts w:ascii="Arial" w:hAnsi="Arial" w:cs="Arial"/>
          <w:color w:val="000000"/>
        </w:rPr>
      </w:pPr>
      <w:r>
        <w:rPr>
          <w:rFonts w:ascii="Arial" w:hAnsi="Arial" w:cstheme="minorHAnsi"/>
          <w:color w:val="7030A0"/>
        </w:rPr>
        <w:t>Scheduled in this term, we have:</w:t>
      </w:r>
    </w:p>
    <w:p>
      <w:pPr>
        <w:spacing w:before="100" w:beforeAutospacing="1" w:after="100" w:afterAutospacing="1"/>
        <w:jc w:val="both"/>
        <w:rPr>
          <w:rFonts w:ascii="Arial" w:hAnsi="Arial" w:cs="Arial"/>
          <w:color w:val="000000"/>
        </w:rPr>
      </w:pPr>
    </w:p>
    <w:p>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Weds 7</w:t>
      </w:r>
      <w:r>
        <w:rPr>
          <w:rFonts w:ascii="Arial" w:eastAsia="Times New Roman" w:hAnsi="Arial" w:cs="Arial"/>
          <w:color w:val="7030A0"/>
          <w:vertAlign w:val="superscript"/>
        </w:rPr>
        <w:t>th</w:t>
      </w:r>
      <w:r>
        <w:rPr>
          <w:rFonts w:ascii="Arial" w:eastAsia="Times New Roman" w:hAnsi="Arial" w:cs="Arial"/>
          <w:color w:val="7030A0"/>
        </w:rPr>
        <w:t xml:space="preserve"> Feb – </w:t>
      </w:r>
      <w:r>
        <w:rPr>
          <w:rFonts w:ascii="Arial" w:eastAsia="Times New Roman" w:hAnsi="Arial" w:cs="Arial"/>
          <w:color w:val="7030A0"/>
        </w:rPr>
        <w:t>EH</w:t>
      </w:r>
    </w:p>
    <w:p>
      <w:pPr>
        <w:spacing w:before="100" w:beforeAutospacing="1" w:after="100" w:afterAutospacing="1"/>
        <w:ind w:left="360"/>
        <w:rPr>
          <w:rFonts w:ascii="Arial" w:hAnsi="Arial" w:cs="Arial"/>
          <w:color w:val="000000"/>
        </w:rPr>
      </w:pPr>
    </w:p>
    <w:p>
      <w:pPr>
        <w:spacing w:before="100" w:beforeAutospacing="1" w:after="100" w:afterAutospacing="1"/>
        <w:ind w:left="360"/>
        <w:rPr>
          <w:rFonts w:ascii="Arial" w:hAnsi="Arial" w:cs="Arial"/>
          <w:color w:val="000000"/>
        </w:rPr>
      </w:pPr>
      <w:r>
        <w:rPr>
          <w:rFonts w:ascii="Arial" w:hAnsi="Arial" w:cstheme="minorHAnsi"/>
          <w:b/>
          <w:bCs/>
          <w:color w:val="7030A0"/>
        </w:rPr>
        <w:t>HALF-TERM</w:t>
      </w:r>
    </w:p>
    <w:p>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theme="minorHAnsi"/>
          <w:color w:val="7030A0"/>
        </w:rPr>
        <w:t>Weds 21</w:t>
      </w:r>
      <w:r>
        <w:rPr>
          <w:rFonts w:ascii="Arial" w:eastAsia="Times New Roman" w:hAnsi="Arial" w:cstheme="minorHAnsi"/>
          <w:color w:val="7030A0"/>
          <w:vertAlign w:val="superscript"/>
        </w:rPr>
        <w:t>st</w:t>
      </w:r>
      <w:r>
        <w:rPr>
          <w:rFonts w:ascii="Arial" w:eastAsia="Times New Roman" w:hAnsi="Arial" w:cstheme="minorHAnsi"/>
          <w:color w:val="7030A0"/>
        </w:rPr>
        <w:t xml:space="preserve"> Feb – </w:t>
      </w:r>
      <w:r>
        <w:rPr>
          <w:rFonts w:ascii="Arial" w:eastAsia="Times New Roman" w:hAnsi="Arial" w:cstheme="minorHAnsi"/>
          <w:color w:val="7030A0"/>
        </w:rPr>
        <w:t>RW</w:t>
      </w:r>
    </w:p>
    <w:p>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theme="minorHAnsi"/>
          <w:color w:val="7030A0"/>
        </w:rPr>
        <w:t>Thursday 1</w:t>
      </w:r>
      <w:r>
        <w:rPr>
          <w:rFonts w:ascii="Arial" w:eastAsia="Times New Roman" w:hAnsi="Arial" w:cstheme="minorHAnsi"/>
          <w:color w:val="7030A0"/>
          <w:vertAlign w:val="superscript"/>
        </w:rPr>
        <w:t>st</w:t>
      </w:r>
      <w:r>
        <w:rPr>
          <w:rFonts w:ascii="Arial" w:eastAsia="Times New Roman" w:hAnsi="Arial" w:cstheme="minorHAnsi"/>
          <w:color w:val="7030A0"/>
        </w:rPr>
        <w:t xml:space="preserve"> March – </w:t>
      </w:r>
      <w:r>
        <w:rPr>
          <w:rFonts w:ascii="Arial" w:eastAsia="Times New Roman" w:hAnsi="Arial" w:cstheme="minorHAnsi"/>
          <w:color w:val="7030A0"/>
        </w:rPr>
        <w:t>TU</w:t>
      </w:r>
    </w:p>
    <w:p>
      <w:pPr>
        <w:spacing w:before="100" w:beforeAutospacing="1" w:after="100" w:afterAutospacing="1"/>
        <w:ind w:left="360"/>
        <w:rPr>
          <w:rFonts w:ascii="Arial" w:hAnsi="Arial" w:cs="Arial"/>
          <w:color w:val="000000"/>
        </w:rPr>
      </w:pPr>
      <w:r>
        <w:rPr>
          <w:rFonts w:ascii="Arial" w:hAnsi="Arial" w:cstheme="minorHAnsi"/>
          <w:b/>
          <w:bCs/>
          <w:i/>
          <w:iCs/>
          <w:color w:val="7030A0"/>
        </w:rPr>
        <w:t>After half-term:</w:t>
      </w:r>
      <w:r>
        <w:rPr>
          <w:rFonts w:ascii="Arial" w:hAnsi="Arial" w:cstheme="minorHAnsi"/>
          <w:color w:val="7030A0"/>
        </w:rPr>
        <w:t xml:space="preserve"> Please let me know if you are happy to share an idea; simple ideas are the best.</w:t>
      </w:r>
    </w:p>
    <w:p>
      <w:pPr>
        <w:spacing w:before="100" w:beforeAutospacing="1" w:after="100" w:afterAutospacing="1"/>
        <w:rPr>
          <w:rFonts w:ascii="Arial" w:hAnsi="Arial" w:cs="Arial"/>
          <w:color w:val="000000"/>
        </w:rPr>
      </w:pPr>
      <w:r>
        <w:rPr>
          <w:rFonts w:ascii="Arial" w:hAnsi="Arial" w:cs="Arial"/>
          <w:color w:val="000000"/>
        </w:rPr>
        <w:t> </w:t>
      </w:r>
    </w:p>
    <w:p>
      <w:pPr>
        <w:spacing w:before="100" w:beforeAutospacing="1" w:after="100" w:afterAutospacing="1"/>
        <w:rPr>
          <w:rFonts w:ascii="Arial" w:hAnsi="Arial" w:cs="Arial"/>
          <w:color w:val="000000"/>
        </w:rPr>
      </w:pPr>
      <w:r>
        <w:rPr>
          <w:rFonts w:ascii="Arial" w:hAnsi="Arial" w:cstheme="minorHAnsi"/>
          <w:b/>
          <w:bCs/>
          <w:color w:val="0070C0"/>
          <w:u w:val="single"/>
        </w:rPr>
        <w:t xml:space="preserve">CPD </w:t>
      </w:r>
    </w:p>
    <w:p>
      <w:pPr>
        <w:spacing w:before="100" w:beforeAutospacing="1" w:after="100" w:afterAutospacing="1"/>
        <w:rPr>
          <w:rFonts w:ascii="Arial" w:hAnsi="Arial" w:cs="Arial"/>
          <w:color w:val="000000"/>
        </w:rPr>
      </w:pPr>
      <w:r>
        <w:rPr>
          <w:rFonts w:ascii="Arial" w:eastAsia="Times New Roman" w:hAnsi="Arial" w:cstheme="minorHAnsi"/>
          <w:color w:val="0070C0"/>
        </w:rPr>
        <w:t>MY</w:t>
      </w:r>
      <w:bookmarkStart w:id="0" w:name="_GoBack"/>
      <w:bookmarkEnd w:id="0"/>
      <w:r>
        <w:rPr>
          <w:rFonts w:ascii="Arial" w:eastAsia="Times New Roman" w:hAnsi="Arial" w:cstheme="minorHAnsi"/>
          <w:color w:val="0070C0"/>
        </w:rPr>
        <w:t xml:space="preserve"> attended CPD last week on dealing with anxiety and stress.  She has kindly shared the following tips for dealing with students with anxiety issues:</w:t>
      </w:r>
    </w:p>
    <w:p>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b/>
          <w:bCs/>
          <w:color w:val="0070C0"/>
          <w:vertAlign w:val="subscript"/>
        </w:rPr>
        <w:t xml:space="preserve">DON'T EVER </w:t>
      </w:r>
      <w:r>
        <w:rPr>
          <w:rFonts w:ascii="Arial" w:eastAsia="Times New Roman" w:hAnsi="Arial" w:cs="Arial"/>
          <w:color w:val="0070C0"/>
          <w:vertAlign w:val="subscript"/>
        </w:rPr>
        <w:t>tell someone to calm down</w:t>
      </w:r>
    </w:p>
    <w:p>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b/>
          <w:bCs/>
          <w:color w:val="0070C0"/>
          <w:vertAlign w:val="subscript"/>
        </w:rPr>
        <w:t xml:space="preserve">DO </w:t>
      </w:r>
      <w:r>
        <w:rPr>
          <w:rFonts w:ascii="Arial" w:eastAsia="Times New Roman" w:hAnsi="Arial" w:cs="Arial"/>
          <w:color w:val="0070C0"/>
          <w:vertAlign w:val="subscript"/>
        </w:rPr>
        <w:t>try and help them to control their breathing so that they can think</w:t>
      </w:r>
    </w:p>
    <w:p>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b/>
          <w:bCs/>
          <w:color w:val="0070C0"/>
          <w:vertAlign w:val="subscript"/>
        </w:rPr>
        <w:t xml:space="preserve">Don't </w:t>
      </w:r>
      <w:r>
        <w:rPr>
          <w:rFonts w:ascii="Arial" w:eastAsia="Times New Roman" w:hAnsi="Arial" w:cs="Arial"/>
          <w:color w:val="0070C0"/>
          <w:vertAlign w:val="subscript"/>
        </w:rPr>
        <w:t>tell someone they are being silly, as their feelings are real</w:t>
      </w:r>
    </w:p>
    <w:p>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70C0"/>
          <w:vertAlign w:val="subscript"/>
        </w:rPr>
        <w:t>If someone has a meltdown the key is to get them to breathe slowly and in a rhythm as this helps to take the brain out of 'fight or flight' mode and think.</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8B6"/>
    <w:multiLevelType w:val="multilevel"/>
    <w:tmpl w:val="D7B4A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C6296"/>
    <w:multiLevelType w:val="multilevel"/>
    <w:tmpl w:val="C7E2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A1904"/>
    <w:multiLevelType w:val="multilevel"/>
    <w:tmpl w:val="C0006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64FB8"/>
    <w:multiLevelType w:val="multilevel"/>
    <w:tmpl w:val="29228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E1063"/>
    <w:multiLevelType w:val="multilevel"/>
    <w:tmpl w:val="95741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828E5"/>
    <w:multiLevelType w:val="multilevel"/>
    <w:tmpl w:val="1CFE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C82B-12F6-4B53-BF62-B6FB576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af99165-49f1-4115-bf7c-941f2aa4ae8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2018-02-05T08:05:00Z</dcterms:created>
  <dcterms:modified xsi:type="dcterms:W3CDTF">2018-02-05T08:07:00Z</dcterms:modified>
</cp:coreProperties>
</file>