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D682A" w14:textId="77777777" w:rsidR="00E71336" w:rsidRDefault="00E71336" w:rsidP="00E71336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B0F0"/>
          <w:sz w:val="32"/>
          <w:szCs w:val="32"/>
          <w:shd w:val="clear" w:color="auto" w:fill="FFFFFF"/>
        </w:rPr>
        <w:t>WLD Teaching and Learning Digest – w/c 8</w:t>
      </w:r>
      <w:r>
        <w:rPr>
          <w:rFonts w:ascii="Arial" w:eastAsia="Times New Roman" w:hAnsi="Arial" w:cs="Arial"/>
          <w:b/>
          <w:bCs/>
          <w:color w:val="00B0F0"/>
          <w:sz w:val="32"/>
          <w:szCs w:val="3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B0F0"/>
          <w:sz w:val="32"/>
          <w:szCs w:val="32"/>
          <w:shd w:val="clear" w:color="auto" w:fill="FFFFFF"/>
        </w:rPr>
        <w:t xml:space="preserve"> May 2018</w:t>
      </w:r>
    </w:p>
    <w:p w14:paraId="2E01D592" w14:textId="77777777" w:rsidR="00E71336" w:rsidRDefault="00E71336" w:rsidP="00E71336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14:paraId="176B125D" w14:textId="77777777" w:rsidR="00E71336" w:rsidRDefault="00E71336" w:rsidP="00E71336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tbl>
      <w:tblPr>
        <w:tblW w:w="0" w:type="auto"/>
        <w:jc w:val="center"/>
        <w:shd w:val="clear" w:color="auto" w:fill="F7CAA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3416"/>
      </w:tblGrid>
      <w:tr w:rsidR="00E71336" w14:paraId="54F26AE2" w14:textId="77777777" w:rsidTr="00E71336">
        <w:trPr>
          <w:jc w:val="center"/>
        </w:trPr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C48D7" w14:textId="77777777" w:rsidR="00E71336" w:rsidRDefault="00E71336"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bCs/>
                <w:color w:val="0070C0"/>
                <w:szCs w:val="20"/>
                <w:u w:val="single"/>
              </w:rPr>
              <w:t>COMMUNICATION FOCUSES</w:t>
            </w:r>
          </w:p>
          <w:p w14:paraId="4973056B" w14:textId="77777777" w:rsidR="00E71336" w:rsidRDefault="00E71336"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</w:rPr>
              <w:t> </w:t>
            </w:r>
          </w:p>
          <w:p w14:paraId="5CA3C53F" w14:textId="77777777" w:rsidR="00E71336" w:rsidRDefault="00E71336"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color w:val="0070C0"/>
                <w:szCs w:val="20"/>
              </w:rPr>
              <w:t>Year 7s should now all have reading books – refer to them if necessary.</w:t>
            </w:r>
          </w:p>
          <w:p w14:paraId="11D2D788" w14:textId="77777777" w:rsidR="00E71336" w:rsidRDefault="00E71336">
            <w:pPr>
              <w:spacing w:before="100" w:beforeAutospacing="1"/>
            </w:pPr>
            <w:r>
              <w:rPr>
                <w:rFonts w:eastAsia="Times New Roman" w:cstheme="minorHAnsi"/>
                <w:b/>
                <w:bCs/>
                <w:color w:val="0070C0"/>
                <w:szCs w:val="20"/>
              </w:rPr>
              <w:t> </w:t>
            </w:r>
          </w:p>
        </w:tc>
        <w:tc>
          <w:tcPr>
            <w:tcW w:w="34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3477C" w14:textId="77777777" w:rsidR="00E71336" w:rsidRDefault="00E71336"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bCs/>
                <w:color w:val="0070C0"/>
                <w:szCs w:val="20"/>
                <w:u w:val="single"/>
              </w:rPr>
              <w:t>DYSLEXIA-FRIENDLY STRATEGY</w:t>
            </w:r>
          </w:p>
          <w:p w14:paraId="72FA3A08" w14:textId="77777777" w:rsidR="00E71336" w:rsidRDefault="00E71336">
            <w:pPr>
              <w:spacing w:before="100" w:beforeAutospacing="1"/>
            </w:pPr>
            <w:r>
              <w:rPr>
                <w:rFonts w:eastAsia="Times New Roman" w:cstheme="minorHAnsi"/>
                <w:color w:val="0070C0"/>
                <w:szCs w:val="20"/>
              </w:rPr>
              <w:t> </w:t>
            </w:r>
          </w:p>
          <w:p w14:paraId="04914AE2" w14:textId="77777777" w:rsidR="00E71336" w:rsidRDefault="00E71336"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color w:val="0070C0"/>
              </w:rPr>
              <w:t>Avoid justifying large amounts of text – it makes it tricky to read</w:t>
            </w:r>
          </w:p>
        </w:tc>
      </w:tr>
    </w:tbl>
    <w:p w14:paraId="72FB5570" w14:textId="77777777" w:rsidR="00E71336" w:rsidRDefault="00E71336" w:rsidP="00E71336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14:paraId="2F0994C3" w14:textId="77777777" w:rsidR="00E71336" w:rsidRDefault="00E71336" w:rsidP="00E71336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bCs/>
          <w:color w:val="C45911"/>
          <w:shd w:val="clear" w:color="auto" w:fill="FFFFFF"/>
        </w:rPr>
        <w:t> </w:t>
      </w:r>
    </w:p>
    <w:p w14:paraId="1D9CC60C" w14:textId="77777777" w:rsidR="00E71336" w:rsidRDefault="00E71336" w:rsidP="00E71336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bCs/>
          <w:color w:val="C45911"/>
          <w:u w:val="single"/>
          <w:shd w:val="clear" w:color="auto" w:fill="FFFFFF"/>
        </w:rPr>
        <w:t>This week:</w:t>
      </w:r>
    </w:p>
    <w:p w14:paraId="22667F98" w14:textId="77777777" w:rsidR="00E71336" w:rsidRDefault="00E71336" w:rsidP="00E713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D05C12"/>
          <w:shd w:val="clear" w:color="auto" w:fill="FFFFFF"/>
        </w:rPr>
        <w:t>The </w:t>
      </w:r>
      <w:r>
        <w:rPr>
          <w:rFonts w:ascii="Calibri" w:eastAsia="Times New Roman" w:hAnsi="Calibri" w:cs="Calibri"/>
          <w:b/>
          <w:bCs/>
          <w:color w:val="FF0000"/>
          <w:shd w:val="clear" w:color="auto" w:fill="FFFFFF"/>
        </w:rPr>
        <w:t>thought for the week</w:t>
      </w:r>
      <w:r>
        <w:rPr>
          <w:rFonts w:ascii="Calibri" w:eastAsia="Times New Roman" w:hAnsi="Calibri" w:cs="Calibri"/>
          <w:color w:val="D05C12"/>
          <w:shd w:val="clear" w:color="auto" w:fill="FFFFFF"/>
        </w:rPr>
        <w:t> this week is </w:t>
      </w:r>
      <w:r>
        <w:rPr>
          <w:rFonts w:ascii="Calibri" w:eastAsia="Times New Roman" w:hAnsi="Calibri" w:cs="Calibri"/>
          <w:b/>
          <w:bCs/>
          <w:color w:val="D05C12"/>
          <w:shd w:val="clear" w:color="auto" w:fill="FFFFFF"/>
        </w:rPr>
        <w:t>‘Deaf Awareness Week’ –</w:t>
      </w:r>
      <w:r>
        <w:rPr>
          <w:rFonts w:ascii="Calibri" w:eastAsia="Times New Roman" w:hAnsi="Calibri" w:cs="Calibri"/>
          <w:color w:val="D05C12"/>
          <w:shd w:val="clear" w:color="auto" w:fill="FFFFFF"/>
        </w:rPr>
        <w:t xml:space="preserve"> Please use the PPT and bear in mind that this issue affects several of our students.  </w:t>
      </w:r>
    </w:p>
    <w:p w14:paraId="5139BDC3" w14:textId="77777777" w:rsidR="00E71336" w:rsidRDefault="00E71336" w:rsidP="00E713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b/>
          <w:color w:val="FF0000"/>
          <w:shd w:val="clear" w:color="auto" w:fill="FFFFFF"/>
        </w:rPr>
        <w:t>Preston Teaching Schools’ Alliance</w:t>
      </w:r>
      <w:r>
        <w:rPr>
          <w:rFonts w:ascii="Calibri" w:eastAsia="Times New Roman" w:hAnsi="Calibri" w:cs="Calibri"/>
          <w:color w:val="D05C12"/>
          <w:shd w:val="clear" w:color="auto" w:fill="FFFFFF"/>
        </w:rPr>
        <w:t>: Trainee Teachers – meeting LG at lunch on Tuesday (topic: literacy).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2F31CFFC" w14:textId="77777777" w:rsidR="00E71336" w:rsidRDefault="00E71336" w:rsidP="00E7133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color w:val="00B050"/>
          <w:u w:val="single"/>
        </w:rPr>
        <w:t>Teaching Approach of the Week – Try It!</w:t>
      </w:r>
    </w:p>
    <w:p w14:paraId="2504D0D6" w14:textId="77777777" w:rsidR="00E71336" w:rsidRDefault="00E71336" w:rsidP="00E7133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00B050"/>
        </w:rPr>
        <w:t>This week, think about starts of lessons.  This short video by Bill Rogers is nothing new (far from it!) but has some useful reminders and subtle ways of eliminating low-level off-task chat:</w:t>
      </w:r>
    </w:p>
    <w:p w14:paraId="44CC76DC" w14:textId="77777777" w:rsidR="00E71336" w:rsidRDefault="00E71336" w:rsidP="00E7133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B050"/>
        </w:rPr>
        <w:t>Calm (at all times) but assertive manner</w:t>
      </w:r>
    </w:p>
    <w:p w14:paraId="72F8BCF2" w14:textId="77777777" w:rsidR="00E71336" w:rsidRDefault="00E71336" w:rsidP="00E7133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B050"/>
        </w:rPr>
        <w:t>Respectful directions to the class</w:t>
      </w:r>
    </w:p>
    <w:p w14:paraId="4B7586C0" w14:textId="77777777" w:rsidR="00E71336" w:rsidRDefault="00E71336" w:rsidP="00E7133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B050"/>
        </w:rPr>
        <w:t>Cue in attention</w:t>
      </w:r>
    </w:p>
    <w:p w14:paraId="76BF50E2" w14:textId="77777777" w:rsidR="00E71336" w:rsidRDefault="00E71336" w:rsidP="00E7133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B050"/>
        </w:rPr>
        <w:t>Compliments when students do as you ask</w:t>
      </w:r>
    </w:p>
    <w:p w14:paraId="248EE5D7" w14:textId="77777777" w:rsidR="00E71336" w:rsidRDefault="00E71336" w:rsidP="00E71336">
      <w:pPr>
        <w:rPr>
          <w:rFonts w:ascii="Arial" w:eastAsia="Times New Roman" w:hAnsi="Arial" w:cs="Arial"/>
          <w:color w:val="000000"/>
        </w:rPr>
      </w:pPr>
      <w:hyperlink r:id="rId5" w:history="1">
        <w:r>
          <w:rPr>
            <w:rStyle w:val="Hyperlink"/>
            <w:rFonts w:ascii="Arial" w:eastAsia="Times New Roman" w:hAnsi="Arial" w:cs="Arial"/>
          </w:rPr>
          <w:t>https://www.youtube.com/watch?v=KTxGXiuLgb4</w:t>
        </w:r>
      </w:hyperlink>
      <w:r>
        <w:rPr>
          <w:rFonts w:ascii="Arial" w:eastAsia="Times New Roman" w:hAnsi="Arial" w:cs="Arial"/>
          <w:color w:val="000000"/>
        </w:rPr>
        <w:t xml:space="preserve"> </w:t>
      </w:r>
    </w:p>
    <w:p w14:paraId="191426C6" w14:textId="77777777" w:rsidR="00E71336" w:rsidRDefault="00E71336" w:rsidP="00E71336">
      <w:pPr>
        <w:pStyle w:val="NormalWeb"/>
        <w:rPr>
          <w:rFonts w:ascii="Arial" w:hAnsi="Arial" w:cs="Arial"/>
          <w:color w:val="00B050"/>
        </w:rPr>
      </w:pPr>
    </w:p>
    <w:tbl>
      <w:tblPr>
        <w:tblW w:w="4500" w:type="pct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bottom w:w="300" w:type="dxa"/>
        </w:tblCellMar>
        <w:tblLook w:val="04A0" w:firstRow="1" w:lastRow="0" w:firstColumn="1" w:lastColumn="0" w:noHBand="0" w:noVBand="1"/>
      </w:tblPr>
      <w:tblGrid>
        <w:gridCol w:w="4065"/>
        <w:gridCol w:w="4058"/>
      </w:tblGrid>
      <w:tr w:rsidR="00E71336" w14:paraId="1291623A" w14:textId="77777777" w:rsidTr="00E71336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14:paraId="35204037" w14:textId="77777777" w:rsidR="00E71336" w:rsidRDefault="00E71336">
            <w:pPr>
              <w:shd w:val="clear" w:color="auto" w:fill="FFFFFF"/>
              <w:spacing w:before="300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lastRenderedPageBreak/>
              <w:drawing>
                <wp:inline distT="0" distB="0" distL="0" distR="0" wp14:anchorId="0030875A" wp14:editId="60C5303B">
                  <wp:extent cx="2377440" cy="1777365"/>
                  <wp:effectExtent l="0" t="0" r="3810" b="0"/>
                  <wp:docPr id="2" name="Picture 2" descr="https://www.bing.com/th?id=OVP.0bUwp8kYpJM3JRgWgGe6KgEsDh&amp;pid=Api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5257236570290.26191016786962473" descr="https://www.bing.com/th?id=OVP.0bUwp8kYpJM3JRgWgGe6KgEsDh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77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C3FFE" w14:textId="77777777" w:rsidR="00E71336" w:rsidRDefault="00E71336">
            <w:pPr>
              <w:spacing w:before="300" w:line="315" w:lineRule="atLeast"/>
              <w:rPr>
                <w:rFonts w:ascii="Segoe UI Light" w:eastAsia="Times New Roman" w:hAnsi="Segoe UI Light" w:cs="Segoe UI Light"/>
                <w:color w:val="5FBCA2"/>
                <w:sz w:val="32"/>
                <w:szCs w:val="32"/>
              </w:rPr>
            </w:pPr>
            <w:hyperlink r:id="rId7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Bill Rogers on behaviour</w:t>
              </w:r>
            </w:hyperlink>
          </w:p>
          <w:p w14:paraId="553FCE16" w14:textId="77777777" w:rsidR="00E71336" w:rsidRDefault="00E71336">
            <w:pPr>
              <w:spacing w:before="300"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hyperlink r:id="rId8" w:history="1">
              <w:r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www.youtube.com</w:t>
              </w:r>
            </w:hyperlink>
          </w:p>
          <w:p w14:paraId="0BD20187" w14:textId="77777777" w:rsidR="00E71336" w:rsidRDefault="00E71336">
            <w:pPr>
              <w:spacing w:before="30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Bill Rogers on behaviour</w:t>
            </w:r>
          </w:p>
        </w:tc>
      </w:tr>
    </w:tbl>
    <w:p w14:paraId="6E71F7CD" w14:textId="77777777" w:rsidR="00E71336" w:rsidRDefault="00E71336" w:rsidP="00E71336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B050"/>
        </w:rPr>
        <w:t>Further reminders for tackling low-level disruption can be found in this link from TES (again, nothing new; just reminders).</w:t>
      </w:r>
    </w:p>
    <w:p w14:paraId="253C5E2C" w14:textId="77777777" w:rsidR="00E71336" w:rsidRDefault="00E71336" w:rsidP="00E7133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hyperlink r:id="rId9" w:history="1">
        <w:r>
          <w:rPr>
            <w:rStyle w:val="Hyperlink"/>
            <w:rFonts w:ascii="Calibri" w:eastAsia="Times New Roman" w:hAnsi="Calibri" w:cs="Calibri"/>
          </w:rPr>
          <w:t>https://www.tes.com/news/eight-easy-ways-tackle-low-level-disruption</w:t>
        </w:r>
      </w:hyperlink>
    </w:p>
    <w:tbl>
      <w:tblPr>
        <w:tblW w:w="4500" w:type="pct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bottom w:w="300" w:type="dxa"/>
        </w:tblCellMar>
        <w:tblLook w:val="04A0" w:firstRow="1" w:lastRow="0" w:firstColumn="1" w:lastColumn="0" w:noHBand="0" w:noVBand="1"/>
      </w:tblPr>
      <w:tblGrid>
        <w:gridCol w:w="8123"/>
      </w:tblGrid>
      <w:tr w:rsidR="00E71336" w14:paraId="6F07E708" w14:textId="77777777" w:rsidTr="00E7133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F58AA4" w14:textId="77777777" w:rsidR="00E71336" w:rsidRDefault="00E71336">
            <w:pPr>
              <w:spacing w:before="300" w:line="315" w:lineRule="atLeast"/>
              <w:rPr>
                <w:rFonts w:ascii="Segoe UI Light" w:eastAsia="Times New Roman" w:hAnsi="Segoe UI Light" w:cs="Segoe UI Light"/>
                <w:color w:val="5FBCA2"/>
                <w:sz w:val="32"/>
                <w:szCs w:val="32"/>
              </w:rPr>
            </w:pPr>
            <w:hyperlink r:id="rId10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 xml:space="preserve">Eight easy ways to tackle low-level disruption | </w:t>
              </w:r>
              <w:proofErr w:type="spellStart"/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Tes</w:t>
              </w:r>
              <w:proofErr w:type="spellEnd"/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 xml:space="preserve"> News</w:t>
              </w:r>
            </w:hyperlink>
          </w:p>
          <w:p w14:paraId="41D46216" w14:textId="77777777" w:rsidR="00E71336" w:rsidRDefault="00E71336">
            <w:pPr>
              <w:spacing w:before="300"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hyperlink r:id="rId11" w:history="1">
              <w:r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www.tes.com</w:t>
              </w:r>
            </w:hyperlink>
          </w:p>
          <w:p w14:paraId="0BC3BBCA" w14:textId="77777777" w:rsidR="00E71336" w:rsidRDefault="00E71336">
            <w:pPr>
              <w:spacing w:before="30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Students are losing up to eight weeks of teaching every year to low-level disruption, a recent Ofsted report suggests. In this week’s issue of TES, Greg Ashman, teacher at </w:t>
            </w:r>
            <w:proofErr w:type="spellStart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Ballarat</w:t>
            </w:r>
            <w:proofErr w:type="spellEnd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Clarendon College in Victoria, Australia, says that while most schools have clear procedures for dealing with extreme ...</w:t>
            </w:r>
          </w:p>
        </w:tc>
      </w:tr>
    </w:tbl>
    <w:p w14:paraId="1D371605" w14:textId="77777777" w:rsidR="00E71336" w:rsidRDefault="00E71336" w:rsidP="00E71336">
      <w:pPr>
        <w:rPr>
          <w:rFonts w:ascii="Arial" w:eastAsia="Times New Roman" w:hAnsi="Arial" w:cs="Arial"/>
          <w:color w:val="000000"/>
        </w:rPr>
      </w:pPr>
    </w:p>
    <w:p w14:paraId="655477E2" w14:textId="77777777" w:rsidR="00E71336" w:rsidRDefault="00E71336" w:rsidP="00E7133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00B050"/>
        </w:rPr>
        <w:t> </w:t>
      </w:r>
    </w:p>
    <w:p w14:paraId="74881089" w14:textId="77777777" w:rsidR="00E71336" w:rsidRDefault="00E71336">
      <w:pPr>
        <w:spacing w:after="160" w:line="259" w:lineRule="auto"/>
        <w:rPr>
          <w:rFonts w:ascii="Arial" w:eastAsia="Times New Roman" w:hAnsi="Arial" w:cs="Arial"/>
          <w:b/>
          <w:i/>
          <w:color w:val="00B050"/>
          <w:szCs w:val="26"/>
          <w:shd w:val="clear" w:color="auto" w:fill="FFFFFF"/>
        </w:rPr>
      </w:pPr>
      <w:r>
        <w:rPr>
          <w:rFonts w:ascii="Arial" w:eastAsia="Times New Roman" w:hAnsi="Arial" w:cs="Arial"/>
          <w:b/>
          <w:i/>
          <w:color w:val="00B050"/>
          <w:szCs w:val="26"/>
          <w:shd w:val="clear" w:color="auto" w:fill="FFFFFF"/>
        </w:rPr>
        <w:br w:type="page"/>
      </w:r>
    </w:p>
    <w:p w14:paraId="22EF4624" w14:textId="77777777" w:rsidR="00E71336" w:rsidRDefault="00E71336" w:rsidP="00E71336">
      <w:pPr>
        <w:shd w:val="clear" w:color="auto" w:fill="FFFFFF"/>
        <w:spacing w:before="100" w:beforeAutospacing="1" w:after="15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eastAsia="Times New Roman" w:hAnsi="Arial" w:cs="Arial"/>
          <w:b/>
          <w:i/>
          <w:color w:val="00B050"/>
          <w:szCs w:val="26"/>
          <w:shd w:val="clear" w:color="auto" w:fill="FFFFFF"/>
        </w:rPr>
        <w:lastRenderedPageBreak/>
        <w:t>Year 11 – Top Tips</w:t>
      </w:r>
    </w:p>
    <w:p w14:paraId="50629BFC" w14:textId="77777777" w:rsidR="00E71336" w:rsidRDefault="00E71336" w:rsidP="00E71336">
      <w:pPr>
        <w:shd w:val="clear" w:color="auto" w:fill="FFFFFF"/>
        <w:spacing w:before="100" w:beforeAutospacing="1" w:after="150"/>
        <w:rPr>
          <w:rFonts w:ascii="Arial" w:hAnsi="Arial" w:cs="Arial"/>
          <w:color w:val="000000"/>
        </w:rPr>
      </w:pPr>
    </w:p>
    <w:p w14:paraId="7206E245" w14:textId="77777777" w:rsidR="00E71336" w:rsidRDefault="00E71336" w:rsidP="00E71336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bCs/>
          <w:noProof/>
          <w:color w:val="C00000"/>
          <w:shd w:val="clear" w:color="auto" w:fill="FFFFFF"/>
        </w:rPr>
        <w:drawing>
          <wp:inline distT="0" distB="0" distL="0" distR="0" wp14:anchorId="07D82B8B" wp14:editId="0B0B28C6">
            <wp:extent cx="4096385" cy="5779135"/>
            <wp:effectExtent l="0" t="0" r="0" b="0"/>
            <wp:docPr id="1" name="Picture 1" descr="cid:ec83b831-426b-4f00-ac78-1e6e4f92d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84515" descr="cid:ec83b831-426b-4f00-ac78-1e6e4f92d989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577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35519" w14:textId="77777777" w:rsidR="00E71336" w:rsidRDefault="00E71336" w:rsidP="00E71336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</w:p>
    <w:p w14:paraId="1F846671" w14:textId="77777777" w:rsidR="00E71336" w:rsidRDefault="00E71336" w:rsidP="00E71336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bCs/>
          <w:color w:val="C00000"/>
          <w:u w:val="single"/>
          <w:shd w:val="clear" w:color="auto" w:fill="FFFFFF"/>
        </w:rPr>
        <w:t>Recent Top Tips (abridged)… Keep using them if they worked!</w:t>
      </w:r>
    </w:p>
    <w:p w14:paraId="355AC608" w14:textId="77777777" w:rsidR="00E71336" w:rsidRDefault="00E71336" w:rsidP="00E7133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color w:val="C00000"/>
        </w:rPr>
        <w:t>Competition in lessons</w:t>
      </w:r>
      <w:r>
        <w:rPr>
          <w:rFonts w:ascii="Arial" w:eastAsia="Times New Roman" w:hAnsi="Arial" w:cs="Arial"/>
          <w:color w:val="C00000"/>
        </w:rPr>
        <w:t xml:space="preserve"> </w:t>
      </w:r>
    </w:p>
    <w:p w14:paraId="766BF798" w14:textId="77777777" w:rsidR="00E71336" w:rsidRDefault="00E71336" w:rsidP="00E7133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color w:val="C00000"/>
        </w:rPr>
        <w:t>Black dot in a white square – focus on the positives</w:t>
      </w:r>
      <w:r>
        <w:rPr>
          <w:rFonts w:ascii="Arial" w:eastAsia="Times New Roman" w:hAnsi="Arial" w:cs="Arial"/>
          <w:color w:val="C00000"/>
        </w:rPr>
        <w:t xml:space="preserve"> </w:t>
      </w:r>
    </w:p>
    <w:p w14:paraId="2706887E" w14:textId="77777777" w:rsidR="00E71336" w:rsidRDefault="00E71336" w:rsidP="00E7133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color w:val="C00000"/>
        </w:rPr>
        <w:t>We Are Reading! – offer lots of opportunities for students to read</w:t>
      </w:r>
      <w:r>
        <w:rPr>
          <w:rFonts w:ascii="Arial" w:eastAsia="Times New Roman" w:hAnsi="Arial" w:cs="Arial"/>
          <w:color w:val="C00000"/>
        </w:rPr>
        <w:t xml:space="preserve"> </w:t>
      </w:r>
    </w:p>
    <w:p w14:paraId="40AF106E" w14:textId="77777777" w:rsidR="00E71336" w:rsidRDefault="00E71336" w:rsidP="00E7133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Show the and in stages…think out loud</w:t>
      </w:r>
      <w:r>
        <w:rPr>
          <w:rFonts w:ascii="Arial" w:eastAsia="Times New Roman" w:hAnsi="Arial" w:cs="Arial"/>
          <w:color w:val="C00000"/>
        </w:rPr>
        <w:t xml:space="preserve"> </w:t>
      </w:r>
    </w:p>
    <w:p w14:paraId="171630D1" w14:textId="77777777" w:rsidR="00E71336" w:rsidRDefault="00E71336" w:rsidP="00E7133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Verbal Feedback</w:t>
      </w:r>
      <w:r>
        <w:rPr>
          <w:rFonts w:ascii="Arial" w:eastAsia="Times New Roman" w:hAnsi="Arial" w:cs="Arial"/>
          <w:color w:val="C00000"/>
        </w:rPr>
        <w:t xml:space="preserve"> </w:t>
      </w:r>
    </w:p>
    <w:p w14:paraId="495B8822" w14:textId="77777777" w:rsidR="00E71336" w:rsidRDefault="00E71336" w:rsidP="00E7133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Because, but, so – extend sentences and thinking</w:t>
      </w:r>
      <w:r>
        <w:rPr>
          <w:rFonts w:ascii="Arial" w:eastAsia="Times New Roman" w:hAnsi="Arial" w:cs="Arial"/>
          <w:color w:val="C00000"/>
        </w:rPr>
        <w:t xml:space="preserve"> </w:t>
      </w:r>
    </w:p>
    <w:p w14:paraId="578261C2" w14:textId="77777777" w:rsidR="00E71336" w:rsidRDefault="00E71336" w:rsidP="00E7133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PIE FACES – Features of good writing</w:t>
      </w:r>
      <w:r>
        <w:rPr>
          <w:rFonts w:ascii="Arial" w:eastAsia="Times New Roman" w:hAnsi="Arial" w:cs="Arial"/>
          <w:color w:val="C00000"/>
        </w:rPr>
        <w:t xml:space="preserve"> </w:t>
      </w:r>
    </w:p>
    <w:p w14:paraId="3FED2E69" w14:textId="77777777" w:rsidR="00E71336" w:rsidRDefault="00E71336" w:rsidP="00E7133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 xml:space="preserve"> ‘Just a Minute’ and ‘Exam Wrappers’</w:t>
      </w:r>
      <w:r>
        <w:rPr>
          <w:rFonts w:ascii="Arial" w:eastAsia="Times New Roman" w:hAnsi="Arial" w:cs="Arial"/>
          <w:color w:val="C00000"/>
        </w:rPr>
        <w:t xml:space="preserve"> </w:t>
      </w:r>
    </w:p>
    <w:p w14:paraId="091A514F" w14:textId="77777777" w:rsidR="00E71336" w:rsidRDefault="00E71336" w:rsidP="00E7133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lastRenderedPageBreak/>
        <w:t>Retrieval Practice – questions from last lesson, last week and last term</w:t>
      </w:r>
      <w:r>
        <w:rPr>
          <w:rFonts w:ascii="Arial" w:eastAsia="Times New Roman" w:hAnsi="Arial" w:cs="Arial"/>
          <w:color w:val="C00000"/>
        </w:rPr>
        <w:t xml:space="preserve"> </w:t>
      </w:r>
    </w:p>
    <w:p w14:paraId="51ADEB09" w14:textId="77777777" w:rsidR="00E71336" w:rsidRDefault="00E71336" w:rsidP="00E7133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The ‘BIG Question’</w:t>
      </w:r>
      <w:r>
        <w:rPr>
          <w:rFonts w:ascii="Arial" w:eastAsia="Times New Roman" w:hAnsi="Arial" w:cs="Arial"/>
          <w:color w:val="C00000"/>
        </w:rPr>
        <w:t xml:space="preserve"> </w:t>
      </w:r>
    </w:p>
    <w:p w14:paraId="181E9FF9" w14:textId="77777777" w:rsidR="00E71336" w:rsidRDefault="00E71336" w:rsidP="00E7133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3B4ME – promoting independence</w:t>
      </w:r>
      <w:r>
        <w:rPr>
          <w:rFonts w:ascii="Arial" w:eastAsia="Times New Roman" w:hAnsi="Arial" w:cs="Arial"/>
          <w:color w:val="C00000"/>
        </w:rPr>
        <w:t xml:space="preserve"> </w:t>
      </w:r>
    </w:p>
    <w:p w14:paraId="69EBD5EB" w14:textId="77777777" w:rsidR="00E71336" w:rsidRDefault="00E71336" w:rsidP="00E7133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WAGOLLs (what a good one looks like – use of model work)</w:t>
      </w:r>
      <w:r>
        <w:rPr>
          <w:rFonts w:ascii="Arial" w:eastAsia="Times New Roman" w:hAnsi="Arial" w:cs="Arial"/>
          <w:color w:val="C00000"/>
        </w:rPr>
        <w:t xml:space="preserve"> </w:t>
      </w:r>
    </w:p>
    <w:p w14:paraId="177A76A2" w14:textId="77777777" w:rsidR="00E71336" w:rsidRDefault="00E71336" w:rsidP="00E7133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Pose, Pause, Pounce and Bounce</w:t>
      </w:r>
      <w:r>
        <w:rPr>
          <w:rFonts w:ascii="Arial" w:eastAsia="Times New Roman" w:hAnsi="Arial" w:cs="Arial"/>
          <w:color w:val="C00000"/>
        </w:rPr>
        <w:t xml:space="preserve"> </w:t>
      </w:r>
    </w:p>
    <w:p w14:paraId="5025EBA8" w14:textId="77777777" w:rsidR="00E71336" w:rsidRDefault="00E71336" w:rsidP="00E7133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Reading for understanding – mini-whiteboards, quick quizzes, verbal questioning, think-pair-share etc.</w:t>
      </w:r>
      <w:r>
        <w:rPr>
          <w:rFonts w:ascii="Arial" w:eastAsia="Times New Roman" w:hAnsi="Arial" w:cs="Arial"/>
          <w:color w:val="C00000"/>
        </w:rPr>
        <w:t xml:space="preserve"> </w:t>
      </w:r>
    </w:p>
    <w:p w14:paraId="59CE7ED2" w14:textId="77777777" w:rsidR="00E71336" w:rsidRDefault="00E71336" w:rsidP="00E71336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bCs/>
          <w:color w:val="7030A0"/>
          <w:u w:val="single"/>
          <w:shd w:val="clear" w:color="auto" w:fill="FFFFFF"/>
        </w:rPr>
        <w:t>Top Tips in Two this Half-Term</w:t>
      </w:r>
    </w:p>
    <w:p w14:paraId="61E4229E" w14:textId="77777777" w:rsidR="00E71336" w:rsidRDefault="00E71336" w:rsidP="00E7133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theme="minorHAnsi"/>
          <w:strike/>
          <w:color w:val="7030A0"/>
          <w:shd w:val="clear" w:color="auto" w:fill="FFFFFF"/>
        </w:rPr>
        <w:t>Monday 9</w:t>
      </w:r>
      <w:r>
        <w:rPr>
          <w:rFonts w:ascii="Arial" w:eastAsia="Times New Roman" w:hAnsi="Arial" w:cstheme="minorHAnsi"/>
          <w:strike/>
          <w:color w:val="7030A0"/>
          <w:shd w:val="clear" w:color="auto" w:fill="FFFFFF"/>
          <w:vertAlign w:val="superscript"/>
        </w:rPr>
        <w:t>th</w:t>
      </w:r>
      <w:r>
        <w:rPr>
          <w:rFonts w:ascii="Arial" w:eastAsia="Times New Roman" w:hAnsi="Arial" w:cstheme="minorHAnsi"/>
          <w:strike/>
          <w:color w:val="7030A0"/>
          <w:shd w:val="clear" w:color="auto" w:fill="FFFFFF"/>
        </w:rPr>
        <w:t xml:space="preserve"> April –A. Christian – We Are Reading </w:t>
      </w:r>
      <w:r>
        <w:rPr>
          <w:rFonts w:ascii="Arial" w:eastAsia="Times New Roman" w:hAnsi="Arial" w:cstheme="minorHAnsi"/>
          <w:color w:val="7030A0"/>
          <w:shd w:val="clear" w:color="auto" w:fill="FFFFFF"/>
        </w:rPr>
        <w:t xml:space="preserve">– </w:t>
      </w:r>
      <w:r>
        <w:rPr>
          <w:rFonts w:ascii="Bradley Hand ITC" w:eastAsia="Times New Roman" w:hAnsi="Bradley Hand ITC" w:cstheme="minorHAnsi"/>
          <w:color w:val="FF0000"/>
          <w:shd w:val="clear" w:color="auto" w:fill="FFFFFF"/>
        </w:rPr>
        <w:t>Many thanks!</w:t>
      </w:r>
      <w:r>
        <w:rPr>
          <w:rFonts w:ascii="Arial" w:eastAsia="Times New Roman" w:hAnsi="Arial" w:cs="Arial"/>
          <w:color w:val="FF0000"/>
        </w:rPr>
        <w:t xml:space="preserve"> </w:t>
      </w:r>
    </w:p>
    <w:p w14:paraId="0810E98F" w14:textId="77777777" w:rsidR="00E71336" w:rsidRDefault="00E71336" w:rsidP="00E7133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strike/>
          <w:color w:val="7030A0"/>
          <w:shd w:val="clear" w:color="auto" w:fill="FFFFFF"/>
        </w:rPr>
        <w:t>Friday 13</w:t>
      </w:r>
      <w:r>
        <w:rPr>
          <w:rFonts w:ascii="Arial" w:eastAsia="Times New Roman" w:hAnsi="Arial" w:cstheme="minorHAnsi"/>
          <w:strike/>
          <w:color w:val="7030A0"/>
          <w:shd w:val="clear" w:color="auto" w:fill="FFFFFF"/>
          <w:vertAlign w:val="superscript"/>
        </w:rPr>
        <w:t>th</w:t>
      </w:r>
      <w:r>
        <w:rPr>
          <w:rFonts w:ascii="Arial" w:eastAsia="Times New Roman" w:hAnsi="Arial" w:cstheme="minorHAnsi"/>
          <w:strike/>
          <w:color w:val="7030A0"/>
          <w:shd w:val="clear" w:color="auto" w:fill="FFFFFF"/>
        </w:rPr>
        <w:t> April – D. Turner – Doddle Revision</w:t>
      </w:r>
      <w:r>
        <w:rPr>
          <w:rFonts w:ascii="Arial" w:eastAsia="Times New Roman" w:hAnsi="Arial" w:cstheme="minorHAnsi"/>
          <w:color w:val="7030A0"/>
          <w:shd w:val="clear" w:color="auto" w:fill="FFFFFF"/>
        </w:rPr>
        <w:t xml:space="preserve"> - </w:t>
      </w:r>
      <w:r>
        <w:rPr>
          <w:rFonts w:ascii="Bradley Hand ITC" w:eastAsia="Times New Roman" w:hAnsi="Bradley Hand ITC" w:cstheme="minorHAnsi"/>
          <w:color w:val="FF0000"/>
          <w:shd w:val="clear" w:color="auto" w:fill="FFFFFF"/>
        </w:rPr>
        <w:t>Postponed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0BDCC47B" w14:textId="77777777" w:rsidR="00E71336" w:rsidRDefault="00E71336" w:rsidP="00E7133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strike/>
          <w:color w:val="7030A0"/>
          <w:shd w:val="clear" w:color="auto" w:fill="FFFFFF"/>
        </w:rPr>
        <w:t>Wednesday 18</w:t>
      </w:r>
      <w:r>
        <w:rPr>
          <w:rFonts w:ascii="Arial" w:eastAsia="Times New Roman" w:hAnsi="Arial" w:cstheme="minorHAnsi"/>
          <w:strike/>
          <w:color w:val="7030A0"/>
          <w:shd w:val="clear" w:color="auto" w:fill="FFFFFF"/>
          <w:vertAlign w:val="superscript"/>
        </w:rPr>
        <w:t>th</w:t>
      </w:r>
      <w:r>
        <w:rPr>
          <w:rFonts w:ascii="Arial" w:eastAsia="Times New Roman" w:hAnsi="Arial" w:cstheme="minorHAnsi"/>
          <w:strike/>
          <w:color w:val="7030A0"/>
          <w:shd w:val="clear" w:color="auto" w:fill="FFFFFF"/>
        </w:rPr>
        <w:t> April – G. Moore – revision strategy</w:t>
      </w:r>
      <w:r>
        <w:rPr>
          <w:rFonts w:ascii="Bradley Hand ITC" w:eastAsia="Times New Roman" w:hAnsi="Bradley Hand ITC" w:cstheme="minorHAnsi"/>
          <w:color w:val="FF0000"/>
          <w:shd w:val="clear" w:color="auto" w:fill="FFFFFF"/>
        </w:rPr>
        <w:t xml:space="preserve"> Many thanks!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2F6A58A2" w14:textId="77777777" w:rsidR="00E71336" w:rsidRDefault="00E71336" w:rsidP="00E7133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strike/>
          <w:color w:val="7030A0"/>
          <w:shd w:val="clear" w:color="auto" w:fill="FFFFFF"/>
        </w:rPr>
        <w:t>Friday 27</w:t>
      </w:r>
      <w:r>
        <w:rPr>
          <w:rFonts w:ascii="Arial" w:eastAsia="Times New Roman" w:hAnsi="Arial" w:cstheme="minorHAnsi"/>
          <w:strike/>
          <w:color w:val="7030A0"/>
          <w:shd w:val="clear" w:color="auto" w:fill="FFFFFF"/>
          <w:vertAlign w:val="superscript"/>
        </w:rPr>
        <w:t>th</w:t>
      </w:r>
      <w:r>
        <w:rPr>
          <w:rFonts w:ascii="Arial" w:eastAsia="Times New Roman" w:hAnsi="Arial" w:cstheme="minorHAnsi"/>
          <w:strike/>
          <w:color w:val="7030A0"/>
          <w:shd w:val="clear" w:color="auto" w:fill="FFFFFF"/>
        </w:rPr>
        <w:t> April – A. Halsall</w:t>
      </w:r>
      <w:r>
        <w:rPr>
          <w:rFonts w:ascii="Arial" w:eastAsia="Times New Roman" w:hAnsi="Arial" w:cstheme="minorHAnsi"/>
          <w:color w:val="7030A0"/>
          <w:shd w:val="clear" w:color="auto" w:fill="FFFFFF"/>
        </w:rPr>
        <w:t xml:space="preserve"> </w:t>
      </w:r>
      <w:r>
        <w:rPr>
          <w:rFonts w:ascii="Bradley Hand ITC" w:eastAsia="Times New Roman" w:hAnsi="Bradley Hand ITC" w:cstheme="minorHAnsi"/>
          <w:color w:val="FF0000"/>
          <w:shd w:val="clear" w:color="auto" w:fill="FFFFFF"/>
        </w:rPr>
        <w:t>Many thanks!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1DD7104D" w14:textId="77777777" w:rsidR="00E71336" w:rsidRDefault="00E71336" w:rsidP="00E7133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strike/>
          <w:color w:val="7030A0"/>
          <w:shd w:val="clear" w:color="auto" w:fill="FFFFFF"/>
        </w:rPr>
        <w:t>Friday 4</w:t>
      </w:r>
      <w:r>
        <w:rPr>
          <w:rFonts w:ascii="Arial" w:eastAsia="Times New Roman" w:hAnsi="Arial" w:cstheme="minorHAnsi"/>
          <w:strike/>
          <w:color w:val="7030A0"/>
          <w:shd w:val="clear" w:color="auto" w:fill="FFFFFF"/>
          <w:vertAlign w:val="superscript"/>
        </w:rPr>
        <w:t>th</w:t>
      </w:r>
      <w:r>
        <w:rPr>
          <w:rFonts w:ascii="Arial" w:eastAsia="Times New Roman" w:hAnsi="Arial" w:cstheme="minorHAnsi"/>
          <w:strike/>
          <w:color w:val="7030A0"/>
          <w:shd w:val="clear" w:color="auto" w:fill="FFFFFF"/>
        </w:rPr>
        <w:t> May – D. Turner – Read Write Gold</w:t>
      </w:r>
      <w:r>
        <w:rPr>
          <w:rFonts w:ascii="Arial" w:eastAsia="Times New Roman" w:hAnsi="Arial" w:cstheme="minorHAnsi"/>
          <w:color w:val="7030A0"/>
          <w:shd w:val="clear" w:color="auto" w:fill="FFFFFF"/>
        </w:rPr>
        <w:t xml:space="preserve"> - </w:t>
      </w:r>
      <w:r>
        <w:rPr>
          <w:rFonts w:ascii="Bradley Hand ITC" w:eastAsia="Times New Roman" w:hAnsi="Bradley Hand ITC" w:cstheme="minorHAnsi"/>
          <w:color w:val="FF0000"/>
          <w:shd w:val="clear" w:color="auto" w:fill="FFFFFF"/>
        </w:rPr>
        <w:t>Many thanks!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5E991E75" w14:textId="77777777" w:rsidR="00E71336" w:rsidRDefault="00E71336" w:rsidP="00E7133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</w:rPr>
      </w:pPr>
      <w:r>
        <w:rPr>
          <w:rFonts w:ascii="Arial" w:eastAsia="Times New Roman" w:hAnsi="Arial" w:cstheme="minorHAnsi"/>
          <w:color w:val="7030A0"/>
        </w:rPr>
        <w:t>Friday 14</w:t>
      </w:r>
      <w:r>
        <w:rPr>
          <w:rFonts w:ascii="Arial" w:eastAsia="Times New Roman" w:hAnsi="Arial" w:cstheme="minorHAnsi"/>
          <w:color w:val="7030A0"/>
          <w:vertAlign w:val="superscript"/>
        </w:rPr>
        <w:t>th</w:t>
      </w:r>
      <w:r>
        <w:rPr>
          <w:rFonts w:ascii="Arial" w:eastAsia="Times New Roman" w:hAnsi="Arial" w:cstheme="minorHAnsi"/>
          <w:color w:val="7030A0"/>
        </w:rPr>
        <w:t xml:space="preserve"> May – C. Rowson and K. </w:t>
      </w:r>
      <w:proofErr w:type="spellStart"/>
      <w:r>
        <w:rPr>
          <w:rFonts w:ascii="Arial" w:eastAsia="Times New Roman" w:hAnsi="Arial" w:cstheme="minorHAnsi"/>
          <w:color w:val="7030A0"/>
        </w:rPr>
        <w:t>McPartlan</w:t>
      </w:r>
      <w:proofErr w:type="spellEnd"/>
      <w:r>
        <w:rPr>
          <w:rFonts w:ascii="Arial" w:eastAsia="Times New Roman" w:hAnsi="Arial" w:cstheme="minorHAnsi"/>
          <w:color w:val="7030A0"/>
        </w:rPr>
        <w:t xml:space="preserve"> – knowledge retrieval </w:t>
      </w:r>
    </w:p>
    <w:p w14:paraId="33324918" w14:textId="77777777" w:rsidR="00E71336" w:rsidRDefault="00E71336" w:rsidP="00E7133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</w:rPr>
      </w:pPr>
      <w:r>
        <w:rPr>
          <w:rFonts w:ascii="Arial" w:eastAsia="Times New Roman" w:hAnsi="Arial" w:cstheme="minorHAnsi"/>
          <w:color w:val="7030A0"/>
        </w:rPr>
        <w:t>Wednesday 23</w:t>
      </w:r>
      <w:r>
        <w:rPr>
          <w:rFonts w:ascii="Arial" w:eastAsia="Times New Roman" w:hAnsi="Arial" w:cstheme="minorHAnsi"/>
          <w:color w:val="7030A0"/>
          <w:vertAlign w:val="superscript"/>
        </w:rPr>
        <w:t>rd</w:t>
      </w:r>
      <w:r>
        <w:rPr>
          <w:rFonts w:ascii="Arial" w:eastAsia="Times New Roman" w:hAnsi="Arial" w:cstheme="minorHAnsi"/>
          <w:color w:val="7030A0"/>
        </w:rPr>
        <w:t xml:space="preserve"> May – J. Mayor</w:t>
      </w:r>
      <w:r>
        <w:rPr>
          <w:rFonts w:ascii="Arial" w:eastAsia="Times New Roman" w:hAnsi="Arial" w:cs="Arial"/>
          <w:color w:val="7030A0"/>
        </w:rPr>
        <w:t xml:space="preserve"> </w:t>
      </w:r>
    </w:p>
    <w:p w14:paraId="2B2AE859" w14:textId="77777777" w:rsidR="00E71336" w:rsidRDefault="00E71336" w:rsidP="00E71336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000000"/>
          <w:shd w:val="clear" w:color="auto" w:fill="FFFFFF"/>
        </w:rPr>
        <w:t> </w:t>
      </w:r>
    </w:p>
    <w:p w14:paraId="282074E0" w14:textId="77777777" w:rsidR="0046091B" w:rsidRDefault="0046091B"/>
    <w:sectPr w:rsidR="00460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7554"/>
    <w:multiLevelType w:val="multilevel"/>
    <w:tmpl w:val="D018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273B0B"/>
    <w:multiLevelType w:val="multilevel"/>
    <w:tmpl w:val="A6B2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FF13D9"/>
    <w:multiLevelType w:val="multilevel"/>
    <w:tmpl w:val="3436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131879"/>
    <w:multiLevelType w:val="multilevel"/>
    <w:tmpl w:val="185A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6"/>
    <w:rsid w:val="0046091B"/>
    <w:rsid w:val="00E7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A5885"/>
  <w15:chartTrackingRefBased/>
  <w15:docId w15:val="{EA3896E5-7E1B-4345-89BE-396F8CA8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33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13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1336"/>
  </w:style>
  <w:style w:type="character" w:styleId="Emphasis">
    <w:name w:val="Emphasis"/>
    <w:basedOn w:val="DefaultParagraphFont"/>
    <w:uiPriority w:val="20"/>
    <w:qFormat/>
    <w:rsid w:val="00E71336"/>
    <w:rPr>
      <w:i/>
      <w:iCs/>
    </w:rPr>
  </w:style>
  <w:style w:type="character" w:styleId="Strong">
    <w:name w:val="Strong"/>
    <w:basedOn w:val="DefaultParagraphFont"/>
    <w:uiPriority w:val="22"/>
    <w:qFormat/>
    <w:rsid w:val="00E71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13" Type="http://schemas.openxmlformats.org/officeDocument/2006/relationships/image" Target="cid:ec83b831-426b-4f00-ac78-1e6e4f92d9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TxGXiuLgb4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es.com" TargetMode="External"/><Relationship Id="rId5" Type="http://schemas.openxmlformats.org/officeDocument/2006/relationships/hyperlink" Target="https://www.youtube.com/watch?v=KTxGXiuLgb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es.com/news/eight-easy-ways-tackle-low-level-disrup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s.com/news/eight-easy-ways-tackle-low-level-disrup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J Harris</cp:lastModifiedBy>
  <cp:revision>1</cp:revision>
  <dcterms:created xsi:type="dcterms:W3CDTF">2018-05-08T07:03:00Z</dcterms:created>
  <dcterms:modified xsi:type="dcterms:W3CDTF">2018-05-08T07:05:00Z</dcterms:modified>
</cp:coreProperties>
</file>