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alWeb"/>
        <w:spacing w:after="160"/>
        <w:jc w:val="center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B0F0"/>
          <w:sz w:val="28"/>
          <w:szCs w:val="22"/>
        </w:rPr>
        <w:t>WLD Teaching and Learning Digest – w/c 11</w:t>
      </w:r>
      <w:r>
        <w:rPr>
          <w:rFonts w:ascii="Calibri" w:hAnsi="Calibri" w:cs="Calibri"/>
          <w:b/>
          <w:color w:val="00B0F0"/>
          <w:sz w:val="28"/>
          <w:szCs w:val="22"/>
          <w:vertAlign w:val="superscript"/>
        </w:rPr>
        <w:t>th</w:t>
      </w:r>
      <w:r>
        <w:rPr>
          <w:rFonts w:ascii="Calibri" w:hAnsi="Calibri" w:cs="Calibri"/>
          <w:b/>
          <w:color w:val="00B0F0"/>
          <w:sz w:val="28"/>
          <w:szCs w:val="22"/>
        </w:rPr>
        <w:t xml:space="preserve"> December 2017</w:t>
      </w:r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45911" w:themeColor="accent2" w:themeShade="BF"/>
          <w:u w:val="single"/>
        </w:rPr>
        <w:t>This week: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707390" cy="655320"/>
            <wp:effectExtent l="0" t="0" r="0" b="0"/>
            <wp:docPr id="1" name="Picture 1" descr="cid:341efe8d-f753-4987-9b7c-a27a639d87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49927" descr="cid:341efe8d-f753-4987-9b7c-a27a639d874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theme="minorHAnsi"/>
          <w:color w:val="C45911" w:themeColor="accent2" w:themeShade="BF"/>
          <w:sz w:val="22"/>
          <w:szCs w:val="22"/>
        </w:rPr>
        <w:t xml:space="preserve">Thought for the week this week is </w:t>
      </w:r>
      <w:r>
        <w:rPr>
          <w:rFonts w:ascii="Arial" w:hAnsi="Arial" w:cstheme="minorHAnsi"/>
          <w:b/>
          <w:color w:val="C45911" w:themeColor="accent2" w:themeShade="BF"/>
          <w:sz w:val="22"/>
          <w:szCs w:val="22"/>
        </w:rPr>
        <w:t>CHRISTMAS</w:t>
      </w:r>
      <w:r>
        <w:rPr>
          <w:rFonts w:ascii="Arial" w:hAnsi="Arial" w:cstheme="minorHAnsi"/>
          <w:color w:val="C45911" w:themeColor="accent2" w:themeShade="BF"/>
          <w:sz w:val="22"/>
          <w:szCs w:val="22"/>
        </w:rPr>
        <w:t>. There is a PowerPoint with a video about Christmas around the world and I have also included a sing-along video of ‘Jingle Bells’ in French.  Let’s hear these singing voices around school this week in form time! Prize for the best form heard!</w:t>
      </w:r>
    </w:p>
    <w:p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C45911" w:themeColor="accent2" w:themeShade="BF"/>
          <w:sz w:val="22"/>
          <w:szCs w:val="22"/>
        </w:rPr>
        <w:t>Remember to use your ‘alternative advent calendars’ in form</w:t>
      </w:r>
    </w:p>
    <w:p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C45911" w:themeColor="accent2" w:themeShade="BF"/>
          <w:sz w:val="22"/>
          <w:szCs w:val="22"/>
        </w:rPr>
        <w:t>Wednesday – SW</w:t>
      </w:r>
      <w:r>
        <w:rPr>
          <w:rFonts w:ascii="Calibri" w:hAnsi="Calibri" w:cstheme="minorHAnsi"/>
          <w:color w:val="C45911" w:themeColor="accent2" w:themeShade="BF"/>
          <w:sz w:val="22"/>
          <w:szCs w:val="22"/>
        </w:rPr>
        <w:t xml:space="preserve"> is leading a T&amp;L Exchange</w:t>
      </w:r>
    </w:p>
    <w:p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C45911" w:themeColor="accent2" w:themeShade="BF"/>
          <w:sz w:val="22"/>
          <w:szCs w:val="22"/>
        </w:rPr>
        <w:t>Friday – LG meeting with Subject Mentors for Trainee Teachers after Christmas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theme="minorHAnsi"/>
          <w:color w:val="C45911" w:themeColor="accent2" w:themeShade="BF"/>
          <w:sz w:val="22"/>
          <w:szCs w:val="22"/>
        </w:rPr>
        <w:t> </w:t>
      </w:r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B050"/>
          <w:u w:val="single"/>
        </w:rPr>
        <w:t>Teaching Resource of the Week</w:t>
      </w:r>
    </w:p>
    <w:p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Helvetica" w:eastAsia="Times New Roman" w:hAnsi="Helvetica" w:cs="Helvetica"/>
          <w:color w:val="00B050"/>
          <w:sz w:val="21"/>
          <w:szCs w:val="21"/>
        </w:rPr>
        <w:t>Pete Sanderson and Lesson Toolbox - Collator of great ideas shared under the hashtag</w:t>
      </w:r>
      <w:proofErr w:type="gramStart"/>
      <w:r>
        <w:rPr>
          <w:rFonts w:ascii="Helvetica" w:eastAsia="Times New Roman" w:hAnsi="Helvetica" w:cs="Helvetica"/>
          <w:color w:val="00B050"/>
          <w:sz w:val="21"/>
          <w:szCs w:val="21"/>
        </w:rPr>
        <w:t>  </w:t>
      </w:r>
      <w:proofErr w:type="gramEnd"/>
      <w:hyperlink r:id="rId7" w:tgtFrame="_blank" w:history="1">
        <w:r>
          <w:rPr>
            <w:rStyle w:val="Hyperlink"/>
            <w:rFonts w:ascii="Helvetica" w:eastAsia="Times New Roman" w:hAnsi="Helvetica" w:cs="Helvetica"/>
            <w:strike/>
            <w:color w:val="00B050"/>
            <w:sz w:val="21"/>
            <w:szCs w:val="21"/>
          </w:rPr>
          <w:t>#I</w:t>
        </w:r>
      </w:hyperlink>
      <w:hyperlink r:id="rId8" w:tgtFrame="_blank" w:history="1">
        <w:r>
          <w:rPr>
            <w:rStyle w:val="Hyperlink"/>
            <w:rFonts w:ascii="Helvetica" w:eastAsia="Times New Roman" w:hAnsi="Helvetica" w:cs="Helvetica"/>
            <w:b/>
            <w:bCs/>
            <w:color w:val="00B050"/>
            <w:sz w:val="21"/>
            <w:szCs w:val="21"/>
          </w:rPr>
          <w:t>wishyoutaughtmykids.</w:t>
        </w:r>
      </w:hyperlink>
      <w:r>
        <w:rPr>
          <w:rFonts w:eastAsia="Times New Roman"/>
          <w:color w:val="00B050"/>
        </w:rPr>
        <w:t xml:space="preserve"> </w:t>
      </w:r>
      <w:r>
        <w:rPr>
          <w:rFonts w:ascii="Helvetica" w:eastAsia="Times New Roman" w:hAnsi="Helvetica" w:cs="Helvetica"/>
          <w:color w:val="00B050"/>
          <w:sz w:val="21"/>
          <w:szCs w:val="21"/>
        </w:rPr>
        <w:t>Pete shares ideas from far and wide. If you ever need inspiration check out the Lesson Toolbox Twitter feed or his site - </w:t>
      </w:r>
      <w:hyperlink r:id="rId9" w:tgtFrame="_blank" w:history="1">
        <w:r>
          <w:rPr>
            <w:rStyle w:val="Hyperlink"/>
            <w:rFonts w:ascii="Helvetica" w:eastAsia="Times New Roman" w:hAnsi="Helvetica" w:cs="Helvetica"/>
            <w:b/>
            <w:i/>
            <w:color w:val="00B050"/>
            <w:sz w:val="21"/>
            <w:szCs w:val="21"/>
          </w:rPr>
          <w:t>https://lessontoolbox.wordpress.com/.</w:t>
        </w:r>
      </w:hyperlink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0070C0"/>
          <w:u w:val="single"/>
        </w:rPr>
        <w:t>Teaching Approach of the Week – Try It!</w:t>
      </w:r>
    </w:p>
    <w:p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Theme="minorHAnsi" w:hAnsiTheme="minorHAnsi" w:cstheme="minorHAnsi"/>
          <w:color w:val="0070C0"/>
          <w:lang w:val="en-US"/>
        </w:rPr>
        <w:t>‘</w:t>
      </w:r>
      <w:r>
        <w:rPr>
          <w:rFonts w:asciiTheme="minorHAnsi" w:hAnsiTheme="minorHAnsi" w:cstheme="minorHAnsi"/>
          <w:b/>
          <w:color w:val="0070C0"/>
          <w:lang w:val="en-US"/>
        </w:rPr>
        <w:t>R</w:t>
      </w:r>
      <w:r>
        <w:rPr>
          <w:rStyle w:val="Strong"/>
          <w:rFonts w:asciiTheme="minorHAnsi" w:hAnsiTheme="minorHAnsi" w:cstheme="minorHAnsi"/>
          <w:color w:val="0070C0"/>
          <w:lang w:val="en-US"/>
        </w:rPr>
        <w:t>eading aloud to students, especially weaker readers, is a good thing to do. </w:t>
      </w:r>
      <w:hyperlink r:id="rId10" w:history="1">
        <w:r>
          <w:rPr>
            <w:rStyle w:val="Hyperlink"/>
            <w:rFonts w:asciiTheme="minorHAnsi" w:hAnsiTheme="minorHAnsi" w:cstheme="minorHAnsi"/>
            <w:color w:val="0070C0"/>
            <w:lang w:val="en-US"/>
          </w:rPr>
          <w:t>Prosody</w:t>
        </w:r>
      </w:hyperlink>
      <w:r>
        <w:rPr>
          <w:rFonts w:asciiTheme="minorHAnsi" w:hAnsiTheme="minorHAnsi" w:cstheme="minorHAnsi"/>
          <w:color w:val="0070C0"/>
          <w:lang w:val="en-US"/>
        </w:rPr>
        <w:t xml:space="preserve"> – the sound and rhythm the words make – really aids comprehension, especially with difficult texts. </w:t>
      </w:r>
      <w:r>
        <w:rPr>
          <w:rStyle w:val="Emphasis"/>
          <w:rFonts w:asciiTheme="minorHAnsi" w:hAnsiTheme="minorHAnsi" w:cstheme="minorHAnsi"/>
          <w:color w:val="0070C0"/>
          <w:lang w:val="en-US"/>
        </w:rPr>
        <w:t>The problem comes when children are expected to follow along at the same speed.</w:t>
      </w:r>
      <w:r>
        <w:rPr>
          <w:rFonts w:asciiTheme="minorHAnsi" w:hAnsiTheme="minorHAnsi" w:cstheme="minorHAnsi"/>
          <w:color w:val="0070C0"/>
          <w:lang w:val="en-US"/>
        </w:rPr>
        <w:t xml:space="preserve"> Because they lack the fluency to do this their working memory overloads and derails comprehension.’ </w:t>
      </w:r>
    </w:p>
    <w:p>
      <w:pPr>
        <w:pStyle w:val="NormalWeb"/>
        <w:jc w:val="center"/>
        <w:rPr>
          <w:rFonts w:ascii="Arial" w:hAnsi="Arial" w:cs="Arial"/>
          <w:color w:val="000000"/>
        </w:rPr>
      </w:pPr>
      <w:hyperlink r:id="rId11" w:history="1">
        <w:r>
          <w:rPr>
            <w:rStyle w:val="Hyperlink"/>
            <w:rFonts w:asciiTheme="minorHAnsi" w:hAnsiTheme="minorHAnsi" w:cstheme="minorHAnsi"/>
            <w:color w:val="0563C1"/>
            <w:lang w:val="en-US"/>
          </w:rPr>
          <w:t>http://www.learningspy.co.uk/reading/reading-aloud-might-boost-students-memories/</w:t>
        </w:r>
      </w:hyperlink>
    </w:p>
    <w:p>
      <w:pPr>
        <w:pStyle w:val="NormalWeb"/>
        <w:jc w:val="center"/>
        <w:rPr>
          <w:rFonts w:ascii="Arial" w:hAnsi="Arial" w:cs="Arial"/>
          <w:color w:val="000000"/>
        </w:rPr>
      </w:pPr>
    </w:p>
    <w:p>
      <w:pPr>
        <w:pStyle w:val="NormalWeb"/>
        <w:spacing w:after="160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C00000"/>
          <w:u w:val="single"/>
        </w:rPr>
        <w:t>In Previous Digests… Keep using them if they worked!</w:t>
      </w:r>
    </w:p>
    <w:p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theme="minorHAnsi"/>
          <w:b/>
          <w:color w:val="C00000"/>
          <w:sz w:val="22"/>
          <w:szCs w:val="22"/>
        </w:rPr>
        <w:t>BUG the question: Box, underline, glance back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C00000"/>
          <w:sz w:val="22"/>
          <w:szCs w:val="22"/>
        </w:rPr>
        <w:t>Unlocking key words – discussing possible meanings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C00000"/>
          <w:sz w:val="22"/>
          <w:szCs w:val="22"/>
        </w:rPr>
        <w:t xml:space="preserve">The ‘BIG Question’ 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C00000"/>
          <w:sz w:val="22"/>
          <w:szCs w:val="22"/>
        </w:rPr>
        <w:t>Whole-school marking policy – please display the new pink poster in rooms (spares with LG)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C00000"/>
          <w:sz w:val="22"/>
          <w:szCs w:val="22"/>
        </w:rPr>
        <w:t>3B4ME – promoting independence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C00000"/>
          <w:sz w:val="22"/>
          <w:szCs w:val="22"/>
        </w:rPr>
        <w:t>Feedback – using exemplar work so students can compare with their own. Allowing students time to ask you questions about their work (make use of MAD time).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C00000"/>
          <w:sz w:val="22"/>
          <w:szCs w:val="22"/>
        </w:rPr>
        <w:t>Pose, Pause, Pounce and Bounce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C00000"/>
          <w:sz w:val="22"/>
          <w:szCs w:val="22"/>
        </w:rPr>
        <w:t>Developing recall skills: short quizzes, mini-whiteboards, etc.</w:t>
      </w:r>
    </w:p>
    <w:p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C00000"/>
          <w:sz w:val="22"/>
          <w:szCs w:val="22"/>
        </w:rPr>
        <w:t>Starter cards</w:t>
      </w:r>
    </w:p>
    <w:p>
      <w:pPr>
        <w:pStyle w:val="NormalWeb"/>
        <w:numPr>
          <w:ilvl w:val="0"/>
          <w:numId w:val="2"/>
        </w:numPr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C00000"/>
          <w:sz w:val="22"/>
          <w:szCs w:val="22"/>
        </w:rPr>
        <w:t xml:space="preserve">Reading for understanding – mini-whiteboards, quick quizzes, verbal questioning, think-pair-share etc. </w:t>
      </w:r>
    </w:p>
    <w:p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color w:val="7030A0"/>
          <w:u w:val="single"/>
        </w:rPr>
        <w:t>CPD Cascade</w:t>
      </w:r>
    </w:p>
    <w:p>
      <w:pPr>
        <w:pStyle w:val="NormalWeb"/>
        <w:spacing w:after="160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7030A0"/>
        </w:rPr>
        <w:t>GD</w:t>
      </w:r>
      <w:r>
        <w:rPr>
          <w:rFonts w:ascii="Calibri" w:hAnsi="Calibri" w:cs="Calibri"/>
          <w:color w:val="7030A0"/>
        </w:rPr>
        <w:t xml:space="preserve"> attended the Teaching and Learning Think </w:t>
      </w:r>
      <w:r>
        <w:rPr>
          <w:rFonts w:ascii="Calibri" w:hAnsi="Calibri" w:cs="Calibri"/>
          <w:color w:val="7030A0"/>
        </w:rPr>
        <w:t>Tank last week (many thanks</w:t>
      </w:r>
      <w:bookmarkStart w:id="0" w:name="_GoBack"/>
      <w:bookmarkEnd w:id="0"/>
      <w:r>
        <w:rPr>
          <w:rFonts w:ascii="Calibri" w:hAnsi="Calibri" w:cs="Calibri"/>
          <w:color w:val="7030A0"/>
        </w:rPr>
        <w:t>) and has shared this top tip - he calls it ‘Pen Snatcher’:</w:t>
      </w:r>
    </w:p>
    <w:p>
      <w:pPr>
        <w:pStyle w:val="NormalWeb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theme="minorHAnsi"/>
          <w:color w:val="7030A0"/>
          <w:sz w:val="22"/>
          <w:szCs w:val="22"/>
        </w:rPr>
        <w:lastRenderedPageBreak/>
        <w:t>Put students in pairs.</w:t>
      </w:r>
    </w:p>
    <w:p>
      <w:pPr>
        <w:pStyle w:val="NormalWeb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7030A0"/>
          <w:sz w:val="22"/>
          <w:szCs w:val="22"/>
        </w:rPr>
        <w:t xml:space="preserve">Give them a list of mixed up words linked to a topic (i.e. </w:t>
      </w:r>
      <w:proofErr w:type="spellStart"/>
      <w:r>
        <w:rPr>
          <w:rFonts w:ascii="Calibri" w:hAnsi="Calibri" w:cstheme="minorHAnsi"/>
          <w:color w:val="7030A0"/>
          <w:sz w:val="22"/>
          <w:szCs w:val="22"/>
        </w:rPr>
        <w:t>sntaa</w:t>
      </w:r>
      <w:proofErr w:type="spellEnd"/>
      <w:r>
        <w:rPr>
          <w:rFonts w:ascii="Calibri" w:hAnsi="Calibri" w:cstheme="minorHAnsi"/>
          <w:color w:val="7030A0"/>
          <w:sz w:val="22"/>
          <w:szCs w:val="22"/>
        </w:rPr>
        <w:t xml:space="preserve"> is ‘</w:t>
      </w:r>
      <w:proofErr w:type="spellStart"/>
      <w:r>
        <w:rPr>
          <w:rFonts w:ascii="Calibri" w:hAnsi="Calibri" w:cstheme="minorHAnsi"/>
          <w:color w:val="7030A0"/>
          <w:sz w:val="22"/>
          <w:szCs w:val="22"/>
        </w:rPr>
        <w:t>santa</w:t>
      </w:r>
      <w:proofErr w:type="spellEnd"/>
      <w:r>
        <w:rPr>
          <w:rFonts w:ascii="Calibri" w:hAnsi="Calibri" w:cstheme="minorHAnsi"/>
          <w:color w:val="7030A0"/>
          <w:sz w:val="22"/>
          <w:szCs w:val="22"/>
        </w:rPr>
        <w:t>’) – both have the same list.</w:t>
      </w:r>
    </w:p>
    <w:p>
      <w:pPr>
        <w:pStyle w:val="NormalWeb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7030A0"/>
          <w:sz w:val="22"/>
          <w:szCs w:val="22"/>
        </w:rPr>
        <w:t>Give one student a dice.</w:t>
      </w:r>
    </w:p>
    <w:p>
      <w:pPr>
        <w:pStyle w:val="NormalWeb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7030A0"/>
          <w:sz w:val="22"/>
          <w:szCs w:val="22"/>
        </w:rPr>
        <w:t>Give the other student has the pen.</w:t>
      </w:r>
    </w:p>
    <w:p>
      <w:pPr>
        <w:pStyle w:val="NormalWeb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7030A0"/>
          <w:sz w:val="22"/>
          <w:szCs w:val="22"/>
        </w:rPr>
        <w:t xml:space="preserve">The student with the pen has to unscramble the words while the other tries to throw a six on the dice.  This person keeps throwing until he/she throws a six. </w:t>
      </w:r>
    </w:p>
    <w:p>
      <w:pPr>
        <w:pStyle w:val="NormalWeb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7030A0"/>
          <w:sz w:val="22"/>
          <w:szCs w:val="22"/>
        </w:rPr>
        <w:t>As soon as a six is thrown, he snatches the pen from the other person and starts unscrambling the words on his/her list.</w:t>
      </w:r>
    </w:p>
    <w:p>
      <w:pPr>
        <w:pStyle w:val="NormalWeb"/>
        <w:numPr>
          <w:ilvl w:val="0"/>
          <w:numId w:val="3"/>
        </w:numPr>
        <w:spacing w:after="1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7030A0"/>
          <w:sz w:val="22"/>
          <w:szCs w:val="22"/>
        </w:rPr>
        <w:t>The first person to unscramble the full list, wins.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ADB"/>
    <w:multiLevelType w:val="multilevel"/>
    <w:tmpl w:val="F4E8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A7BDA"/>
    <w:multiLevelType w:val="multilevel"/>
    <w:tmpl w:val="8078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F48A3"/>
    <w:multiLevelType w:val="multilevel"/>
    <w:tmpl w:val="B0BA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CEE39-CE34-4124-B350-FD853D6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Iwishyoutaughtmykids?src=has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Iwishyoutaughtmykids?src=has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41efe8d-f753-4987-9b7c-a27a639d874e" TargetMode="External"/><Relationship Id="rId11" Type="http://schemas.openxmlformats.org/officeDocument/2006/relationships/hyperlink" Target="http://www.learningspy.co.uk/reading/reading-aloud-might-boost-students-memorie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sychologytoday.com/blog/reading-minds/201701/the-music-reading-alo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toolbox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2017-12-08T14:56:00Z</dcterms:created>
  <dcterms:modified xsi:type="dcterms:W3CDTF">2017-12-08T14:58:00Z</dcterms:modified>
</cp:coreProperties>
</file>