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11</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February 2019</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jc w:val="center"/>
        <w:rPr>
          <w:rFonts w:ascii="Arial" w:hAnsi="Arial" w:cs="Arial"/>
          <w:color w:val="000000"/>
        </w:rPr>
      </w:pPr>
      <w:bookmarkStart w:id="0" w:name="_GoBack"/>
      <w:bookmarkEnd w:id="0"/>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COMMUNICATION FOCUSES</w:t>
            </w:r>
          </w:p>
          <w:p>
            <w:pPr>
              <w:spacing w:before="100" w:beforeAutospacing="1"/>
              <w:jc w:val="center"/>
            </w:pPr>
            <w:r>
              <w:rPr>
                <w:rFonts w:eastAsia="Times New Roman" w:cstheme="minorHAnsi"/>
                <w:sz w:val="20"/>
              </w:rPr>
              <w:t> </w:t>
            </w:r>
          </w:p>
          <w:p>
            <w:pPr>
              <w:spacing w:before="100" w:beforeAutospacing="1"/>
              <w:jc w:val="center"/>
            </w:pPr>
            <w:r>
              <w:rPr>
                <w:rFonts w:eastAsia="Times New Roman" w:cstheme="minorHAnsi"/>
                <w:color w:val="0070C0"/>
                <w:sz w:val="20"/>
                <w:szCs w:val="20"/>
              </w:rPr>
              <w:t>Give students three key words from forthcoming lesson to research for homework (pre-teaching)</w:t>
            </w:r>
          </w:p>
          <w:p>
            <w:pPr>
              <w:spacing w:before="100" w:beforeAutospacing="1"/>
              <w:jc w:val="center"/>
            </w:pPr>
            <w:r>
              <w:rPr>
                <w:rFonts w:eastAsia="Times New Roman" w:cstheme="minorHAnsi"/>
                <w:color w:val="0070C0"/>
                <w:sz w:val="20"/>
                <w:szCs w:val="20"/>
              </w:rPr>
              <w:t> </w:t>
            </w:r>
          </w:p>
        </w:tc>
        <w:tc>
          <w:tcPr>
            <w:tcW w:w="384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INCLUSION FOR ALL</w:t>
            </w:r>
          </w:p>
          <w:p>
            <w:pPr>
              <w:spacing w:before="100" w:beforeAutospacing="1"/>
            </w:pPr>
            <w:r>
              <w:rPr>
                <w:rFonts w:eastAsia="Times New Roman" w:cstheme="minorHAnsi"/>
                <w:color w:val="0070C0"/>
                <w:sz w:val="20"/>
                <w:szCs w:val="20"/>
              </w:rPr>
              <w:t> </w:t>
            </w:r>
          </w:p>
          <w:p>
            <w:pPr>
              <w:spacing w:before="100" w:beforeAutospacing="1"/>
              <w:jc w:val="center"/>
            </w:pPr>
            <w:r>
              <w:rPr>
                <w:rFonts w:eastAsia="Times New Roman" w:cstheme="minorHAnsi"/>
                <w:color w:val="0070C0"/>
                <w:sz w:val="20"/>
              </w:rPr>
              <w:t xml:space="preserve">Set clear rules for group talk </w:t>
            </w:r>
          </w:p>
        </w:tc>
      </w:tr>
    </w:tbl>
    <w:p>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jc w:val="center"/>
        <w:rPr>
          <w:rFonts w:ascii="Arial" w:hAnsi="Arial" w:cs="Arial"/>
          <w:color w:val="000000"/>
        </w:rPr>
      </w:pPr>
      <w:r>
        <w:rPr>
          <w:rFonts w:ascii="Bradley Hand ITC" w:eastAsia="Times New Roman" w:hAnsi="Bradley Hand ITC" w:cstheme="minorHAnsi"/>
          <w:b/>
          <w:bCs/>
          <w:i/>
          <w:color w:val="7030A0"/>
          <w:u w:val="single"/>
          <w:shd w:val="clear" w:color="auto" w:fill="FFFFFF"/>
        </w:rPr>
        <w:t xml:space="preserve">Thank you thank you thank you </w:t>
      </w:r>
      <w:r>
        <w:rPr>
          <w:rFonts w:ascii="Bradley Hand ITC" w:eastAsia="Times New Roman" w:hAnsi="Bradley Hand ITC" w:cstheme="minorHAnsi"/>
          <w:b/>
          <w:bCs/>
          <w:color w:val="7030A0"/>
          <w:shd w:val="clear" w:color="auto" w:fill="FFFFFF"/>
        </w:rPr>
        <w:t xml:space="preserve">for your support with T&amp;L this </w:t>
      </w:r>
      <w:proofErr w:type="gramStart"/>
      <w:r>
        <w:rPr>
          <w:rFonts w:ascii="Bradley Hand ITC" w:eastAsia="Times New Roman" w:hAnsi="Bradley Hand ITC" w:cstheme="minorHAnsi"/>
          <w:b/>
          <w:bCs/>
          <w:color w:val="7030A0"/>
          <w:shd w:val="clear" w:color="auto" w:fill="FFFFFF"/>
        </w:rPr>
        <w:t>half-term</w:t>
      </w:r>
      <w:proofErr w:type="gramEnd"/>
      <w:r>
        <w:rPr>
          <w:rFonts w:ascii="Bradley Hand ITC" w:eastAsia="Times New Roman" w:hAnsi="Bradley Hand ITC" w:cstheme="minorHAnsi"/>
          <w:b/>
          <w:bCs/>
          <w:color w:val="7030A0"/>
          <w:shd w:val="clear" w:color="auto" w:fill="FFFFFF"/>
        </w:rPr>
        <w:t>.  I rely on you all for top tips, discussion and general quality first teaching. Enjoy the break…when it comes.</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t>This week:</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‘Fairtrade Fortnight’.  </w:t>
      </w:r>
      <w:r>
        <w:rPr>
          <w:rFonts w:ascii="Calibri" w:eastAsia="Times New Roman" w:hAnsi="Calibri" w:cs="Calibri"/>
          <w:bCs/>
          <w:color w:val="D05C12"/>
          <w:shd w:val="clear" w:color="auto" w:fill="FFFFFF"/>
        </w:rPr>
        <w:t xml:space="preserve">Materials </w:t>
      </w:r>
      <w:proofErr w:type="gramStart"/>
      <w:r>
        <w:rPr>
          <w:rFonts w:ascii="Calibri" w:eastAsia="Times New Roman" w:hAnsi="Calibri" w:cs="Calibri"/>
          <w:bCs/>
          <w:color w:val="D05C12"/>
          <w:shd w:val="clear" w:color="auto" w:fill="FFFFFF"/>
        </w:rPr>
        <w:t>have been emailed</w:t>
      </w:r>
      <w:proofErr w:type="gramEnd"/>
      <w:r>
        <w:rPr>
          <w:rFonts w:ascii="Calibri" w:eastAsia="Times New Roman" w:hAnsi="Calibri" w:cs="Calibri"/>
          <w:bCs/>
          <w:color w:val="D05C12"/>
          <w:shd w:val="clear" w:color="auto" w:fill="FFFFFF"/>
        </w:rPr>
        <w:t xml:space="preserve"> so please use them.  The Picture News ‘thought’ has also been emailed – interesting look at the ‘Clarks’ news story from last week.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NQTs</w:t>
      </w:r>
      <w:r>
        <w:rPr>
          <w:rFonts w:ascii="Calibri" w:eastAsia="Times New Roman" w:hAnsi="Calibri" w:cs="Calibri"/>
          <w:color w:val="FF0000"/>
        </w:rPr>
        <w:t xml:space="preserve"> </w:t>
      </w:r>
      <w:r>
        <w:rPr>
          <w:rFonts w:ascii="Calibri" w:eastAsia="Times New Roman" w:hAnsi="Calibri" w:cs="Calibri"/>
          <w:color w:val="C45911" w:themeColor="accent2" w:themeShade="BF"/>
        </w:rPr>
        <w:t>– Meetings this week as usual (CJ – Monday, postpone to later in week)</w:t>
      </w:r>
    </w:p>
    <w:p>
      <w:pPr>
        <w:pStyle w:val="Heading1"/>
        <w:rPr>
          <w:rFonts w:ascii="Arial" w:eastAsia="Times New Roman" w:hAnsi="Arial" w:cs="Arial"/>
          <w:color w:val="000000"/>
        </w:rPr>
      </w:pPr>
      <w:r>
        <w:rPr>
          <w:rFonts w:ascii="Arial" w:eastAsia="Times New Roman" w:hAnsi="Arial" w:cs="Arial"/>
          <w:bCs w:val="0"/>
          <w:color w:val="4BA524"/>
          <w:sz w:val="24"/>
          <w:szCs w:val="24"/>
        </w:rPr>
        <w:t>Our T&amp;L Targets:</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b/>
          <w:color w:val="4BA524"/>
        </w:rPr>
        <w:t>Brilliant teaching and learning</w:t>
      </w:r>
      <w:r>
        <w:rPr>
          <w:rFonts w:ascii="Arial" w:eastAsia="Times New Roman" w:hAnsi="Arial" w:cs="Arial"/>
          <w:color w:val="4BA524"/>
        </w:rPr>
        <w:t xml:space="preserve"> </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4BA524"/>
          <w:szCs w:val="22"/>
        </w:rPr>
        <w:t xml:space="preserve">Literacy                     </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4BA524"/>
        </w:rPr>
        <w:t>Challenge for all</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4BA524"/>
        </w:rPr>
        <w:t>Progress for students with low starting points</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4BA524"/>
        </w:rPr>
        <w:t>OM CLIPs – cross-curricular</w:t>
      </w:r>
      <w:r>
        <w:rPr>
          <w:rFonts w:ascii="Arial" w:eastAsia="Times New Roman" w:hAnsi="Arial" w:cs="Arial"/>
          <w:b/>
          <w:bCs/>
          <w:color w:val="000000"/>
        </w:rPr>
        <w:t> </w:t>
      </w:r>
    </w:p>
    <w:p>
      <w:pPr>
        <w:pStyle w:val="Heading1"/>
        <w:rPr>
          <w:rFonts w:ascii="Arial" w:eastAsia="Times New Roman" w:hAnsi="Arial" w:cs="Arial"/>
          <w:color w:val="000000"/>
        </w:rPr>
      </w:pPr>
      <w:r>
        <w:rPr>
          <w:rFonts w:ascii="Arial" w:eastAsia="Times New Roman" w:hAnsi="Arial" w:cs="Arial"/>
          <w:bCs w:val="0"/>
          <w:color w:val="006FC9"/>
          <w:sz w:val="24"/>
          <w:szCs w:val="24"/>
        </w:rPr>
        <w:t>Reflections…</w:t>
      </w:r>
    </w:p>
    <w:p>
      <w:pPr>
        <w:spacing w:before="100" w:beforeAutospacing="1" w:after="100" w:afterAutospacing="1"/>
        <w:rPr>
          <w:rFonts w:ascii="Arial" w:hAnsi="Arial" w:cs="Arial"/>
          <w:color w:val="000000"/>
        </w:rPr>
      </w:pPr>
      <w:r>
        <w:rPr>
          <w:rFonts w:ascii="Arial" w:hAnsi="Arial" w:cs="Arial"/>
          <w:color w:val="0070C0"/>
          <w:lang w:val="en-US"/>
        </w:rPr>
        <w:t>This half-term, we have all been focusing 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56"/>
        <w:gridCol w:w="7293"/>
      </w:tblGrid>
      <w:tr>
        <w:tc>
          <w:tcPr>
            <w:tcW w:w="1723" w:type="dxa"/>
            <w:tcBorders>
              <w:top w:val="single" w:sz="4" w:space="0" w:color="auto"/>
              <w:left w:val="single" w:sz="4" w:space="0" w:color="auto"/>
              <w:bottom w:val="single" w:sz="4" w:space="0" w:color="auto"/>
              <w:right w:val="single" w:sz="4" w:space="0" w:color="auto"/>
            </w:tcBorders>
            <w:hideMark/>
          </w:tcPr>
          <w:p>
            <w:pPr>
              <w:spacing w:before="100" w:beforeAutospacing="1"/>
            </w:pPr>
            <w:r>
              <w:rPr>
                <w:color w:val="0070C0"/>
                <w:lang w:val="en-US"/>
              </w:rPr>
              <w:t>Communications</w:t>
            </w:r>
          </w:p>
        </w:tc>
        <w:tc>
          <w:tcPr>
            <w:tcW w:w="7293" w:type="dxa"/>
            <w:tcBorders>
              <w:top w:val="single" w:sz="4" w:space="0" w:color="auto"/>
              <w:left w:val="single" w:sz="4" w:space="0" w:color="auto"/>
              <w:bottom w:val="single" w:sz="4" w:space="0" w:color="auto"/>
              <w:right w:val="single" w:sz="4" w:space="0" w:color="auto"/>
            </w:tcBorders>
            <w:hideMark/>
          </w:tcPr>
          <w:p>
            <w:pPr>
              <w:numPr>
                <w:ilvl w:val="0"/>
                <w:numId w:val="3"/>
              </w:numPr>
              <w:spacing w:before="100" w:beforeAutospacing="1" w:after="100" w:afterAutospacing="1"/>
              <w:rPr>
                <w:rFonts w:eastAsia="Times New Roman"/>
              </w:rPr>
            </w:pPr>
            <w:r>
              <w:rPr>
                <w:rFonts w:eastAsia="Times New Roman"/>
                <w:color w:val="0070C0"/>
                <w:lang w:val="en-US"/>
              </w:rPr>
              <w:t>Promoting wider reading</w:t>
            </w:r>
          </w:p>
          <w:p>
            <w:pPr>
              <w:numPr>
                <w:ilvl w:val="0"/>
                <w:numId w:val="3"/>
              </w:numPr>
              <w:spacing w:before="100" w:beforeAutospacing="1" w:after="100" w:afterAutospacing="1"/>
              <w:rPr>
                <w:rFonts w:eastAsia="Times New Roman"/>
              </w:rPr>
            </w:pPr>
            <w:r>
              <w:rPr>
                <w:rFonts w:eastAsia="Times New Roman"/>
                <w:color w:val="0070C0"/>
                <w:lang w:val="en-US"/>
              </w:rPr>
              <w:t>Using WAGOLLs (exemplar answers to show students how to complete the task)</w:t>
            </w:r>
          </w:p>
          <w:p>
            <w:pPr>
              <w:numPr>
                <w:ilvl w:val="0"/>
                <w:numId w:val="3"/>
              </w:numPr>
              <w:spacing w:before="100" w:beforeAutospacing="1" w:after="100" w:afterAutospacing="1"/>
              <w:rPr>
                <w:rFonts w:eastAsia="Times New Roman"/>
              </w:rPr>
            </w:pPr>
            <w:r>
              <w:rPr>
                <w:rFonts w:eastAsia="Times New Roman"/>
                <w:color w:val="0070C0"/>
                <w:lang w:val="en-US"/>
              </w:rPr>
              <w:t>Promoting knowledge and understanding of subject-specific vocabulary</w:t>
            </w:r>
          </w:p>
          <w:p>
            <w:pPr>
              <w:numPr>
                <w:ilvl w:val="0"/>
                <w:numId w:val="3"/>
              </w:numPr>
              <w:spacing w:before="100" w:beforeAutospacing="1" w:after="100" w:afterAutospacing="1"/>
              <w:rPr>
                <w:rFonts w:eastAsia="Times New Roman"/>
              </w:rPr>
            </w:pPr>
            <w:r>
              <w:rPr>
                <w:rFonts w:eastAsia="Times New Roman"/>
                <w:color w:val="0070C0"/>
                <w:lang w:val="en-US"/>
              </w:rPr>
              <w:t>Making sure the literacy marking policy is embedded and evident in written work</w:t>
            </w:r>
          </w:p>
          <w:p>
            <w:pPr>
              <w:numPr>
                <w:ilvl w:val="0"/>
                <w:numId w:val="3"/>
              </w:numPr>
              <w:spacing w:before="100" w:beforeAutospacing="1" w:after="100" w:afterAutospacing="1"/>
              <w:rPr>
                <w:rFonts w:eastAsia="Times New Roman"/>
              </w:rPr>
            </w:pPr>
            <w:r>
              <w:rPr>
                <w:rFonts w:eastAsia="Times New Roman"/>
                <w:color w:val="0070C0"/>
                <w:lang w:val="en-US"/>
              </w:rPr>
              <w:t>Structuring group talk more effectively (using the new KAGAN card should help with this)</w:t>
            </w:r>
          </w:p>
        </w:tc>
      </w:tr>
      <w:tr>
        <w:tc>
          <w:tcPr>
            <w:tcW w:w="1723" w:type="dxa"/>
            <w:tcBorders>
              <w:top w:val="single" w:sz="4" w:space="0" w:color="auto"/>
              <w:left w:val="single" w:sz="4" w:space="0" w:color="auto"/>
              <w:bottom w:val="single" w:sz="4" w:space="0" w:color="auto"/>
              <w:right w:val="single" w:sz="4" w:space="0" w:color="auto"/>
            </w:tcBorders>
            <w:hideMark/>
          </w:tcPr>
          <w:p>
            <w:pPr>
              <w:spacing w:before="100" w:beforeAutospacing="1"/>
            </w:pPr>
            <w:r>
              <w:rPr>
                <w:color w:val="0070C0"/>
                <w:lang w:val="en-US"/>
              </w:rPr>
              <w:t>Climate for learning</w:t>
            </w:r>
          </w:p>
        </w:tc>
        <w:tc>
          <w:tcPr>
            <w:tcW w:w="7293" w:type="dxa"/>
            <w:tcBorders>
              <w:top w:val="single" w:sz="4" w:space="0" w:color="auto"/>
              <w:left w:val="single" w:sz="4" w:space="0" w:color="auto"/>
              <w:bottom w:val="single" w:sz="4" w:space="0" w:color="auto"/>
              <w:right w:val="single" w:sz="4" w:space="0" w:color="auto"/>
            </w:tcBorders>
            <w:hideMark/>
          </w:tcPr>
          <w:p>
            <w:pPr>
              <w:numPr>
                <w:ilvl w:val="0"/>
                <w:numId w:val="4"/>
              </w:numPr>
              <w:spacing w:before="100" w:beforeAutospacing="1" w:after="100" w:afterAutospacing="1"/>
              <w:rPr>
                <w:rFonts w:eastAsia="Times New Roman"/>
              </w:rPr>
            </w:pPr>
            <w:r>
              <w:rPr>
                <w:rFonts w:eastAsia="Times New Roman"/>
                <w:color w:val="0070C0"/>
                <w:lang w:val="en-US"/>
              </w:rPr>
              <w:t>Eradicating low-level off task chat</w:t>
            </w:r>
          </w:p>
          <w:p>
            <w:pPr>
              <w:numPr>
                <w:ilvl w:val="0"/>
                <w:numId w:val="4"/>
              </w:numPr>
              <w:spacing w:before="100" w:beforeAutospacing="1" w:after="100" w:afterAutospacing="1"/>
              <w:rPr>
                <w:rFonts w:eastAsia="Times New Roman"/>
              </w:rPr>
            </w:pPr>
            <w:r>
              <w:rPr>
                <w:rFonts w:eastAsia="Times New Roman"/>
                <w:color w:val="0070C0"/>
                <w:lang w:val="en-US"/>
              </w:rPr>
              <w:t>Maintaining consistently high expectations – every lesson, every day</w:t>
            </w:r>
          </w:p>
          <w:p>
            <w:pPr>
              <w:spacing w:before="100" w:beforeAutospacing="1"/>
            </w:pPr>
            <w:r>
              <w:rPr>
                <w:color w:val="0070C0"/>
                <w:lang w:val="en-US"/>
              </w:rPr>
              <w:t> </w:t>
            </w:r>
          </w:p>
        </w:tc>
      </w:tr>
    </w:tbl>
    <w:p>
      <w:pPr>
        <w:spacing w:before="100" w:beforeAutospacing="1" w:after="100" w:afterAutospacing="1"/>
        <w:rPr>
          <w:rFonts w:ascii="Arial" w:hAnsi="Arial" w:cs="Arial"/>
          <w:color w:val="000000"/>
        </w:rPr>
      </w:pPr>
      <w:r>
        <w:rPr>
          <w:rFonts w:ascii="Arial" w:hAnsi="Arial" w:cs="Arial"/>
          <w:color w:val="0070C0"/>
          <w:lang w:val="en-US"/>
        </w:rPr>
        <w:lastRenderedPageBreak/>
        <w:t> </w:t>
      </w:r>
    </w:p>
    <w:p>
      <w:pPr>
        <w:spacing w:before="100" w:beforeAutospacing="1" w:after="100" w:afterAutospacing="1"/>
        <w:rPr>
          <w:rFonts w:ascii="Arial" w:hAnsi="Arial" w:cs="Arial"/>
          <w:color w:val="000000"/>
        </w:rPr>
      </w:pPr>
      <w:r>
        <w:rPr>
          <w:rFonts w:ascii="Arial" w:hAnsi="Arial" w:cs="Arial"/>
          <w:color w:val="0070C0"/>
          <w:lang w:val="en-US"/>
        </w:rPr>
        <w:t xml:space="preserve">Middle Leaders have also visited Broughton High School and have provided feedback around </w:t>
      </w:r>
      <w:proofErr w:type="spellStart"/>
      <w:r>
        <w:rPr>
          <w:rFonts w:ascii="Arial" w:hAnsi="Arial" w:cs="Arial"/>
          <w:color w:val="0070C0"/>
          <w:lang w:val="en-US"/>
        </w:rPr>
        <w:t>behaviour</w:t>
      </w:r>
      <w:proofErr w:type="spellEnd"/>
      <w:r>
        <w:rPr>
          <w:rFonts w:ascii="Arial" w:hAnsi="Arial" w:cs="Arial"/>
          <w:color w:val="0070C0"/>
          <w:lang w:val="en-US"/>
        </w:rPr>
        <w:t xml:space="preserve"> for learning, challenge and expectations (consistency and </w:t>
      </w:r>
      <w:proofErr w:type="spellStart"/>
      <w:r>
        <w:rPr>
          <w:rFonts w:ascii="Arial" w:hAnsi="Arial" w:cs="Arial"/>
          <w:color w:val="0070C0"/>
          <w:lang w:val="en-US"/>
        </w:rPr>
        <w:t>perserverence</w:t>
      </w:r>
      <w:proofErr w:type="spellEnd"/>
      <w:r>
        <w:rPr>
          <w:rFonts w:ascii="Arial" w:hAnsi="Arial" w:cs="Arial"/>
          <w:color w:val="0070C0"/>
          <w:lang w:val="en-US"/>
        </w:rPr>
        <w:t>). A number of staff have also kindly shared ‘Top Tips’ and we have enjoyed ‘Pastries and Progress’ looking at WAGOLLs and their usage in lessons. Finally, we opened our doors during ‘Open Door Week’ and many of you gleaned ideas from your colleagues.  It has been busy!</w:t>
      </w:r>
    </w:p>
    <w:p>
      <w:pPr>
        <w:spacing w:before="100" w:beforeAutospacing="1" w:after="100" w:afterAutospacing="1"/>
        <w:rPr>
          <w:rFonts w:ascii="Arial" w:hAnsi="Arial" w:cs="Arial"/>
          <w:color w:val="000000"/>
        </w:rPr>
      </w:pPr>
      <w:r>
        <w:rPr>
          <w:rFonts w:ascii="Arial" w:hAnsi="Arial" w:cs="Arial"/>
          <w:color w:val="0070C0"/>
          <w:lang w:val="en-US"/>
        </w:rPr>
        <w:t>So, taking all of this into consideration:</w:t>
      </w:r>
    </w:p>
    <w:p>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70C0"/>
          <w:lang w:val="en-US"/>
        </w:rPr>
        <w:t xml:space="preserve">How have you embraced these focuses?  </w:t>
      </w:r>
    </w:p>
    <w:p>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70C0"/>
          <w:lang w:val="en-US"/>
        </w:rPr>
        <w:t xml:space="preserve">How could you evidence them within your planning?  </w:t>
      </w:r>
    </w:p>
    <w:p>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70C0"/>
          <w:lang w:val="en-US"/>
        </w:rPr>
        <w:t xml:space="preserve">We have provided mini-whiteboards and the KAGAN structures summary card.  Are you using them?  If you are, why?  If you are not, why?  </w:t>
      </w:r>
    </w:p>
    <w:p>
      <w:pPr>
        <w:spacing w:before="100" w:beforeAutospacing="1" w:after="100" w:afterAutospacing="1"/>
        <w:rPr>
          <w:rFonts w:ascii="Arial" w:hAnsi="Arial" w:cs="Arial"/>
          <w:color w:val="000000"/>
        </w:rPr>
      </w:pPr>
      <w:r>
        <w:rPr>
          <w:rFonts w:ascii="Arial" w:hAnsi="Arial" w:cs="Arial"/>
          <w:color w:val="0070C0"/>
          <w:lang w:val="en-US"/>
        </w:rPr>
        <w:t xml:space="preserve">We, as teaching professionals who care passionately about what we do, </w:t>
      </w:r>
      <w:r>
        <w:rPr>
          <w:rFonts w:ascii="Arial" w:hAnsi="Arial" w:cs="Arial"/>
          <w:i/>
          <w:color w:val="0070C0"/>
          <w:lang w:val="en-US"/>
        </w:rPr>
        <w:t>think</w:t>
      </w:r>
      <w:r>
        <w:rPr>
          <w:rFonts w:ascii="Arial" w:hAnsi="Arial" w:cs="Arial"/>
          <w:color w:val="0070C0"/>
          <w:lang w:val="en-US"/>
        </w:rPr>
        <w:t xml:space="preserve"> about what we do; </w:t>
      </w:r>
      <w:proofErr w:type="gramStart"/>
      <w:r>
        <w:rPr>
          <w:rFonts w:ascii="Arial" w:hAnsi="Arial" w:cs="Arial"/>
          <w:color w:val="0070C0"/>
          <w:lang w:val="en-US"/>
        </w:rPr>
        <w:t>that’s</w:t>
      </w:r>
      <w:proofErr w:type="gramEnd"/>
      <w:r>
        <w:rPr>
          <w:rFonts w:ascii="Arial" w:hAnsi="Arial" w:cs="Arial"/>
          <w:color w:val="0070C0"/>
          <w:lang w:val="en-US"/>
        </w:rPr>
        <w:t xml:space="preserve"> what drives improvement. </w:t>
      </w:r>
    </w:p>
    <w:p>
      <w:pPr>
        <w:pStyle w:val="Heading1"/>
        <w:rPr>
          <w:rFonts w:ascii="Arial" w:eastAsia="Times New Roman" w:hAnsi="Arial" w:cs="Arial"/>
          <w:color w:val="000000"/>
        </w:rPr>
      </w:pPr>
      <w:r>
        <w:rPr>
          <w:rFonts w:ascii="Arial" w:eastAsia="Times New Roman" w:hAnsi="Arial" w:cs="Arial"/>
          <w:bCs w:val="0"/>
          <w:color w:val="C00000"/>
          <w:sz w:val="24"/>
          <w:szCs w:val="24"/>
          <w:shd w:val="clear" w:color="auto" w:fill="FFFFFF"/>
        </w:rPr>
        <w:t>Looking Ahead…</w:t>
      </w:r>
    </w:p>
    <w:p>
      <w:pPr>
        <w:shd w:val="clear" w:color="auto" w:fill="FFFFFF"/>
        <w:spacing w:before="100" w:beforeAutospacing="1" w:after="100" w:afterAutospacing="1"/>
        <w:rPr>
          <w:rFonts w:ascii="Arial" w:hAnsi="Arial" w:cs="Arial"/>
          <w:color w:val="000000"/>
        </w:rPr>
      </w:pPr>
      <w:r>
        <w:rPr>
          <w:rFonts w:ascii="Calibri" w:eastAsia="Times New Roman" w:hAnsi="Calibri" w:cs="Calibri"/>
          <w:color w:val="C45911" w:themeColor="accent2" w:themeShade="BF"/>
        </w:rPr>
        <w:t xml:space="preserve">As classroom practitioners, ‘juggling lots of balls’ to optimise </w:t>
      </w:r>
      <w:proofErr w:type="gramStart"/>
      <w:r>
        <w:rPr>
          <w:rFonts w:ascii="Calibri" w:eastAsia="Times New Roman" w:hAnsi="Calibri" w:cs="Calibri"/>
          <w:color w:val="C45911" w:themeColor="accent2" w:themeShade="BF"/>
        </w:rPr>
        <w:t>progress,</w:t>
      </w:r>
      <w:proofErr w:type="gramEnd"/>
      <w:r>
        <w:rPr>
          <w:rFonts w:ascii="Calibri" w:eastAsia="Times New Roman" w:hAnsi="Calibri" w:cs="Calibri"/>
          <w:color w:val="C45911" w:themeColor="accent2" w:themeShade="BF"/>
        </w:rPr>
        <w:t xml:space="preserve"> sometimes it can be difficult to decipher the principle focuses.  Over the course of the next </w:t>
      </w:r>
      <w:proofErr w:type="gramStart"/>
      <w:r>
        <w:rPr>
          <w:rFonts w:ascii="Calibri" w:eastAsia="Times New Roman" w:hAnsi="Calibri" w:cs="Calibri"/>
          <w:color w:val="C45911" w:themeColor="accent2" w:themeShade="BF"/>
        </w:rPr>
        <w:t>half-term</w:t>
      </w:r>
      <w:proofErr w:type="gramEnd"/>
      <w:r>
        <w:rPr>
          <w:rFonts w:ascii="Calibri" w:eastAsia="Times New Roman" w:hAnsi="Calibri" w:cs="Calibri"/>
          <w:color w:val="C45911" w:themeColor="accent2" w:themeShade="BF"/>
        </w:rPr>
        <w:t>, we would like to continue to see:</w:t>
      </w:r>
    </w:p>
    <w:p>
      <w:pPr>
        <w:numPr>
          <w:ilvl w:val="0"/>
          <w:numId w:val="6"/>
        </w:numPr>
        <w:spacing w:before="100" w:beforeAutospacing="1" w:after="100" w:afterAutospacing="1"/>
        <w:rPr>
          <w:rFonts w:ascii="Arial" w:eastAsia="Times New Roman" w:hAnsi="Arial" w:cs="Arial"/>
          <w:color w:val="000000"/>
        </w:rPr>
      </w:pPr>
      <w:r>
        <w:rPr>
          <w:rFonts w:ascii="Calibri" w:eastAsia="Times New Roman" w:hAnsi="Calibri" w:cs="Calibri"/>
          <w:b/>
          <w:color w:val="BF8F00" w:themeColor="accent4" w:themeShade="BF"/>
        </w:rPr>
        <w:t>High expectations</w:t>
      </w:r>
      <w:r>
        <w:rPr>
          <w:rFonts w:ascii="Calibri" w:eastAsia="Times New Roman" w:hAnsi="Calibri" w:cs="Calibri"/>
          <w:color w:val="BF8F00" w:themeColor="accent4" w:themeShade="BF"/>
        </w:rPr>
        <w:t xml:space="preserve"> </w:t>
      </w:r>
      <w:r>
        <w:rPr>
          <w:rFonts w:ascii="Calibri" w:eastAsia="Times New Roman" w:hAnsi="Calibri" w:cs="Calibri"/>
          <w:color w:val="C45911" w:themeColor="accent2" w:themeShade="BF"/>
        </w:rPr>
        <w:t xml:space="preserve">– of work, attitude, equipment </w:t>
      </w:r>
      <w:proofErr w:type="spellStart"/>
      <w:r>
        <w:rPr>
          <w:rFonts w:ascii="Calibri" w:eastAsia="Times New Roman" w:hAnsi="Calibri" w:cs="Calibri"/>
          <w:color w:val="C45911" w:themeColor="accent2" w:themeShade="BF"/>
        </w:rPr>
        <w:t>etc</w:t>
      </w:r>
      <w:proofErr w:type="spellEnd"/>
    </w:p>
    <w:p>
      <w:pPr>
        <w:numPr>
          <w:ilvl w:val="0"/>
          <w:numId w:val="6"/>
        </w:numPr>
        <w:spacing w:before="100" w:beforeAutospacing="1" w:after="100" w:afterAutospacing="1"/>
        <w:rPr>
          <w:rFonts w:ascii="Arial" w:eastAsia="Times New Roman" w:hAnsi="Arial" w:cs="Arial"/>
          <w:color w:val="000000"/>
        </w:rPr>
      </w:pPr>
      <w:r>
        <w:rPr>
          <w:rFonts w:ascii="Calibri" w:eastAsia="Times New Roman" w:hAnsi="Calibri" w:cs="Calibri"/>
          <w:color w:val="C45911" w:themeColor="accent2" w:themeShade="BF"/>
        </w:rPr>
        <w:t xml:space="preserve">That you have thought about how you will </w:t>
      </w:r>
      <w:r>
        <w:rPr>
          <w:rFonts w:ascii="Calibri" w:eastAsia="Times New Roman" w:hAnsi="Calibri" w:cs="Calibri"/>
          <w:b/>
          <w:color w:val="BF8F00" w:themeColor="accent4" w:themeShade="BF"/>
        </w:rPr>
        <w:t>structure group work</w:t>
      </w:r>
      <w:r>
        <w:rPr>
          <w:rFonts w:ascii="Calibri" w:eastAsia="Times New Roman" w:hAnsi="Calibri" w:cs="Calibri"/>
          <w:color w:val="BF8F00" w:themeColor="accent4" w:themeShade="BF"/>
        </w:rPr>
        <w:t xml:space="preserve"> </w:t>
      </w:r>
      <w:r>
        <w:rPr>
          <w:rFonts w:ascii="Calibri" w:eastAsia="Times New Roman" w:hAnsi="Calibri" w:cs="Calibri"/>
          <w:color w:val="C45911" w:themeColor="accent2" w:themeShade="BF"/>
        </w:rPr>
        <w:t>in advance of the lesson (i.e. used the KAGAN structures summary card)</w:t>
      </w:r>
    </w:p>
    <w:p>
      <w:pPr>
        <w:numPr>
          <w:ilvl w:val="0"/>
          <w:numId w:val="6"/>
        </w:numPr>
        <w:spacing w:before="100" w:beforeAutospacing="1" w:after="100" w:afterAutospacing="1"/>
        <w:rPr>
          <w:rFonts w:ascii="Arial" w:eastAsia="Times New Roman" w:hAnsi="Arial" w:cs="Arial"/>
          <w:color w:val="000000"/>
        </w:rPr>
      </w:pPr>
      <w:r>
        <w:rPr>
          <w:rFonts w:ascii="Calibri" w:eastAsia="Times New Roman" w:hAnsi="Calibri" w:cs="Calibri"/>
          <w:color w:val="C45911" w:themeColor="accent2" w:themeShade="BF"/>
        </w:rPr>
        <w:t xml:space="preserve">Use of </w:t>
      </w:r>
      <w:r>
        <w:rPr>
          <w:rFonts w:ascii="Calibri" w:eastAsia="Times New Roman" w:hAnsi="Calibri" w:cs="Calibri"/>
          <w:b/>
          <w:color w:val="BF8F00" w:themeColor="accent4" w:themeShade="BF"/>
        </w:rPr>
        <w:t>mini-whiteboards</w:t>
      </w:r>
      <w:r>
        <w:rPr>
          <w:rFonts w:ascii="Calibri" w:eastAsia="Times New Roman" w:hAnsi="Calibri" w:cs="Calibri"/>
          <w:color w:val="BF8F00" w:themeColor="accent4" w:themeShade="BF"/>
        </w:rPr>
        <w:t xml:space="preserve"> </w:t>
      </w:r>
      <w:r>
        <w:rPr>
          <w:rFonts w:ascii="Calibri" w:eastAsia="Times New Roman" w:hAnsi="Calibri" w:cs="Calibri"/>
          <w:color w:val="C45911" w:themeColor="accent2" w:themeShade="BF"/>
        </w:rPr>
        <w:t>– they facilitate, easily, challenge and pace</w:t>
      </w:r>
    </w:p>
    <w:p>
      <w:pPr>
        <w:numPr>
          <w:ilvl w:val="0"/>
          <w:numId w:val="6"/>
        </w:numPr>
        <w:spacing w:before="100" w:beforeAutospacing="1" w:after="100" w:afterAutospacing="1"/>
        <w:rPr>
          <w:rFonts w:ascii="Arial" w:eastAsia="Times New Roman" w:hAnsi="Arial" w:cs="Arial"/>
          <w:color w:val="000000"/>
        </w:rPr>
      </w:pPr>
      <w:r>
        <w:rPr>
          <w:rFonts w:ascii="Calibri" w:eastAsia="Times New Roman" w:hAnsi="Calibri" w:cs="Calibri"/>
          <w:color w:val="C45911" w:themeColor="accent2" w:themeShade="BF"/>
        </w:rPr>
        <w:t xml:space="preserve">Discussion of </w:t>
      </w:r>
      <w:r>
        <w:rPr>
          <w:rFonts w:ascii="Calibri" w:eastAsia="Times New Roman" w:hAnsi="Calibri" w:cs="Calibri"/>
          <w:b/>
          <w:color w:val="BF8F00" w:themeColor="accent4" w:themeShade="BF"/>
        </w:rPr>
        <w:t>communications issues</w:t>
      </w:r>
      <w:r>
        <w:rPr>
          <w:rFonts w:ascii="Calibri" w:eastAsia="Times New Roman" w:hAnsi="Calibri" w:cs="Calibri"/>
          <w:color w:val="BF8F00" w:themeColor="accent4" w:themeShade="BF"/>
        </w:rPr>
        <w:t xml:space="preserve"> </w:t>
      </w:r>
      <w:r>
        <w:rPr>
          <w:rFonts w:ascii="Calibri" w:eastAsia="Times New Roman" w:hAnsi="Calibri" w:cs="Calibri"/>
          <w:color w:val="C45911" w:themeColor="accent2" w:themeShade="BF"/>
        </w:rPr>
        <w:t>with students (identified through application of the written communication policy)</w:t>
      </w:r>
    </w:p>
    <w:p>
      <w:pPr>
        <w:pStyle w:val="Heading1"/>
        <w:rPr>
          <w:rFonts w:ascii="Arial" w:eastAsia="Times New Roman" w:hAnsi="Arial" w:cs="Arial"/>
          <w:color w:val="000000"/>
        </w:rPr>
      </w:pPr>
      <w:r>
        <w:rPr>
          <w:rFonts w:ascii="Arial" w:eastAsia="Times New Roman" w:hAnsi="Arial" w:cs="Arial"/>
          <w:bCs w:val="0"/>
          <w:color w:val="7030A0"/>
          <w:sz w:val="24"/>
          <w:szCs w:val="24"/>
          <w:shd w:val="clear" w:color="auto" w:fill="FFFFFF"/>
        </w:rPr>
        <w:t>Top Tips in Two this Half-Term    </w:t>
      </w:r>
    </w:p>
    <w:tbl>
      <w:tblPr>
        <w:tblpPr w:leftFromText="180" w:rightFromText="180" w:vertAnchor="text" w:horzAnchor="margin" w:tblpXSpec="center" w:tblpY="120"/>
        <w:tblW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897"/>
        <w:gridCol w:w="1298"/>
        <w:gridCol w:w="924"/>
        <w:gridCol w:w="2410"/>
      </w:tblGrid>
      <w:tr>
        <w:tc>
          <w:tcPr>
            <w:tcW w:w="897" w:type="dxa"/>
            <w:tcBorders>
              <w:top w:val="nil"/>
              <w:left w:val="nil"/>
              <w:bottom w:val="single" w:sz="12" w:space="0" w:color="8EAADB" w:themeColor="accent5" w:themeTint="99"/>
              <w:right w:val="nil"/>
            </w:tcBorders>
            <w:shd w:val="clear" w:color="auto" w:fill="FFFFFF" w:themeFill="background1"/>
            <w:hideMark/>
          </w:tcPr>
          <w:p>
            <w:pPr>
              <w:spacing w:before="100" w:beforeAutospacing="1"/>
            </w:pPr>
            <w:r>
              <w:rPr>
                <w:rFonts w:cstheme="minorHAnsi"/>
                <w:b/>
                <w:bCs/>
              </w:rPr>
              <w:t>21</w:t>
            </w:r>
          </w:p>
        </w:tc>
        <w:tc>
          <w:tcPr>
            <w:tcW w:w="1298" w:type="dxa"/>
            <w:tcBorders>
              <w:top w:val="nil"/>
              <w:left w:val="nil"/>
              <w:bottom w:val="single" w:sz="12" w:space="0" w:color="8EAADB" w:themeColor="accent5" w:themeTint="99"/>
              <w:right w:val="nil"/>
            </w:tcBorders>
            <w:shd w:val="clear" w:color="auto" w:fill="FFFFFF" w:themeFill="background1"/>
            <w:hideMark/>
          </w:tcPr>
          <w:p>
            <w:pPr>
              <w:spacing w:before="100" w:beforeAutospacing="1"/>
              <w:jc w:val="right"/>
            </w:pPr>
            <w:r>
              <w:rPr>
                <w:rFonts w:cstheme="minorHAnsi"/>
                <w:b/>
                <w:bCs/>
                <w:color w:val="000000"/>
              </w:rPr>
              <w:t>11/02/19</w:t>
            </w:r>
          </w:p>
        </w:tc>
        <w:tc>
          <w:tcPr>
            <w:tcW w:w="924" w:type="dxa"/>
            <w:tcBorders>
              <w:top w:val="nil"/>
              <w:left w:val="nil"/>
              <w:bottom w:val="single" w:sz="12" w:space="0" w:color="8EAADB" w:themeColor="accent5" w:themeTint="99"/>
              <w:right w:val="nil"/>
            </w:tcBorders>
            <w:shd w:val="clear" w:color="auto" w:fill="FFFFFF" w:themeFill="background1"/>
            <w:hideMark/>
          </w:tcPr>
          <w:p>
            <w:pPr>
              <w:spacing w:before="100" w:beforeAutospacing="1"/>
            </w:pPr>
            <w:r>
              <w:rPr>
                <w:rFonts w:cstheme="minorHAnsi"/>
                <w:b/>
                <w:bCs/>
                <w:color w:val="000000" w:themeColor="text1"/>
              </w:rPr>
              <w:t>MON</w:t>
            </w:r>
          </w:p>
        </w:tc>
        <w:tc>
          <w:tcPr>
            <w:tcW w:w="2410" w:type="dxa"/>
            <w:tcBorders>
              <w:top w:val="nil"/>
              <w:left w:val="nil"/>
              <w:bottom w:val="single" w:sz="12" w:space="0" w:color="8EAADB" w:themeColor="accent5" w:themeTint="99"/>
              <w:right w:val="nil"/>
            </w:tcBorders>
            <w:shd w:val="clear" w:color="auto" w:fill="FFFFFF" w:themeFill="background1"/>
            <w:hideMark/>
          </w:tcPr>
          <w:p>
            <w:pPr>
              <w:spacing w:before="100" w:beforeAutospacing="1"/>
            </w:pPr>
            <w:r>
              <w:rPr>
                <w:rFonts w:cstheme="minorHAnsi"/>
                <w:b/>
                <w:bCs/>
                <w:color w:val="000000" w:themeColor="text1"/>
                <w:highlight w:val="yellow"/>
              </w:rPr>
              <w:t>CS</w:t>
            </w:r>
          </w:p>
        </w:tc>
      </w:tr>
    </w:tbl>
    <w:p>
      <w:pPr>
        <w:shd w:val="clear" w:color="auto" w:fill="FFFFFF"/>
        <w:spacing w:before="100" w:beforeAutospacing="1"/>
        <w:rPr>
          <w:rFonts w:ascii="Arial" w:hAnsi="Arial" w:cs="Arial"/>
          <w:color w:val="000000"/>
        </w:rPr>
      </w:pPr>
      <w:r>
        <w:rPr>
          <w:rFonts w:ascii="Arial" w:eastAsia="Times New Roman" w:hAnsi="Arial" w:cstheme="minorHAnsi"/>
          <w:b/>
          <w:bCs/>
          <w:color w:val="7030A0"/>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b/>
          <w:color w:val="808080" w:themeColor="background1" w:themeShade="8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7030A0"/>
          <w:shd w:val="clear" w:color="auto" w:fill="FFFFFF"/>
        </w:rPr>
        <w:t>New schedule to follow before half term.</w:t>
      </w:r>
    </w:p>
    <w:p>
      <w:pPr>
        <w:shd w:val="clear" w:color="auto" w:fill="FFFFFF"/>
        <w:spacing w:before="100" w:beforeAutospacing="1"/>
        <w:rPr>
          <w:rFonts w:ascii="Arial" w:hAnsi="Arial" w:cs="Arial"/>
          <w:color w:val="000000"/>
        </w:rPr>
      </w:pPr>
      <w:r>
        <w:rPr>
          <w:rFonts w:ascii="Arial" w:eastAsia="Times New Roman" w:hAnsi="Arial" w:cstheme="minorHAnsi"/>
          <w:b/>
          <w:color w:val="808080" w:themeColor="background1" w:themeShade="80"/>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b/>
          <w:color w:val="808080" w:themeColor="background1" w:themeShade="80"/>
          <w:u w:val="single"/>
          <w:shd w:val="clear" w:color="auto" w:fill="FFFFFF"/>
        </w:rPr>
        <w:t>CPD Cascade</w:t>
      </w:r>
    </w:p>
    <w:p>
      <w:pPr>
        <w:shd w:val="clear" w:color="auto" w:fill="FFFFFF"/>
        <w:spacing w:before="100" w:beforeAutospacing="1"/>
        <w:jc w:val="both"/>
        <w:rPr>
          <w:rFonts w:ascii="Arial" w:hAnsi="Arial" w:cs="Arial"/>
          <w:color w:val="000000"/>
        </w:rPr>
      </w:pPr>
      <w:r>
        <w:rPr>
          <w:rFonts w:ascii="Arial" w:eastAsia="Times New Roman" w:hAnsi="Arial" w:cstheme="minorHAnsi"/>
          <w:color w:val="808080" w:themeColor="background1" w:themeShade="80"/>
          <w:shd w:val="clear" w:color="auto" w:fill="FFFFFF"/>
        </w:rPr>
        <w:t> </w:t>
      </w:r>
      <w:r>
        <w:rPr>
          <w:rFonts w:ascii="Arial" w:eastAsia="Times New Roman" w:hAnsi="Arial" w:cstheme="minorHAnsi"/>
          <w:b/>
          <w:color w:val="808080" w:themeColor="background1" w:themeShade="80"/>
          <w:highlight w:val="yellow"/>
          <w:shd w:val="clear" w:color="auto" w:fill="FFFFFF"/>
        </w:rPr>
        <w:t>Date for next ODW: 11</w:t>
      </w:r>
      <w:r>
        <w:rPr>
          <w:rFonts w:ascii="Arial" w:eastAsia="Times New Roman" w:hAnsi="Arial" w:cstheme="minorHAnsi"/>
          <w:b/>
          <w:color w:val="808080" w:themeColor="background1" w:themeShade="80"/>
          <w:highlight w:val="yellow"/>
          <w:shd w:val="clear" w:color="auto" w:fill="FFFFFF"/>
          <w:vertAlign w:val="superscript"/>
        </w:rPr>
        <w:t>th</w:t>
      </w:r>
      <w:r>
        <w:rPr>
          <w:rFonts w:ascii="Arial" w:eastAsia="Times New Roman" w:hAnsi="Arial" w:cstheme="minorHAnsi"/>
          <w:b/>
          <w:color w:val="808080" w:themeColor="background1" w:themeShade="80"/>
          <w:highlight w:val="yellow"/>
          <w:shd w:val="clear" w:color="auto" w:fill="FFFFFF"/>
        </w:rPr>
        <w:t xml:space="preserve"> March 2019</w:t>
      </w:r>
    </w:p>
    <w:p>
      <w:pPr>
        <w:shd w:val="clear" w:color="auto" w:fill="FFFFFF"/>
        <w:spacing w:before="100" w:beforeAutospacing="1"/>
        <w:rPr>
          <w:rFonts w:ascii="Arial" w:hAnsi="Arial" w:cs="Arial"/>
          <w:color w:val="000000"/>
        </w:rPr>
      </w:pPr>
      <w:r>
        <w:rPr>
          <w:rFonts w:ascii="Arial" w:eastAsia="Times New Roman" w:hAnsi="Arial" w:cstheme="minorHAnsi"/>
          <w:color w:val="A6A6A6" w:themeColor="background1" w:themeShade="A6"/>
          <w:shd w:val="clear" w:color="auto" w:fill="FFFFFF"/>
        </w:rPr>
        <w:t> </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0F9E"/>
    <w:multiLevelType w:val="multilevel"/>
    <w:tmpl w:val="BF7EC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862AD"/>
    <w:multiLevelType w:val="multilevel"/>
    <w:tmpl w:val="AE66F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37BF9"/>
    <w:multiLevelType w:val="multilevel"/>
    <w:tmpl w:val="A55AF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D24B6"/>
    <w:multiLevelType w:val="multilevel"/>
    <w:tmpl w:val="270ED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BA1493"/>
    <w:multiLevelType w:val="multilevel"/>
    <w:tmpl w:val="05DA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927DD"/>
    <w:multiLevelType w:val="multilevel"/>
    <w:tmpl w:val="1A5CB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64BC4-A5B2-4883-8E08-17E4E7E2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2019-02-11T09:42:00Z</dcterms:created>
  <dcterms:modified xsi:type="dcterms:W3CDTF">2019-02-11T09:44:00Z</dcterms:modified>
</cp:coreProperties>
</file>