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</w:rPr>
        <w:t>WLD Teaching and Learning Digest – w/c 14</w:t>
      </w: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</w:rPr>
        <w:t xml:space="preserve"> January 2019</w:t>
      </w:r>
    </w:p>
    <w:p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tbl>
      <w:tblPr>
        <w:tblW w:w="0" w:type="auto"/>
        <w:jc w:val="center"/>
        <w:shd w:val="clear" w:color="auto" w:fill="F7CAA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3846"/>
      </w:tblGrid>
      <w:tr>
        <w:trPr>
          <w:jc w:val="center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NormalWeb"/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u w:val="single"/>
              </w:rPr>
              <w:t>COMMUNICATION FOCUSES</w:t>
            </w:r>
          </w:p>
          <w:p>
            <w:pPr>
              <w:pStyle w:val="NormalWeb"/>
              <w:jc w:val="center"/>
            </w:pPr>
            <w:r>
              <w:rPr>
                <w:rFonts w:ascii="Calibri" w:eastAsia="Times New Roman" w:hAnsi="Calibri" w:cs="Calibri"/>
                <w:color w:val="0070C0"/>
                <w:sz w:val="20"/>
              </w:rPr>
              <w:t>Use our policy when marking written work:</w:t>
            </w:r>
          </w:p>
          <w:tbl>
            <w:tblPr>
              <w:tblW w:w="0" w:type="auto"/>
              <w:tblBorders>
                <w:top w:val="single" w:sz="4" w:space="0" w:color="666666" w:themeColor="text1" w:themeTint="99"/>
                <w:left w:val="single" w:sz="4" w:space="0" w:color="666666" w:themeColor="text1" w:themeTint="99"/>
                <w:bottom w:val="single" w:sz="4" w:space="0" w:color="666666" w:themeColor="text1" w:themeTint="99"/>
                <w:right w:val="single" w:sz="4" w:space="0" w:color="666666" w:themeColor="text1" w:themeTint="99"/>
              </w:tblBorders>
              <w:tblLook w:val="01E0" w:firstRow="1" w:lastRow="1" w:firstColumn="1" w:lastColumn="1" w:noHBand="0" w:noVBand="0"/>
            </w:tblPr>
            <w:tblGrid>
              <w:gridCol w:w="1354"/>
              <w:gridCol w:w="3230"/>
            </w:tblGrid>
            <w:tr>
              <w:tc>
                <w:tcPr>
                  <w:tcW w:w="15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  <w:shd w:val="clear" w:color="auto" w:fill="000000" w:themeFill="text1"/>
                  <w:hideMark/>
                </w:tcPr>
                <w:p>
                  <w:pPr>
                    <w:pStyle w:val="NormalWeb"/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16"/>
                      <w:szCs w:val="36"/>
                    </w:rPr>
                    <w:t>SYMBOL</w:t>
                  </w:r>
                </w:p>
              </w:tc>
              <w:tc>
                <w:tcPr>
                  <w:tcW w:w="4117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000000" w:themeFill="text1"/>
                  <w:hideMark/>
                </w:tcPr>
                <w:p>
                  <w:pPr>
                    <w:pStyle w:val="NormalWeb"/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16"/>
                      <w:szCs w:val="36"/>
                    </w:rPr>
                    <w:t>WHAT DOES IT MEAN?</w:t>
                  </w:r>
                </w:p>
              </w:tc>
            </w:tr>
            <w:tr>
              <w:tc>
                <w:tcPr>
                  <w:tcW w:w="1548" w:type="dxa"/>
                  <w:tcBorders>
                    <w:top w:val="sing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U</w:t>
                  </w:r>
                </w:p>
              </w:tc>
              <w:tc>
                <w:tcPr>
                  <w:tcW w:w="4117" w:type="dxa"/>
                  <w:tcBorders>
                    <w:top w:val="sing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Underline headings</w:t>
                  </w:r>
                </w:p>
                <w:p>
                  <w:pPr>
                    <w:pStyle w:val="NormalWeb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 </w:t>
                  </w:r>
                </w:p>
              </w:tc>
            </w:tr>
            <w:tr>
              <w:tc>
                <w:tcPr>
                  <w:tcW w:w="1548" w:type="dxa"/>
                  <w:tcBorders>
                    <w:top w:val="sing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C</w:t>
                  </w:r>
                </w:p>
              </w:tc>
              <w:tc>
                <w:tcPr>
                  <w:tcW w:w="4117" w:type="dxa"/>
                  <w:tcBorders>
                    <w:top w:val="sing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Add the missing or amend the misplaced capital letter</w:t>
                  </w:r>
                </w:p>
                <w:p>
                  <w:pPr>
                    <w:pStyle w:val="NormalWeb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 </w:t>
                  </w:r>
                </w:p>
              </w:tc>
            </w:tr>
            <w:tr>
              <w:tc>
                <w:tcPr>
                  <w:tcW w:w="1548" w:type="dxa"/>
                  <w:tcBorders>
                    <w:top w:val="sing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P</w:t>
                  </w:r>
                </w:p>
              </w:tc>
              <w:tc>
                <w:tcPr>
                  <w:tcW w:w="4117" w:type="dxa"/>
                  <w:tcBorders>
                    <w:top w:val="sing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Add the missing or amend the misplaced punctuation mark</w:t>
                  </w:r>
                </w:p>
                <w:p>
                  <w:pPr>
                    <w:pStyle w:val="NormalWeb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 </w:t>
                  </w:r>
                </w:p>
              </w:tc>
            </w:tr>
            <w:tr>
              <w:tc>
                <w:tcPr>
                  <w:tcW w:w="1548" w:type="dxa"/>
                  <w:tcBorders>
                    <w:top w:val="sing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NP</w:t>
                  </w:r>
                </w:p>
              </w:tc>
              <w:tc>
                <w:tcPr>
                  <w:tcW w:w="4117" w:type="dxa"/>
                  <w:tcBorders>
                    <w:top w:val="sing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New paragraph needed</w:t>
                  </w:r>
                </w:p>
                <w:p>
                  <w:pPr>
                    <w:pStyle w:val="NormalWeb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 </w:t>
                  </w:r>
                </w:p>
              </w:tc>
            </w:tr>
            <w:tr>
              <w:tc>
                <w:tcPr>
                  <w:tcW w:w="1548" w:type="dxa"/>
                  <w:tcBorders>
                    <w:top w:val="sing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WW</w:t>
                  </w:r>
                </w:p>
              </w:tc>
              <w:tc>
                <w:tcPr>
                  <w:tcW w:w="4117" w:type="dxa"/>
                  <w:tcBorders>
                    <w:top w:val="sing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The wrong word has been used and needs to be amended (e.g. ‘there’ instead of ‘their’)</w:t>
                  </w:r>
                </w:p>
                <w:p>
                  <w:pPr>
                    <w:pStyle w:val="NormalWeb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 </w:t>
                  </w:r>
                </w:p>
              </w:tc>
            </w:tr>
            <w:tr>
              <w:tc>
                <w:tcPr>
                  <w:tcW w:w="1548" w:type="dxa"/>
                  <w:tcBorders>
                    <w:top w:val="sing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SP</w:t>
                  </w:r>
                </w:p>
              </w:tc>
              <w:tc>
                <w:tcPr>
                  <w:tcW w:w="4117" w:type="dxa"/>
                  <w:tcBorders>
                    <w:top w:val="sing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Correct the spelling error</w:t>
                  </w:r>
                </w:p>
                <w:p>
                  <w:pPr>
                    <w:pStyle w:val="NormalWeb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 </w:t>
                  </w:r>
                </w:p>
              </w:tc>
            </w:tr>
            <w:tr>
              <w:tc>
                <w:tcPr>
                  <w:tcW w:w="1548" w:type="dxa"/>
                  <w:tcBorders>
                    <w:top w:val="sing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EXP</w:t>
                  </w:r>
                </w:p>
              </w:tc>
              <w:tc>
                <w:tcPr>
                  <w:tcW w:w="4117" w:type="dxa"/>
                  <w:tcBorders>
                    <w:top w:val="sing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Make this sentence clearer</w:t>
                  </w:r>
                </w:p>
                <w:p>
                  <w:pPr>
                    <w:pStyle w:val="NormalWeb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 </w:t>
                  </w:r>
                </w:p>
              </w:tc>
            </w:tr>
            <w:tr>
              <w:tc>
                <w:tcPr>
                  <w:tcW w:w="1548" w:type="dxa"/>
                  <w:tcBorders>
                    <w:top w:val="doub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WO</w:t>
                  </w:r>
                </w:p>
              </w:tc>
              <w:tc>
                <w:tcPr>
                  <w:tcW w:w="4117" w:type="dxa"/>
                  <w:tcBorders>
                    <w:top w:val="double" w:sz="4" w:space="0" w:color="666666" w:themeColor="text1" w:themeTint="99"/>
                    <w:left w:val="single" w:sz="4" w:space="0" w:color="666666" w:themeColor="text1" w:themeTint="99"/>
                    <w:bottom w:val="single" w:sz="4" w:space="0" w:color="666666" w:themeColor="text1" w:themeTint="99"/>
                    <w:right w:val="single" w:sz="4" w:space="0" w:color="666666" w:themeColor="text1" w:themeTint="99"/>
                  </w:tcBorders>
                  <w:shd w:val="clear" w:color="auto" w:fill="FFFFFF" w:themeFill="background1"/>
                  <w:hideMark/>
                </w:tcPr>
                <w:p>
                  <w:pPr>
                    <w:pStyle w:val="NormalWeb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Put the words in the correct order</w:t>
                  </w:r>
                </w:p>
                <w:p>
                  <w:pPr>
                    <w:pStyle w:val="NormalWeb"/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36"/>
                    </w:rPr>
                    <w:t> </w:t>
                  </w:r>
                </w:p>
              </w:tc>
            </w:tr>
          </w:tbl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NormalWeb"/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u w:val="single"/>
              </w:rPr>
              <w:t>INCLUSION FOR ALL</w:t>
            </w:r>
          </w:p>
          <w:p>
            <w:pPr>
              <w:pStyle w:val="NormalWeb"/>
            </w:pPr>
            <w: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</w:p>
          <w:p>
            <w:pPr>
              <w:pStyle w:val="NormalWeb"/>
              <w:jc w:val="center"/>
            </w:pPr>
            <w:r>
              <w:rPr>
                <w:rFonts w:ascii="Calibri" w:eastAsia="Times New Roman" w:hAnsi="Calibri" w:cs="Calibri"/>
                <w:color w:val="0070C0"/>
                <w:sz w:val="20"/>
              </w:rPr>
              <w:t xml:space="preserve">Where possible, use buff or pastel coloured backgrounds on whiteboards and on handouts </w:t>
            </w:r>
          </w:p>
        </w:tc>
      </w:tr>
    </w:tbl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bCs/>
          <w:color w:val="C45911"/>
          <w:u w:val="single"/>
          <w:shd w:val="clear" w:color="auto" w:fill="FFFFFF"/>
        </w:rPr>
        <w:t>This week: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D05C12"/>
          <w:shd w:val="clear" w:color="auto" w:fill="FFFFFF"/>
        </w:rPr>
        <w:t>The </w:t>
      </w:r>
      <w:r>
        <w:rPr>
          <w:rFonts w:ascii="Calibri" w:eastAsia="Times New Roman" w:hAnsi="Calibri" w:cs="Calibri"/>
          <w:b/>
          <w:bCs/>
          <w:color w:val="FF0000"/>
          <w:shd w:val="clear" w:color="auto" w:fill="FFFFFF"/>
        </w:rPr>
        <w:t>thought for the week</w:t>
      </w:r>
      <w:r>
        <w:rPr>
          <w:rFonts w:ascii="Calibri" w:eastAsia="Times New Roman" w:hAnsi="Calibri" w:cs="Calibri"/>
          <w:color w:val="D05C12"/>
          <w:shd w:val="clear" w:color="auto" w:fill="FFFFFF"/>
        </w:rPr>
        <w:t> this week is </w:t>
      </w:r>
      <w:r>
        <w:rPr>
          <w:rFonts w:ascii="Calibri" w:eastAsia="Times New Roman" w:hAnsi="Calibri" w:cs="Calibri"/>
          <w:b/>
          <w:bCs/>
          <w:color w:val="D05C12"/>
          <w:shd w:val="clear" w:color="auto" w:fill="FFFFFF"/>
        </w:rPr>
        <w:t xml:space="preserve">‘Adventure’.  </w:t>
      </w:r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>The PPT contains a trailer for the film ‘Touching the Void’, based on a true story.  Please also use the Picture News material emailed by Paula.  Both provide useful talking points.</w:t>
      </w:r>
      <w:r>
        <w:rPr>
          <w:rFonts w:eastAsia="Times New Roman"/>
          <w:color w:val="000000"/>
        </w:rPr>
        <w:t xml:space="preserve"> 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r>
        <w:rPr>
          <w:rFonts w:ascii="Calibri" w:eastAsia="Times New Roman" w:hAnsi="Calibri" w:cs="Calibri"/>
          <w:b/>
          <w:color w:val="FF0000"/>
        </w:rPr>
        <w:t>NQTs Reminder</w:t>
      </w:r>
      <w:r>
        <w:rPr>
          <w:rFonts w:ascii="Calibri" w:eastAsia="Times New Roman" w:hAnsi="Calibri" w:cs="Calibri"/>
          <w:color w:val="FF0000"/>
        </w:rPr>
        <w:t xml:space="preserve"> </w:t>
      </w:r>
      <w:r>
        <w:rPr>
          <w:rFonts w:ascii="Calibri" w:eastAsia="Times New Roman" w:hAnsi="Calibri" w:cs="Calibri"/>
          <w:color w:val="C45911" w:themeColor="accent2" w:themeShade="BF"/>
        </w:rPr>
        <w:t xml:space="preserve">– meetings with LG will commence again from </w:t>
      </w:r>
      <w:r>
        <w:rPr>
          <w:rFonts w:ascii="Calibri" w:eastAsia="Times New Roman" w:hAnsi="Calibri" w:cs="Calibri"/>
          <w:b/>
          <w:color w:val="C45911" w:themeColor="accent2" w:themeShade="BF"/>
          <w:u w:val="single"/>
        </w:rPr>
        <w:t>this week</w:t>
      </w:r>
      <w:r>
        <w:rPr>
          <w:rFonts w:eastAsia="Times New Roman"/>
          <w:color w:val="C45911" w:themeColor="accent2" w:themeShade="BF"/>
        </w:rPr>
        <w:t xml:space="preserve"> 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r>
        <w:rPr>
          <w:rFonts w:ascii="Calibri" w:eastAsia="Times New Roman" w:hAnsi="Calibri" w:cs="Calibri"/>
          <w:b/>
          <w:color w:val="FF0000"/>
        </w:rPr>
        <w:t xml:space="preserve">Preston Teaching Schools’ Alliance – </w:t>
      </w:r>
      <w:r>
        <w:rPr>
          <w:rFonts w:ascii="Calibri" w:eastAsia="Times New Roman" w:hAnsi="Calibri" w:cs="Calibri"/>
          <w:color w:val="C45911" w:themeColor="accent2" w:themeShade="BF"/>
        </w:rPr>
        <w:t xml:space="preserve">J. </w:t>
      </w:r>
      <w:proofErr w:type="spellStart"/>
      <w:r>
        <w:rPr>
          <w:rFonts w:ascii="Calibri" w:eastAsia="Times New Roman" w:hAnsi="Calibri" w:cs="Calibri"/>
          <w:color w:val="C45911" w:themeColor="accent2" w:themeShade="BF"/>
        </w:rPr>
        <w:t>McQuade</w:t>
      </w:r>
      <w:proofErr w:type="spellEnd"/>
      <w:r>
        <w:rPr>
          <w:rFonts w:ascii="Calibri" w:eastAsia="Times New Roman" w:hAnsi="Calibri" w:cs="Calibri"/>
          <w:color w:val="C45911" w:themeColor="accent2" w:themeShade="BF"/>
        </w:rPr>
        <w:t xml:space="preserve"> shadowed two students last week and will be in school on Monday, following his PE timetable.</w:t>
      </w:r>
      <w:r>
        <w:rPr>
          <w:rFonts w:eastAsia="Times New Roman"/>
          <w:color w:val="C45911" w:themeColor="accent2" w:themeShade="BF"/>
        </w:rPr>
        <w:t xml:space="preserve"> </w:t>
      </w:r>
    </w:p>
    <w:p>
      <w:pPr>
        <w:pStyle w:val="NormalWeb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i/>
          <w:color w:val="C45911" w:themeColor="accent2" w:themeShade="BF"/>
          <w:u w:val="single"/>
        </w:rPr>
        <w:t>Coming Soon…</w:t>
      </w:r>
    </w:p>
    <w:p>
      <w:pPr>
        <w:pStyle w:val="NormalWeb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color w:val="FF0000"/>
        </w:rPr>
        <w:t>w/c 21</w:t>
      </w:r>
      <w:r>
        <w:rPr>
          <w:rFonts w:ascii="Calibri" w:eastAsia="Times New Roman" w:hAnsi="Calibri" w:cs="Calibri"/>
          <w:b/>
          <w:color w:val="FF0000"/>
          <w:vertAlign w:val="superscript"/>
        </w:rPr>
        <w:t>st</w:t>
      </w:r>
      <w:r>
        <w:rPr>
          <w:rFonts w:ascii="Calibri" w:eastAsia="Times New Roman" w:hAnsi="Calibri" w:cs="Calibri"/>
          <w:b/>
          <w:color w:val="FF0000"/>
        </w:rPr>
        <w:t xml:space="preserve"> Jan: Open Door Week</w:t>
      </w:r>
      <w:r>
        <w:rPr>
          <w:rFonts w:ascii="Calibri" w:eastAsia="Times New Roman" w:hAnsi="Calibri" w:cs="Calibri"/>
          <w:color w:val="FF0000"/>
        </w:rPr>
        <w:t xml:space="preserve"> </w:t>
      </w:r>
      <w:r>
        <w:rPr>
          <w:rFonts w:ascii="Calibri" w:eastAsia="Times New Roman" w:hAnsi="Calibri" w:cs="Calibri"/>
          <w:color w:val="C45911" w:themeColor="accent2" w:themeShade="BF"/>
        </w:rPr>
        <w:t>– as mentioned before Christmas, we would like to hold an Open Door Week to allow all staff to have access to the privilege of ‘wandering the school’; during this week, staff are encouraged to wander and to ‘magpie’ ideas from colleagues.</w:t>
      </w:r>
    </w:p>
    <w:p>
      <w:pPr>
        <w:pStyle w:val="NormalWeb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color w:val="FF0000"/>
        </w:rPr>
        <w:t>Weds 23</w:t>
      </w:r>
      <w:r>
        <w:rPr>
          <w:rFonts w:ascii="Calibri" w:eastAsia="Times New Roman" w:hAnsi="Calibri" w:cs="Calibri"/>
          <w:b/>
          <w:color w:val="FF0000"/>
          <w:vertAlign w:val="superscript"/>
        </w:rPr>
        <w:t>rd</w:t>
      </w:r>
      <w:r>
        <w:rPr>
          <w:rFonts w:ascii="Calibri" w:eastAsia="Times New Roman" w:hAnsi="Calibri" w:cs="Calibri"/>
          <w:b/>
          <w:color w:val="FF0000"/>
        </w:rPr>
        <w:t xml:space="preserve"> Jan: ‘Pastries and Progress’</w:t>
      </w:r>
      <w:r>
        <w:rPr>
          <w:rFonts w:ascii="Calibri" w:eastAsia="Times New Roman" w:hAnsi="Calibri" w:cs="Calibri"/>
          <w:color w:val="FF0000"/>
        </w:rPr>
        <w:t xml:space="preserve"> </w:t>
      </w:r>
      <w:r>
        <w:rPr>
          <w:rFonts w:ascii="Calibri" w:eastAsia="Times New Roman" w:hAnsi="Calibri" w:cs="Calibri"/>
          <w:color w:val="C45911" w:themeColor="accent2" w:themeShade="BF"/>
        </w:rPr>
        <w:t>– this time will focus on WAGOLLs and teachers need to bring a WAGOLL (example of a high standard extended answer) and share how it is used within the classroom to enhance progress.</w:t>
      </w:r>
    </w:p>
    <w:p>
      <w:pPr>
        <w:spacing w:after="160" w:line="259" w:lineRule="auto"/>
        <w:rPr>
          <w:rFonts w:ascii="Calibri Light" w:eastAsia="Times New Roman" w:hAnsi="Calibri Light" w:cs="Calibri Light"/>
          <w:b/>
          <w:color w:val="70AD47" w:themeColor="accent6"/>
          <w:kern w:val="36"/>
          <w:sz w:val="36"/>
          <w:szCs w:val="36"/>
        </w:rPr>
      </w:pPr>
      <w:r>
        <w:rPr>
          <w:rFonts w:ascii="Calibri Light" w:eastAsia="Times New Roman" w:hAnsi="Calibri Light" w:cs="Calibri Light"/>
          <w:bCs/>
          <w:color w:val="70AD47" w:themeColor="accent6"/>
          <w:sz w:val="36"/>
          <w:szCs w:val="36"/>
        </w:rPr>
        <w:br w:type="page"/>
      </w:r>
    </w:p>
    <w:p>
      <w:pPr>
        <w:pStyle w:val="Heading1"/>
        <w:spacing w:before="240" w:beforeAutospacing="0" w:after="0" w:afterAutospacing="0"/>
        <w:rPr>
          <w:rFonts w:ascii="Arial" w:eastAsia="Times New Roman" w:hAnsi="Arial" w:cs="Arial"/>
          <w:color w:val="000000"/>
        </w:rPr>
      </w:pPr>
      <w:r>
        <w:rPr>
          <w:rFonts w:ascii="Calibri Light" w:eastAsia="Times New Roman" w:hAnsi="Calibri Light" w:cs="Calibri Light"/>
          <w:bCs w:val="0"/>
          <w:color w:val="70AD47" w:themeColor="accent6"/>
          <w:sz w:val="36"/>
          <w:szCs w:val="36"/>
        </w:rPr>
        <w:lastRenderedPageBreak/>
        <w:t>Our T&amp;L Targets:</w:t>
      </w:r>
    </w:p>
    <w:p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70C0"/>
          <w:lang w:val="en"/>
        </w:rPr>
        <w:t> </w:t>
      </w:r>
    </w:p>
    <w:p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70C0"/>
          <w:lang w:val="en"/>
        </w:rPr>
        <w:t> </w:t>
      </w:r>
    </w:p>
    <w:p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noProof/>
          <w:color w:val="0070C0"/>
        </w:rPr>
        <w:drawing>
          <wp:inline distT="0" distB="0" distL="0" distR="0">
            <wp:extent cx="7324090" cy="2630805"/>
            <wp:effectExtent l="0" t="0" r="0" b="0"/>
            <wp:docPr id="3" name="Picture 3" descr="cid:150a8d12-6a4f-448e-ad2c-60c689fc7d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63220" descr="cid:150a8d12-6a4f-448e-ad2c-60c689fc7ddc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090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70C0"/>
          <w:lang w:val="en"/>
        </w:rPr>
        <w:t> </w:t>
      </w:r>
    </w:p>
    <w:p>
      <w:pPr>
        <w:rPr>
          <w:rFonts w:ascii="Arial" w:eastAsia="Times New Roman" w:hAnsi="Arial" w:cs="Arial"/>
          <w:color w:val="000000"/>
        </w:rPr>
      </w:pPr>
      <w:r>
        <w:rPr>
          <w:rFonts w:ascii="Calibri Light" w:eastAsia="Times New Roman" w:hAnsi="Calibri Light" w:cs="Calibri Light"/>
          <w:b/>
          <w:color w:val="2E74B5"/>
          <w:sz w:val="36"/>
          <w:szCs w:val="36"/>
          <w:lang w:val="en"/>
        </w:rPr>
        <w:t>Think About:</w:t>
      </w:r>
      <w:r>
        <w:rPr>
          <w:rFonts w:eastAsia="Times New Roman"/>
          <w:color w:val="0070C0"/>
          <w:lang w:val="en"/>
        </w:rPr>
        <w:t xml:space="preserve"> </w:t>
      </w:r>
    </w:p>
    <w:p>
      <w:pPr>
        <w:pStyle w:val="NormalWeb"/>
        <w:spacing w:after="160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70C0"/>
        </w:rPr>
        <w:t xml:space="preserve">Over the course of the last half term, Middle Leaders (having consulted with their departments), completed a ‘Brilliant Teaching and Learning – Toolkit’ for their subject area.  This document is </w:t>
      </w:r>
      <w:proofErr w:type="gramStart"/>
      <w:r>
        <w:rPr>
          <w:rFonts w:ascii="Calibri" w:hAnsi="Calibri" w:cs="Calibri"/>
          <w:color w:val="0070C0"/>
        </w:rPr>
        <w:t>absolutely crucial</w:t>
      </w:r>
      <w:proofErr w:type="gramEnd"/>
      <w:r>
        <w:rPr>
          <w:rFonts w:ascii="Calibri" w:hAnsi="Calibri" w:cs="Calibri"/>
          <w:color w:val="0070C0"/>
        </w:rPr>
        <w:t xml:space="preserve"> in outlining a department’s identity and approach when it comes to our priorities (i.e. each box of the Toolkit).  </w:t>
      </w:r>
      <w:bookmarkStart w:id="0" w:name="_GoBack"/>
      <w:bookmarkEnd w:id="0"/>
    </w:p>
    <w:p>
      <w:pPr>
        <w:pStyle w:val="NormalWeb"/>
        <w:spacing w:after="160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70C0"/>
        </w:rPr>
        <w:t xml:space="preserve">These documents are on the agenda at the School Improvement Group meeting tomorrow evening and </w:t>
      </w:r>
      <w:proofErr w:type="gramStart"/>
      <w:r>
        <w:rPr>
          <w:rFonts w:ascii="Calibri" w:hAnsi="Calibri" w:cs="Calibri"/>
          <w:color w:val="0070C0"/>
        </w:rPr>
        <w:t>will also</w:t>
      </w:r>
      <w:proofErr w:type="gramEnd"/>
      <w:r>
        <w:rPr>
          <w:rFonts w:ascii="Calibri" w:hAnsi="Calibri" w:cs="Calibri"/>
          <w:color w:val="0070C0"/>
        </w:rPr>
        <w:t xml:space="preserve"> provide the focus for conversations between Middle Leaders and their SLT Links over the coming weeks. Teaching and Learning is, after all, our raison </w:t>
      </w:r>
      <w:proofErr w:type="spellStart"/>
      <w:r>
        <w:rPr>
          <w:rFonts w:ascii="Calibri" w:hAnsi="Calibri" w:cs="Calibri"/>
          <w:color w:val="0070C0"/>
        </w:rPr>
        <w:t>d’etre</w:t>
      </w:r>
      <w:proofErr w:type="spellEnd"/>
      <w:r>
        <w:rPr>
          <w:rFonts w:ascii="Calibri" w:hAnsi="Calibri" w:cs="Calibri"/>
          <w:color w:val="0070C0"/>
        </w:rPr>
        <w:t xml:space="preserve">. </w:t>
      </w:r>
      <w:proofErr w:type="gramStart"/>
      <w:r>
        <w:rPr>
          <w:rFonts w:ascii="Calibri" w:hAnsi="Calibri" w:cs="Calibri"/>
          <w:color w:val="0070C0"/>
        </w:rPr>
        <w:t>It should be the topic that we are talking about…</w:t>
      </w:r>
      <w:proofErr w:type="gramEnd"/>
    </w:p>
    <w:p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>
      <w:pPr>
        <w:pStyle w:val="NormalWeb"/>
        <w:spacing w:after="160"/>
        <w:jc w:val="center"/>
        <w:rPr>
          <w:rFonts w:ascii="Arial" w:hAnsi="Arial" w:cs="Arial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993390" cy="2182495"/>
            <wp:effectExtent l="0" t="0" r="0" b="8255"/>
            <wp:docPr id="2" name="Picture 2" descr="cid:e8dfc3af-538f-4370-b1f6-b2d6e6119e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72717" descr="cid:e8dfc3af-538f-4370-b1f6-b2d6e6119eec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>
      <w:pPr>
        <w:pStyle w:val="NormalWeb"/>
        <w:spacing w:after="160"/>
        <w:rPr>
          <w:rFonts w:ascii="Arial" w:hAnsi="Arial" w:cs="Arial"/>
          <w:color w:val="000000"/>
        </w:rPr>
      </w:pPr>
      <w:proofErr w:type="gramStart"/>
      <w:r>
        <w:rPr>
          <w:rFonts w:ascii="Calibri" w:hAnsi="Calibri" w:cs="Calibri"/>
          <w:color w:val="0070C0"/>
        </w:rPr>
        <w:t>So</w:t>
      </w:r>
      <w:proofErr w:type="gramEnd"/>
      <w:r>
        <w:rPr>
          <w:rFonts w:ascii="Calibri" w:hAnsi="Calibri" w:cs="Calibri"/>
          <w:color w:val="0070C0"/>
        </w:rPr>
        <w:t>, with this in mind and to give a clear focus over the next five weeks up until half-term, we would will focus on ONE aspect of the toolkit: UNDERSTANDING FROM MEMORY. As a department and as an individual teacher, you can support this focus by:</w:t>
      </w:r>
    </w:p>
    <w:p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All - Reading the T&amp;L Digest each week which will contain a strategy to try out</w:t>
      </w:r>
    </w:p>
    <w:p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70C0"/>
          <w:sz w:val="22"/>
          <w:szCs w:val="22"/>
        </w:rPr>
        <w:t>HoDs</w:t>
      </w:r>
      <w:proofErr w:type="spellEnd"/>
      <w:r>
        <w:rPr>
          <w:rFonts w:ascii="Calibri" w:hAnsi="Calibri" w:cs="Calibri"/>
          <w:color w:val="0070C0"/>
          <w:sz w:val="22"/>
          <w:szCs w:val="22"/>
        </w:rPr>
        <w:t xml:space="preserve"> – Make this focus and agenda item at every department meeting</w:t>
      </w:r>
    </w:p>
    <w:p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>All - Share ideas around this area in conversation or by other means</w:t>
      </w:r>
    </w:p>
    <w:p>
      <w:pPr>
        <w:pStyle w:val="NormalWeb"/>
        <w:numPr>
          <w:ilvl w:val="0"/>
          <w:numId w:val="2"/>
        </w:numPr>
        <w:spacing w:after="16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70C0"/>
          <w:sz w:val="22"/>
          <w:szCs w:val="22"/>
        </w:rPr>
        <w:t>HoDs</w:t>
      </w:r>
      <w:proofErr w:type="spellEnd"/>
      <w:r>
        <w:rPr>
          <w:rFonts w:ascii="Calibri" w:hAnsi="Calibri" w:cs="Calibri"/>
          <w:color w:val="0070C0"/>
          <w:sz w:val="22"/>
          <w:szCs w:val="22"/>
        </w:rPr>
        <w:t xml:space="preserve"> – remind and recirculate your bespoke departmental </w:t>
      </w:r>
      <w:proofErr w:type="gramStart"/>
      <w:r>
        <w:rPr>
          <w:rFonts w:ascii="Calibri" w:hAnsi="Calibri" w:cs="Calibri"/>
          <w:color w:val="0070C0"/>
          <w:sz w:val="22"/>
          <w:szCs w:val="22"/>
        </w:rPr>
        <w:t>Toolkit</w:t>
      </w:r>
      <w:proofErr w:type="gramEnd"/>
      <w:r>
        <w:rPr>
          <w:rFonts w:ascii="Calibri" w:hAnsi="Calibri" w:cs="Calibri"/>
          <w:color w:val="0070C0"/>
          <w:sz w:val="22"/>
          <w:szCs w:val="22"/>
        </w:rPr>
        <w:t xml:space="preserve"> as the strategies that have been outlined in this box should be evident in lessons. </w:t>
      </w:r>
    </w:p>
    <w:p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70C0"/>
        </w:rPr>
        <w:t>On informal walks, SLT will be discussing what they have seen in relation to this focus.</w:t>
      </w:r>
    </w:p>
    <w:p>
      <w:pPr>
        <w:pStyle w:val="Heading1"/>
        <w:spacing w:before="240" w:beforeAutospacing="0" w:after="0" w:afterAutospacing="0"/>
        <w:rPr>
          <w:rFonts w:ascii="Arial" w:eastAsia="Times New Roman" w:hAnsi="Arial" w:cs="Arial"/>
          <w:color w:val="000000"/>
        </w:rPr>
      </w:pPr>
      <w:r>
        <w:rPr>
          <w:rFonts w:ascii="Calibri Light" w:eastAsia="Times New Roman" w:hAnsi="Calibri Light" w:cs="Calibri Light"/>
          <w:bCs w:val="0"/>
          <w:color w:val="FF0000"/>
          <w:sz w:val="36"/>
          <w:szCs w:val="36"/>
          <w:shd w:val="clear" w:color="auto" w:fill="FFFFFF"/>
        </w:rPr>
        <w:lastRenderedPageBreak/>
        <w:t>Try This!</w:t>
      </w:r>
    </w:p>
    <w:p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99175" cy="4572000"/>
            <wp:effectExtent l="0" t="0" r="0" b="0"/>
            <wp:docPr id="1" name="Picture 1" descr="cid:9c2268f3-23f0-4656-86ee-0f6799b24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01460" descr="cid:9c2268f3-23f0-4656-86ee-0f6799b24897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i/>
          <w:color w:val="538135" w:themeColor="accent6" w:themeShade="BF"/>
          <w:sz w:val="28"/>
          <w:shd w:val="clear" w:color="auto" w:fill="FFFFFF"/>
        </w:rPr>
        <w:t> </w:t>
      </w:r>
    </w:p>
    <w:p>
      <w:pPr>
        <w:pStyle w:val="Heading1"/>
        <w:spacing w:before="240" w:beforeAutospacing="0" w:after="0" w:afterAutospacing="0"/>
        <w:rPr>
          <w:rFonts w:ascii="Arial" w:eastAsia="Times New Roman" w:hAnsi="Arial" w:cs="Arial"/>
          <w:color w:val="000000"/>
        </w:rPr>
      </w:pPr>
      <w:r>
        <w:rPr>
          <w:rFonts w:ascii="Calibri Light" w:eastAsia="Times New Roman" w:hAnsi="Calibri Light" w:cs="Calibri Light"/>
          <w:bCs w:val="0"/>
          <w:color w:val="7030A0"/>
          <w:sz w:val="36"/>
          <w:szCs w:val="36"/>
          <w:shd w:val="clear" w:color="auto" w:fill="FFFFFF"/>
        </w:rPr>
        <w:t xml:space="preserve">Top Tips in Two this Half-Term </w:t>
      </w:r>
    </w:p>
    <w:tbl>
      <w:tblPr>
        <w:tblpPr w:leftFromText="180" w:rightFromText="180" w:topFromText="100" w:bottomFromText="100" w:vertAnchor="text" w:horzAnchor="margin" w:tblpXSpec="center" w:tblpY="120"/>
        <w:tblW w:w="0" w:type="dxa"/>
        <w:tblBorders>
          <w:top w:val="single" w:sz="2" w:space="0" w:color="8EAADB" w:themeColor="accent5" w:themeTint="99"/>
          <w:left w:val="outset" w:sz="6" w:space="0" w:color="auto"/>
          <w:bottom w:val="single" w:sz="2" w:space="0" w:color="8EAADB" w:themeColor="accent5" w:themeTint="99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1298"/>
        <w:gridCol w:w="924"/>
        <w:gridCol w:w="1951"/>
      </w:tblGrid>
      <w:tr>
        <w:tc>
          <w:tcPr>
            <w:tcW w:w="897" w:type="dxa"/>
            <w:tcBorders>
              <w:top w:val="nil"/>
              <w:left w:val="nil"/>
              <w:bottom w:val="single" w:sz="12" w:space="0" w:color="8EAADB" w:themeColor="accent5" w:themeTint="99"/>
              <w:right w:val="nil"/>
            </w:tcBorders>
            <w:shd w:val="clear" w:color="auto" w:fill="FFFFFF" w:themeFill="background1"/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8EAADB" w:themeColor="accent5" w:themeTint="99"/>
              <w:right w:val="nil"/>
            </w:tcBorders>
            <w:shd w:val="clear" w:color="auto" w:fill="FFFFFF" w:themeFill="background1"/>
            <w:hideMark/>
          </w:tcPr>
          <w:p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</w:rPr>
              <w:t>14/01/19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8EAADB" w:themeColor="accent5" w:themeTint="99"/>
              <w:right w:val="nil"/>
            </w:tcBorders>
            <w:shd w:val="clear" w:color="auto" w:fill="FFFFFF" w:themeFill="background1"/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</w:rPr>
              <w:t>WEDS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12" w:space="0" w:color="8EAADB" w:themeColor="accent5" w:themeTint="99"/>
              <w:right w:val="nil"/>
            </w:tcBorders>
            <w:shd w:val="clear" w:color="auto" w:fill="FFFFFF" w:themeFill="background1"/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</w:rPr>
              <w:t>MY</w:t>
            </w:r>
          </w:p>
        </w:tc>
      </w:tr>
      <w:tr>
        <w:tc>
          <w:tcPr>
            <w:tcW w:w="897" w:type="dxa"/>
            <w:tcBorders>
              <w:top w:val="single" w:sz="2" w:space="0" w:color="8EAADB" w:themeColor="accent5" w:themeTint="99"/>
              <w:left w:val="nil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1298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</w:rPr>
              <w:t>21/01/19</w:t>
            </w:r>
          </w:p>
        </w:tc>
        <w:tc>
          <w:tcPr>
            <w:tcW w:w="924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color w:val="000000"/>
              </w:rPr>
              <w:t>WEDS</w:t>
            </w:r>
          </w:p>
        </w:tc>
        <w:tc>
          <w:tcPr>
            <w:tcW w:w="1951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nil"/>
            </w:tcBorders>
            <w:shd w:val="clear" w:color="auto" w:fill="D9E2F3" w:themeFill="accent5" w:themeFillTint="33"/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color w:val="000000"/>
              </w:rPr>
              <w:t>TU</w:t>
            </w:r>
          </w:p>
        </w:tc>
      </w:tr>
      <w:tr>
        <w:tc>
          <w:tcPr>
            <w:tcW w:w="897" w:type="dxa"/>
            <w:tcBorders>
              <w:top w:val="single" w:sz="2" w:space="0" w:color="8EAADB" w:themeColor="accent5" w:themeTint="99"/>
              <w:left w:val="nil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bCs/>
              </w:rPr>
              <w:t>19</w:t>
            </w:r>
          </w:p>
        </w:tc>
        <w:tc>
          <w:tcPr>
            <w:tcW w:w="1298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hideMark/>
          </w:tcPr>
          <w:p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</w:rPr>
              <w:t>28/01/19</w:t>
            </w:r>
          </w:p>
        </w:tc>
        <w:tc>
          <w:tcPr>
            <w:tcW w:w="924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color w:val="000000"/>
              </w:rPr>
              <w:t>MON</w:t>
            </w:r>
          </w:p>
        </w:tc>
        <w:tc>
          <w:tcPr>
            <w:tcW w:w="1951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nil"/>
            </w:tcBorders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color w:val="000000"/>
              </w:rPr>
              <w:t>HL and SZ</w:t>
            </w:r>
          </w:p>
        </w:tc>
      </w:tr>
      <w:tr>
        <w:tc>
          <w:tcPr>
            <w:tcW w:w="897" w:type="dxa"/>
            <w:tcBorders>
              <w:top w:val="single" w:sz="2" w:space="0" w:color="8EAADB" w:themeColor="accent5" w:themeTint="99"/>
              <w:left w:val="nil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298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color w:val="000000"/>
              </w:rPr>
              <w:t>FRI</w:t>
            </w:r>
          </w:p>
        </w:tc>
        <w:tc>
          <w:tcPr>
            <w:tcW w:w="1951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nil"/>
            </w:tcBorders>
            <w:shd w:val="clear" w:color="auto" w:fill="D9E2F3" w:themeFill="accent5" w:themeFillTint="33"/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color w:val="000000"/>
              </w:rPr>
              <w:t>HD and TU</w:t>
            </w:r>
          </w:p>
        </w:tc>
      </w:tr>
      <w:tr>
        <w:tc>
          <w:tcPr>
            <w:tcW w:w="897" w:type="dxa"/>
            <w:tcBorders>
              <w:top w:val="single" w:sz="2" w:space="0" w:color="8EAADB" w:themeColor="accent5" w:themeTint="99"/>
              <w:left w:val="nil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298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hideMark/>
          </w:tcPr>
          <w:p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</w:rPr>
              <w:t>4/02/19</w:t>
            </w:r>
          </w:p>
        </w:tc>
        <w:tc>
          <w:tcPr>
            <w:tcW w:w="924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color w:val="000000"/>
              </w:rPr>
              <w:t>WEDS</w:t>
            </w:r>
          </w:p>
        </w:tc>
        <w:tc>
          <w:tcPr>
            <w:tcW w:w="1951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nil"/>
            </w:tcBorders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color w:val="000000"/>
              </w:rPr>
              <w:t>HS and MY</w:t>
            </w:r>
          </w:p>
        </w:tc>
      </w:tr>
      <w:tr>
        <w:tc>
          <w:tcPr>
            <w:tcW w:w="897" w:type="dxa"/>
            <w:tcBorders>
              <w:top w:val="single" w:sz="2" w:space="0" w:color="8EAADB" w:themeColor="accent5" w:themeTint="99"/>
              <w:left w:val="nil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298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color w:val="000000"/>
              </w:rPr>
              <w:t>FRI</w:t>
            </w:r>
          </w:p>
        </w:tc>
        <w:tc>
          <w:tcPr>
            <w:tcW w:w="1951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nil"/>
            </w:tcBorders>
            <w:shd w:val="clear" w:color="auto" w:fill="D9E2F3" w:themeFill="accent5" w:themeFillTint="33"/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color w:val="000000"/>
              </w:rPr>
              <w:t>CN and LY</w:t>
            </w:r>
          </w:p>
        </w:tc>
      </w:tr>
      <w:tr>
        <w:tc>
          <w:tcPr>
            <w:tcW w:w="897" w:type="dxa"/>
            <w:tcBorders>
              <w:top w:val="single" w:sz="2" w:space="0" w:color="8EAADB" w:themeColor="accent5" w:themeTint="99"/>
              <w:left w:val="nil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bCs/>
              </w:rPr>
              <w:t>21</w:t>
            </w:r>
          </w:p>
        </w:tc>
        <w:tc>
          <w:tcPr>
            <w:tcW w:w="1298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hideMark/>
          </w:tcPr>
          <w:p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</w:rPr>
              <w:t>11/02/19</w:t>
            </w:r>
          </w:p>
        </w:tc>
        <w:tc>
          <w:tcPr>
            <w:tcW w:w="924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color w:val="000000"/>
              </w:rPr>
              <w:t>WEDS</w:t>
            </w:r>
          </w:p>
        </w:tc>
        <w:tc>
          <w:tcPr>
            <w:tcW w:w="1951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nil"/>
            </w:tcBorders>
            <w:hideMark/>
          </w:tcPr>
          <w:p>
            <w:pPr>
              <w:pStyle w:val="NormalWeb"/>
            </w:pPr>
            <w:r>
              <w:rPr>
                <w:rFonts w:ascii="Calibri" w:hAnsi="Calibri" w:cs="Calibri"/>
                <w:b/>
                <w:color w:val="000000"/>
              </w:rPr>
              <w:t>HC and MO</w:t>
            </w:r>
          </w:p>
        </w:tc>
      </w:tr>
    </w:tbl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bCs/>
          <w:color w:val="7030A0"/>
          <w:shd w:val="clear" w:color="auto" w:fill="FFFFFF"/>
        </w:rPr>
        <w:t> </w:t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 </w:t>
      </w:r>
    </w:p>
    <w:p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00B0F0"/>
          <w:shd w:val="clear" w:color="auto" w:fill="FFFFFF"/>
        </w:rPr>
        <w:t> </w:t>
      </w:r>
    </w:p>
    <w:p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00B0F0"/>
          <w:shd w:val="clear" w:color="auto" w:fill="FFFFFF"/>
        </w:rPr>
        <w:t> </w:t>
      </w:r>
    </w:p>
    <w:p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00B0F0"/>
          <w:shd w:val="clear" w:color="auto" w:fill="FFFFFF"/>
        </w:rPr>
        <w:t> </w:t>
      </w:r>
    </w:p>
    <w:p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00B0F0"/>
          <w:shd w:val="clear" w:color="auto" w:fill="FFFFFF"/>
        </w:rPr>
        <w:t> </w:t>
      </w:r>
    </w:p>
    <w:p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00B0F0"/>
          <w:shd w:val="clear" w:color="auto" w:fill="FFFFFF"/>
        </w:rPr>
        <w:t> </w:t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color w:val="808080" w:themeColor="background1" w:themeShade="80"/>
          <w:shd w:val="clear" w:color="auto" w:fill="FFFFFF"/>
        </w:rPr>
        <w:t> </w:t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color w:val="808080" w:themeColor="background1" w:themeShade="80"/>
          <w:shd w:val="clear" w:color="auto" w:fill="FFFFFF"/>
        </w:rPr>
        <w:t> </w:t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color w:val="808080" w:themeColor="background1" w:themeShade="80"/>
          <w:shd w:val="clear" w:color="auto" w:fill="FFFFFF"/>
        </w:rPr>
        <w:t> </w:t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color w:val="808080" w:themeColor="background1" w:themeShade="80"/>
          <w:shd w:val="clear" w:color="auto" w:fill="FFFFFF"/>
        </w:rPr>
        <w:t> </w:t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color w:val="808080" w:themeColor="background1" w:themeShade="80"/>
          <w:u w:val="single"/>
          <w:shd w:val="clear" w:color="auto" w:fill="FFFFFF"/>
        </w:rPr>
        <w:t>CPD Cascade</w:t>
      </w:r>
    </w:p>
    <w:p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808080" w:themeColor="background1" w:themeShade="80"/>
          <w:shd w:val="clear" w:color="auto" w:fill="FFFFFF"/>
        </w:rPr>
        <w:t xml:space="preserve">Several staff are attending CPD with the Preston Teaching School’s Alliance over the next few weeks.  Please drop </w:t>
      </w:r>
      <w:proofErr w:type="gramStart"/>
      <w:r>
        <w:rPr>
          <w:rFonts w:ascii="Calibri" w:eastAsia="Times New Roman" w:hAnsi="Calibri" w:cs="Calibri"/>
          <w:color w:val="808080" w:themeColor="background1" w:themeShade="80"/>
          <w:shd w:val="clear" w:color="auto" w:fill="FFFFFF"/>
        </w:rPr>
        <w:t>me a one-liner or idea</w:t>
      </w:r>
      <w:proofErr w:type="gramEnd"/>
      <w:r>
        <w:rPr>
          <w:rFonts w:ascii="Calibri" w:eastAsia="Times New Roman" w:hAnsi="Calibri" w:cs="Calibri"/>
          <w:color w:val="808080" w:themeColor="background1" w:themeShade="80"/>
          <w:shd w:val="clear" w:color="auto" w:fill="FFFFFF"/>
        </w:rPr>
        <w:t xml:space="preserve"> that can be shared in this section.</w:t>
      </w:r>
    </w:p>
    <w:p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A6A6A6" w:themeColor="background1" w:themeShade="A6"/>
          <w:shd w:val="clear" w:color="auto" w:fill="FFFFFF"/>
        </w:rPr>
        <w:t> </w:t>
      </w:r>
    </w:p>
    <w:p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A6A6A6" w:themeColor="background1" w:themeShade="A6"/>
          <w:shd w:val="clear" w:color="auto" w:fill="FFFFFF"/>
        </w:rPr>
        <w:t> 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C281A"/>
    <w:multiLevelType w:val="multilevel"/>
    <w:tmpl w:val="381C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536602"/>
    <w:multiLevelType w:val="multilevel"/>
    <w:tmpl w:val="61D0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A486B-03B2-4069-99D2-97F80355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8dfc3af-538f-4370-b1f6-b2d6e6119e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50a8d12-6a4f-448e-ad2c-60c689fc7dd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9c2268f3-23f0-4656-86ee-0f6799b2489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 Harris</cp:lastModifiedBy>
  <cp:revision>1</cp:revision>
  <dcterms:created xsi:type="dcterms:W3CDTF">2019-01-14T10:22:00Z</dcterms:created>
  <dcterms:modified xsi:type="dcterms:W3CDTF">2019-01-14T10:24:00Z</dcterms:modified>
</cp:coreProperties>
</file>