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B0F0"/>
          <w:sz w:val="28"/>
          <w:szCs w:val="32"/>
          <w:shd w:val="clear" w:color="auto" w:fill="FFFFFF"/>
        </w:rPr>
        <w:t>WLD Teaching and Learning Digest – w/c 19</w:t>
      </w:r>
      <w:r>
        <w:rPr>
          <w:rFonts w:ascii="Arial" w:eastAsia="Times New Roman" w:hAnsi="Arial" w:cs="Arial"/>
          <w:b/>
          <w:bCs/>
          <w:color w:val="00B0F0"/>
          <w:sz w:val="28"/>
          <w:szCs w:val="32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B0F0"/>
          <w:sz w:val="28"/>
          <w:szCs w:val="32"/>
          <w:shd w:val="clear" w:color="auto" w:fill="FFFFFF"/>
        </w:rPr>
        <w:t xml:space="preserve"> November 2018</w:t>
      </w:r>
    </w:p>
    <w:p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tbl>
      <w:tblPr>
        <w:tblW w:w="0" w:type="auto"/>
        <w:jc w:val="center"/>
        <w:shd w:val="clear" w:color="auto" w:fill="F7CAA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3846"/>
      </w:tblGrid>
      <w:tr>
        <w:trPr>
          <w:jc w:val="center"/>
        </w:trPr>
        <w:tc>
          <w:tcPr>
            <w:tcW w:w="4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b/>
                <w:bCs/>
                <w:color w:val="0070C0"/>
                <w:szCs w:val="20"/>
                <w:u w:val="single"/>
              </w:rPr>
              <w:t>COMMUNICATION FOCUSES</w:t>
            </w:r>
          </w:p>
          <w:p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</w:rPr>
              <w:t> </w:t>
            </w:r>
          </w:p>
          <w:p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color w:val="0070C0"/>
                <w:szCs w:val="20"/>
              </w:rPr>
              <w:t xml:space="preserve">Vocab Building: Idea…make a note of any new words to </w:t>
            </w:r>
            <w:proofErr w:type="gramStart"/>
            <w:r>
              <w:rPr>
                <w:rFonts w:eastAsia="Times New Roman" w:cstheme="minorHAnsi"/>
                <w:color w:val="0070C0"/>
                <w:szCs w:val="20"/>
              </w:rPr>
              <w:t>be used</w:t>
            </w:r>
            <w:proofErr w:type="gramEnd"/>
            <w:r>
              <w:rPr>
                <w:rFonts w:eastAsia="Times New Roman" w:cstheme="minorHAnsi"/>
                <w:color w:val="0070C0"/>
                <w:szCs w:val="20"/>
              </w:rPr>
              <w:t xml:space="preserve"> in the following lesson.  Ask the students to find the meanings for homework.  As a starter to next lesson, ask them to use the words in sentences to a partner…</w:t>
            </w:r>
          </w:p>
        </w:tc>
        <w:tc>
          <w:tcPr>
            <w:tcW w:w="38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b/>
                <w:bCs/>
                <w:color w:val="0070C0"/>
                <w:szCs w:val="20"/>
                <w:u w:val="single"/>
              </w:rPr>
              <w:t>INCLUSION FOR ALL</w:t>
            </w:r>
          </w:p>
          <w:p>
            <w:pPr>
              <w:spacing w:before="100" w:beforeAutospacing="1"/>
            </w:pPr>
            <w:r>
              <w:rPr>
                <w:rFonts w:eastAsia="Times New Roman" w:cstheme="minorHAnsi"/>
                <w:color w:val="0070C0"/>
                <w:szCs w:val="20"/>
              </w:rPr>
              <w:t> </w:t>
            </w:r>
          </w:p>
          <w:p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color w:val="0070C0"/>
              </w:rPr>
              <w:t xml:space="preserve">Use the marking policy for written work (copy in all planners) so that students know where they have made errors </w:t>
            </w:r>
          </w:p>
        </w:tc>
      </w:tr>
    </w:tbl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/>
          <w:bCs/>
          <w:color w:val="C45911"/>
          <w:shd w:val="clear" w:color="auto" w:fill="FFFFFF"/>
        </w:rPr>
        <w:t> </w:t>
      </w:r>
    </w:p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/>
          <w:bCs/>
          <w:color w:val="C45911"/>
          <w:u w:val="single"/>
          <w:shd w:val="clear" w:color="auto" w:fill="FFFFFF"/>
        </w:rPr>
        <w:t>This week: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D05C12"/>
          <w:shd w:val="clear" w:color="auto" w:fill="FFFFFF"/>
        </w:rPr>
        <w:t>The </w:t>
      </w:r>
      <w:r>
        <w:rPr>
          <w:rFonts w:ascii="Calibri" w:eastAsia="Times New Roman" w:hAnsi="Calibri" w:cs="Calibri"/>
          <w:b/>
          <w:bCs/>
          <w:color w:val="FF0000"/>
          <w:shd w:val="clear" w:color="auto" w:fill="FFFFFF"/>
        </w:rPr>
        <w:t>thought for the week</w:t>
      </w:r>
      <w:r>
        <w:rPr>
          <w:rFonts w:ascii="Calibri" w:eastAsia="Times New Roman" w:hAnsi="Calibri" w:cs="Calibri"/>
          <w:color w:val="D05C12"/>
          <w:shd w:val="clear" w:color="auto" w:fill="FFFFFF"/>
        </w:rPr>
        <w:t> this week is </w:t>
      </w:r>
      <w:r>
        <w:rPr>
          <w:rFonts w:ascii="Calibri" w:eastAsia="Times New Roman" w:hAnsi="Calibri" w:cs="Calibri"/>
          <w:b/>
          <w:bCs/>
          <w:color w:val="D05C12"/>
          <w:shd w:val="clear" w:color="auto" w:fill="FFFFFF"/>
        </w:rPr>
        <w:t xml:space="preserve">‘Inspirational People’.  </w:t>
      </w:r>
      <w:r>
        <w:rPr>
          <w:rFonts w:ascii="Calibri" w:eastAsia="Times New Roman" w:hAnsi="Calibri" w:cs="Calibri"/>
          <w:bCs/>
          <w:color w:val="D05C12"/>
          <w:shd w:val="clear" w:color="auto" w:fill="FFFFFF"/>
        </w:rPr>
        <w:t>Please use the materials circulated as usual with forms.</w:t>
      </w:r>
      <w:r>
        <w:rPr>
          <w:rFonts w:ascii="Arial" w:eastAsia="Times New Roman" w:hAnsi="Arial" w:cs="Arial"/>
          <w:color w:val="000000"/>
        </w:rPr>
        <w:t xml:space="preserve"> 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b/>
          <w:color w:val="FF0000"/>
          <w:shd w:val="clear" w:color="auto" w:fill="FFFFFF"/>
        </w:rPr>
        <w:t xml:space="preserve">New staff and NQTs – </w:t>
      </w:r>
      <w:r>
        <w:rPr>
          <w:rFonts w:ascii="Calibri" w:eastAsia="Times New Roman" w:hAnsi="Calibri" w:cs="Calibri"/>
          <w:color w:val="C45911" w:themeColor="accent2" w:themeShade="BF"/>
          <w:shd w:val="clear" w:color="auto" w:fill="FFFFFF"/>
        </w:rPr>
        <w:t xml:space="preserve">No CPD session this week due to parents’ evening.   </w:t>
      </w:r>
      <w:r>
        <w:rPr>
          <w:rFonts w:ascii="Arial" w:eastAsia="Times New Roman" w:hAnsi="Arial" w:cs="Arial"/>
          <w:color w:val="000000"/>
        </w:rPr>
        <w:t xml:space="preserve"> 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C45911" w:themeColor="accent2" w:themeShade="BF"/>
        </w:rPr>
      </w:pPr>
      <w:r>
        <w:rPr>
          <w:rFonts w:ascii="Calibri" w:eastAsia="Times New Roman" w:hAnsi="Calibri" w:cs="Calibri"/>
          <w:b/>
          <w:color w:val="FF0000"/>
        </w:rPr>
        <w:t>NQTs</w:t>
      </w:r>
      <w:r>
        <w:rPr>
          <w:rFonts w:ascii="Calibri" w:eastAsia="Times New Roman" w:hAnsi="Calibri" w:cs="Calibri"/>
          <w:color w:val="FF0000"/>
        </w:rPr>
        <w:t xml:space="preserve"> </w:t>
      </w:r>
      <w:r>
        <w:rPr>
          <w:rFonts w:ascii="Calibri" w:eastAsia="Times New Roman" w:hAnsi="Calibri" w:cs="Calibri"/>
          <w:color w:val="C45911" w:themeColor="accent2" w:themeShade="BF"/>
        </w:rPr>
        <w:t>– scheduled meetings with LG this week (LG’s office) to discuss progress against standards.</w:t>
      </w:r>
      <w:r>
        <w:rPr>
          <w:rFonts w:ascii="Arial" w:eastAsia="Times New Roman" w:hAnsi="Arial" w:cs="Arial"/>
          <w:color w:val="C45911" w:themeColor="accent2" w:themeShade="BF"/>
        </w:rPr>
        <w:t xml:space="preserve"> </w:t>
      </w:r>
    </w:p>
    <w:p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b/>
          <w:color w:val="538135" w:themeColor="accent6" w:themeShade="BF"/>
          <w:u w:val="single"/>
        </w:rPr>
        <w:t>Think about this…vocabulary matters!</w:t>
      </w:r>
    </w:p>
    <w:p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Cs/>
          <w:color w:val="538135" w:themeColor="accent6" w:themeShade="BF"/>
          <w:szCs w:val="22"/>
          <w:shd w:val="clear" w:color="auto" w:fill="FFFFFF"/>
        </w:rPr>
        <w:t xml:space="preserve">Alex Quigley grapples with vocabulary in his book </w:t>
      </w:r>
      <w:r>
        <w:rPr>
          <w:rFonts w:ascii="Arial" w:eastAsia="Times New Roman" w:hAnsi="Arial" w:cstheme="minorHAnsi"/>
          <w:bCs/>
          <w:i/>
          <w:color w:val="538135" w:themeColor="accent6" w:themeShade="BF"/>
          <w:szCs w:val="22"/>
          <w:shd w:val="clear" w:color="auto" w:fill="FFFFFF"/>
        </w:rPr>
        <w:t>‘Closing the Vocabulary Gap’</w:t>
      </w:r>
      <w:r>
        <w:rPr>
          <w:rFonts w:ascii="Arial" w:eastAsia="Times New Roman" w:hAnsi="Arial" w:cstheme="minorHAnsi"/>
          <w:bCs/>
          <w:color w:val="538135" w:themeColor="accent6" w:themeShade="BF"/>
          <w:szCs w:val="22"/>
          <w:shd w:val="clear" w:color="auto" w:fill="FFFFFF"/>
        </w:rPr>
        <w:t xml:space="preserve"> and he provides </w:t>
      </w:r>
      <w:proofErr w:type="gramStart"/>
      <w:r>
        <w:rPr>
          <w:rFonts w:ascii="Arial" w:eastAsia="Times New Roman" w:hAnsi="Arial" w:cstheme="minorHAnsi"/>
          <w:bCs/>
          <w:color w:val="538135" w:themeColor="accent6" w:themeShade="BF"/>
          <w:szCs w:val="22"/>
          <w:shd w:val="clear" w:color="auto" w:fill="FFFFFF"/>
        </w:rPr>
        <w:t>food for thought</w:t>
      </w:r>
      <w:proofErr w:type="gramEnd"/>
      <w:r>
        <w:rPr>
          <w:rFonts w:ascii="Arial" w:eastAsia="Times New Roman" w:hAnsi="Arial" w:cstheme="minorHAnsi"/>
          <w:bCs/>
          <w:color w:val="538135" w:themeColor="accent6" w:themeShade="BF"/>
          <w:szCs w:val="22"/>
          <w:shd w:val="clear" w:color="auto" w:fill="FFFFFF"/>
        </w:rPr>
        <w:t>.</w:t>
      </w:r>
    </w:p>
    <w:p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Cs/>
          <w:color w:val="538135" w:themeColor="accent6" w:themeShade="BF"/>
          <w:szCs w:val="22"/>
          <w:shd w:val="clear" w:color="auto" w:fill="FFFFFF"/>
        </w:rPr>
        <w:t> </w:t>
      </w:r>
    </w:p>
    <w:p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Cs/>
          <w:color w:val="538135" w:themeColor="accent6" w:themeShade="BF"/>
          <w:szCs w:val="22"/>
          <w:shd w:val="clear" w:color="auto" w:fill="FFFFFF"/>
        </w:rPr>
        <w:t xml:space="preserve">What is the percentage of words known in a text to ensure reading comprehension? </w:t>
      </w:r>
    </w:p>
    <w:p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theme="minorHAnsi"/>
          <w:bCs/>
          <w:color w:val="538135" w:themeColor="accent6" w:themeShade="BF"/>
          <w:szCs w:val="22"/>
          <w:shd w:val="clear" w:color="auto" w:fill="FFFFFF"/>
        </w:rPr>
        <w:t>50%</w:t>
      </w:r>
    </w:p>
    <w:p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theme="minorHAnsi"/>
          <w:bCs/>
          <w:color w:val="538135" w:themeColor="accent6" w:themeShade="BF"/>
          <w:szCs w:val="22"/>
          <w:shd w:val="clear" w:color="auto" w:fill="FFFFFF"/>
        </w:rPr>
        <w:t>60%</w:t>
      </w:r>
    </w:p>
    <w:p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theme="minorHAnsi"/>
          <w:bCs/>
          <w:color w:val="538135" w:themeColor="accent6" w:themeShade="BF"/>
          <w:szCs w:val="22"/>
          <w:shd w:val="clear" w:color="auto" w:fill="FFFFFF"/>
        </w:rPr>
        <w:t>75%</w:t>
      </w:r>
    </w:p>
    <w:p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theme="minorHAnsi"/>
          <w:bCs/>
          <w:color w:val="538135" w:themeColor="accent6" w:themeShade="BF"/>
          <w:szCs w:val="22"/>
          <w:shd w:val="clear" w:color="auto" w:fill="FFFFFF"/>
        </w:rPr>
        <w:t>90%</w:t>
      </w:r>
    </w:p>
    <w:p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theme="minorHAnsi"/>
          <w:bCs/>
          <w:color w:val="538135" w:themeColor="accent6" w:themeShade="BF"/>
          <w:szCs w:val="22"/>
          <w:shd w:val="clear" w:color="auto" w:fill="FFFFFF"/>
        </w:rPr>
        <w:t>95%</w:t>
      </w:r>
    </w:p>
    <w:p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Cs/>
          <w:color w:val="538135" w:themeColor="accent6" w:themeShade="BF"/>
          <w:szCs w:val="22"/>
          <w:shd w:val="clear" w:color="auto" w:fill="FFFFFF"/>
        </w:rPr>
        <w:t xml:space="preserve">The answer is a massive 95%.  If your first answer was nearer to 75%, then consider the following example of a definition that </w:t>
      </w:r>
      <w:proofErr w:type="gramStart"/>
      <w:r>
        <w:rPr>
          <w:rFonts w:ascii="Arial" w:eastAsia="Times New Roman" w:hAnsi="Arial" w:cstheme="minorHAnsi"/>
          <w:bCs/>
          <w:color w:val="538135" w:themeColor="accent6" w:themeShade="BF"/>
          <w:szCs w:val="22"/>
          <w:shd w:val="clear" w:color="auto" w:fill="FFFFFF"/>
        </w:rPr>
        <w:t>could be encountered</w:t>
      </w:r>
      <w:proofErr w:type="gramEnd"/>
      <w:r>
        <w:rPr>
          <w:rFonts w:ascii="Arial" w:eastAsia="Times New Roman" w:hAnsi="Arial" w:cstheme="minorHAnsi"/>
          <w:bCs/>
          <w:color w:val="538135" w:themeColor="accent6" w:themeShade="BF"/>
          <w:szCs w:val="22"/>
          <w:shd w:val="clear" w:color="auto" w:fill="FFFFFF"/>
        </w:rPr>
        <w:t xml:space="preserve"> by a secondary school student with approximately 75% of the words blacked out to obstruct comprehension:</w:t>
      </w:r>
    </w:p>
    <w:p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Cs/>
          <w:color w:val="538135" w:themeColor="accent6" w:themeShade="BF"/>
          <w:szCs w:val="22"/>
          <w:shd w:val="clear" w:color="auto" w:fill="FFFFFF"/>
        </w:rPr>
        <w:t> </w:t>
      </w:r>
    </w:p>
    <w:p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noProof/>
          <w:color w:val="538135" w:themeColor="accent6" w:themeShade="BF"/>
          <w:szCs w:val="22"/>
          <w:shd w:val="clear" w:color="auto" w:fill="FFFFFF"/>
        </w:rPr>
        <w:lastRenderedPageBreak/>
        <w:drawing>
          <wp:inline distT="0" distB="0" distL="0" distR="0">
            <wp:extent cx="4293235" cy="1466850"/>
            <wp:effectExtent l="0" t="0" r="0" b="0"/>
            <wp:docPr id="5" name="Picture 5" descr="cid:dc0773a7-d4a1-4d4c-bcf7-eceb70fbc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31774" descr="cid:dc0773a7-d4a1-4d4c-bcf7-eceb70fbc755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23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Cs/>
          <w:color w:val="538135" w:themeColor="accent6" w:themeShade="BF"/>
          <w:szCs w:val="22"/>
          <w:shd w:val="clear" w:color="auto" w:fill="FFFFFF"/>
        </w:rPr>
        <w:t> </w:t>
      </w:r>
    </w:p>
    <w:p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Cs/>
          <w:color w:val="538135" w:themeColor="accent6" w:themeShade="BF"/>
          <w:szCs w:val="22"/>
          <w:shd w:val="clear" w:color="auto" w:fill="FFFFFF"/>
        </w:rPr>
        <w:t xml:space="preserve">Can you identify the process that </w:t>
      </w:r>
      <w:proofErr w:type="gramStart"/>
      <w:r>
        <w:rPr>
          <w:rFonts w:ascii="Arial" w:eastAsia="Times New Roman" w:hAnsi="Arial" w:cstheme="minorHAnsi"/>
          <w:bCs/>
          <w:color w:val="538135" w:themeColor="accent6" w:themeShade="BF"/>
          <w:szCs w:val="22"/>
          <w:shd w:val="clear" w:color="auto" w:fill="FFFFFF"/>
        </w:rPr>
        <w:t>is being described</w:t>
      </w:r>
      <w:proofErr w:type="gramEnd"/>
      <w:r>
        <w:rPr>
          <w:rFonts w:ascii="Arial" w:eastAsia="Times New Roman" w:hAnsi="Arial" w:cstheme="minorHAnsi"/>
          <w:bCs/>
          <w:color w:val="538135" w:themeColor="accent6" w:themeShade="BF"/>
          <w:szCs w:val="22"/>
          <w:shd w:val="clear" w:color="auto" w:fill="FFFFFF"/>
        </w:rPr>
        <w:t>?  If not, how about trying just two words being omitted (thereby making it approximately 95% of the words known).  Can you identify the missing words and complete the definition now?</w:t>
      </w:r>
    </w:p>
    <w:p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/>
          <w:bCs/>
          <w:i/>
          <w:color w:val="FF0000"/>
          <w:sz w:val="18"/>
          <w:szCs w:val="22"/>
          <w:shd w:val="clear" w:color="auto" w:fill="FFFFFF"/>
        </w:rPr>
        <w:t> </w:t>
      </w:r>
    </w:p>
    <w:p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Cs/>
          <w:color w:val="2F5496" w:themeColor="accent5" w:themeShade="BF"/>
          <w:szCs w:val="22"/>
          <w:u w:val="single"/>
          <w:shd w:val="clear" w:color="auto" w:fill="FFFFFF"/>
        </w:rPr>
        <w:t>Talk-Talk!  Structure of the Week: Round Robin</w:t>
      </w:r>
    </w:p>
    <w:p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</w:p>
    <w:p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Cs/>
          <w:noProof/>
          <w:color w:val="2F5496" w:themeColor="accent5" w:themeShade="BF"/>
          <w:szCs w:val="22"/>
          <w:shd w:val="clear" w:color="auto" w:fill="FFFFFF"/>
        </w:rPr>
        <w:drawing>
          <wp:inline distT="0" distB="0" distL="0" distR="0">
            <wp:extent cx="2915285" cy="2125980"/>
            <wp:effectExtent l="0" t="0" r="0" b="7620"/>
            <wp:docPr id="4" name="Picture 4" descr="cid:e106e7d9-2120-4116-8758-7da3a15418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43141" descr="cid:e106e7d9-2120-4116-8758-7da3a15418bb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Cs/>
          <w:color w:val="2F5496" w:themeColor="accent5" w:themeShade="BF"/>
          <w:szCs w:val="22"/>
          <w:shd w:val="clear" w:color="auto" w:fill="FFFFFF"/>
        </w:rPr>
        <w:t xml:space="preserve">Over the last few weeks, I have suggested resurrecting </w:t>
      </w:r>
      <w:r>
        <w:rPr>
          <w:rFonts w:ascii="Arial" w:eastAsia="Times New Roman" w:hAnsi="Arial" w:cstheme="minorHAnsi"/>
          <w:b/>
          <w:bCs/>
          <w:i/>
          <w:color w:val="2F5496" w:themeColor="accent5" w:themeShade="BF"/>
          <w:szCs w:val="22"/>
          <w:shd w:val="clear" w:color="auto" w:fill="FFFFFF"/>
        </w:rPr>
        <w:t>think-pair-share</w:t>
      </w:r>
      <w:r>
        <w:rPr>
          <w:rFonts w:ascii="Arial" w:eastAsia="Times New Roman" w:hAnsi="Arial" w:cstheme="minorHAnsi"/>
          <w:bCs/>
          <w:color w:val="2F5496" w:themeColor="accent5" w:themeShade="BF"/>
          <w:szCs w:val="22"/>
          <w:shd w:val="clear" w:color="auto" w:fill="FFFFFF"/>
        </w:rPr>
        <w:t xml:space="preserve"> and the </w:t>
      </w:r>
      <w:r>
        <w:rPr>
          <w:rFonts w:ascii="Arial" w:eastAsia="Times New Roman" w:hAnsi="Arial" w:cstheme="minorHAnsi"/>
          <w:b/>
          <w:bCs/>
          <w:i/>
          <w:color w:val="2F5496" w:themeColor="accent5" w:themeShade="BF"/>
          <w:szCs w:val="22"/>
          <w:shd w:val="clear" w:color="auto" w:fill="FFFFFF"/>
        </w:rPr>
        <w:t xml:space="preserve">rally robin </w:t>
      </w:r>
      <w:r>
        <w:rPr>
          <w:rFonts w:ascii="Arial" w:eastAsia="Times New Roman" w:hAnsi="Arial" w:cstheme="minorHAnsi"/>
          <w:bCs/>
          <w:i/>
          <w:color w:val="2F5496" w:themeColor="accent5" w:themeShade="BF"/>
          <w:szCs w:val="22"/>
          <w:shd w:val="clear" w:color="auto" w:fill="FFFFFF"/>
        </w:rPr>
        <w:t>structures to focus group work</w:t>
      </w:r>
      <w:r>
        <w:rPr>
          <w:rFonts w:ascii="Arial" w:eastAsia="Times New Roman" w:hAnsi="Arial" w:cstheme="minorHAnsi"/>
          <w:bCs/>
          <w:color w:val="2F5496" w:themeColor="accent5" w:themeShade="BF"/>
          <w:szCs w:val="22"/>
          <w:shd w:val="clear" w:color="auto" w:fill="FFFFFF"/>
        </w:rPr>
        <w:t xml:space="preserve">.  This week, try another of the </w:t>
      </w:r>
      <w:proofErr w:type="spellStart"/>
      <w:r>
        <w:rPr>
          <w:rFonts w:ascii="Arial" w:eastAsia="Times New Roman" w:hAnsi="Arial" w:cstheme="minorHAnsi"/>
          <w:bCs/>
          <w:color w:val="2F5496" w:themeColor="accent5" w:themeShade="BF"/>
          <w:szCs w:val="22"/>
          <w:shd w:val="clear" w:color="auto" w:fill="FFFFFF"/>
        </w:rPr>
        <w:t>Kagan</w:t>
      </w:r>
      <w:proofErr w:type="spellEnd"/>
      <w:r>
        <w:rPr>
          <w:rFonts w:ascii="Arial" w:eastAsia="Times New Roman" w:hAnsi="Arial" w:cstheme="minorHAnsi"/>
          <w:bCs/>
          <w:color w:val="2F5496" w:themeColor="accent5" w:themeShade="BF"/>
          <w:szCs w:val="22"/>
          <w:shd w:val="clear" w:color="auto" w:fill="FFFFFF"/>
        </w:rPr>
        <w:t xml:space="preserve"> top five, by using round robin in trios to develop ideas further.  </w:t>
      </w:r>
      <w:proofErr w:type="gramStart"/>
      <w:r>
        <w:rPr>
          <w:rFonts w:ascii="Arial" w:eastAsia="Times New Roman" w:hAnsi="Arial" w:cstheme="minorHAnsi"/>
          <w:bCs/>
          <w:color w:val="2F5496" w:themeColor="accent5" w:themeShade="BF"/>
          <w:szCs w:val="22"/>
          <w:shd w:val="clear" w:color="auto" w:fill="FFFFFF"/>
        </w:rPr>
        <w:t>Forgotten how it works?</w:t>
      </w:r>
      <w:proofErr w:type="gramEnd"/>
      <w:r>
        <w:rPr>
          <w:rFonts w:ascii="Arial" w:eastAsia="Times New Roman" w:hAnsi="Arial" w:cstheme="minorHAnsi"/>
          <w:bCs/>
          <w:color w:val="2F5496" w:themeColor="accent5" w:themeShade="BF"/>
          <w:szCs w:val="22"/>
          <w:shd w:val="clear" w:color="auto" w:fill="FFFFFF"/>
        </w:rPr>
        <w:t xml:space="preserve">  Here is a recap:</w:t>
      </w:r>
    </w:p>
    <w:p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Cs/>
          <w:color w:val="2F5496" w:themeColor="accent5" w:themeShade="BF"/>
          <w:szCs w:val="22"/>
          <w:shd w:val="clear" w:color="auto" w:fill="FFFFFF"/>
        </w:rPr>
        <w:t> </w:t>
      </w:r>
    </w:p>
    <w:p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Cs/>
          <w:color w:val="2F5496" w:themeColor="accent5" w:themeShade="BF"/>
          <w:szCs w:val="22"/>
          <w:shd w:val="clear" w:color="auto" w:fill="FFFFFF"/>
        </w:rPr>
        <w:lastRenderedPageBreak/>
        <w:t> </w:t>
      </w:r>
      <w:r>
        <w:rPr>
          <w:rFonts w:ascii="Arial" w:eastAsia="Times New Roman" w:hAnsi="Arial" w:cstheme="minorHAnsi"/>
          <w:bCs/>
          <w:noProof/>
          <w:color w:val="2F5496" w:themeColor="accent5" w:themeShade="BF"/>
          <w:szCs w:val="22"/>
          <w:shd w:val="clear" w:color="auto" w:fill="FFFFFF"/>
        </w:rPr>
        <w:drawing>
          <wp:inline distT="0" distB="0" distL="0" distR="0">
            <wp:extent cx="3331210" cy="2571115"/>
            <wp:effectExtent l="0" t="0" r="2540" b="635"/>
            <wp:docPr id="3" name="Picture 3" descr="cid:8345b8ac-5b1a-4c06-b9c8-b667bcf6f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23126" descr="cid:8345b8ac-5b1a-4c06-b9c8-b667bcf6f966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25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Cs/>
          <w:color w:val="2E74B5" w:themeColor="accent1" w:themeShade="BF"/>
          <w:szCs w:val="22"/>
          <w:shd w:val="clear" w:color="auto" w:fill="FFFFFF"/>
        </w:rPr>
        <w:t xml:space="preserve">Remember that we have books on cooperative learning in our CPD library.  Feel free to sign out and borrow. </w:t>
      </w:r>
    </w:p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541270" cy="1294130"/>
            <wp:effectExtent l="0" t="0" r="0" b="1270"/>
            <wp:docPr id="2" name="Picture 2" descr="cid:6f012272-a0b5-4e96-aaca-c955cf6cd0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1785" descr="cid:6f012272-a0b5-4e96-aaca-c955cf6cd0d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</w:p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</w:p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</w:p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/>
          <w:bCs/>
          <w:color w:val="7030A0"/>
          <w:u w:val="single"/>
          <w:shd w:val="clear" w:color="auto" w:fill="FFFFFF"/>
        </w:rPr>
        <w:t>Top Tips in Two this Term (</w:t>
      </w:r>
      <w:proofErr w:type="spellStart"/>
      <w:r>
        <w:rPr>
          <w:rFonts w:ascii="Arial" w:eastAsia="Times New Roman" w:hAnsi="Arial" w:cstheme="minorHAnsi"/>
          <w:b/>
          <w:bCs/>
          <w:color w:val="7030A0"/>
          <w:u w:val="single"/>
          <w:shd w:val="clear" w:color="auto" w:fill="FFFFFF"/>
        </w:rPr>
        <w:t>HoDs</w:t>
      </w:r>
      <w:proofErr w:type="spellEnd"/>
      <w:r>
        <w:rPr>
          <w:rFonts w:ascii="Arial" w:eastAsia="Times New Roman" w:hAnsi="Arial" w:cstheme="minorHAnsi"/>
          <w:b/>
          <w:bCs/>
          <w:color w:val="7030A0"/>
          <w:u w:val="single"/>
          <w:shd w:val="clear" w:color="auto" w:fill="FFFFFF"/>
        </w:rPr>
        <w:t xml:space="preserve"> please organise who will share and let me know)</w:t>
      </w:r>
    </w:p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</w:p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color w:val="000000"/>
          <w:shd w:val="clear" w:color="auto" w:fill="FFFFFF"/>
        </w:rPr>
        <w:t> </w:t>
      </w:r>
      <w:r>
        <w:rPr>
          <w:rFonts w:ascii="Arial" w:eastAsia="Times New Roman" w:hAnsi="Arial" w:cstheme="minorHAnsi"/>
          <w:noProof/>
          <w:color w:val="000000"/>
          <w:shd w:val="clear" w:color="auto" w:fill="FFFFFF"/>
        </w:rPr>
        <w:drawing>
          <wp:inline distT="0" distB="0" distL="0" distR="0">
            <wp:extent cx="5189220" cy="1751330"/>
            <wp:effectExtent l="0" t="0" r="0" b="1270"/>
            <wp:docPr id="1" name="Picture 1" descr="cid:105c8921-4831-44d4-bc51-833af4b486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99589" descr="cid:105c8921-4831-44d4-bc51-833af4b486e7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color w:val="00B0F0"/>
          <w:shd w:val="clear" w:color="auto" w:fill="FFFFFF"/>
        </w:rPr>
        <w:t> </w:t>
      </w:r>
    </w:p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/>
          <w:color w:val="808080" w:themeColor="background1" w:themeShade="80"/>
          <w:u w:val="single"/>
          <w:shd w:val="clear" w:color="auto" w:fill="FFFFFF"/>
        </w:rPr>
        <w:lastRenderedPageBreak/>
        <w:t>CPD Opportunity</w:t>
      </w:r>
    </w:p>
    <w:p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color w:val="A6A6A6" w:themeColor="background1" w:themeShade="A6"/>
          <w:shd w:val="clear" w:color="auto" w:fill="FFFFFF"/>
        </w:rPr>
        <w:t xml:space="preserve">T&amp;L Think Tank is this evening 4-5pm at </w:t>
      </w:r>
      <w:proofErr w:type="spellStart"/>
      <w:r>
        <w:rPr>
          <w:rFonts w:ascii="Arial" w:eastAsia="Times New Roman" w:hAnsi="Arial" w:cstheme="minorHAnsi"/>
          <w:color w:val="A6A6A6" w:themeColor="background1" w:themeShade="A6"/>
          <w:shd w:val="clear" w:color="auto" w:fill="FFFFFF"/>
        </w:rPr>
        <w:t>Balshaws</w:t>
      </w:r>
      <w:proofErr w:type="spellEnd"/>
      <w:r>
        <w:rPr>
          <w:rFonts w:ascii="Arial" w:eastAsia="Times New Roman" w:hAnsi="Arial" w:cstheme="minorHAnsi"/>
          <w:color w:val="A6A6A6" w:themeColor="background1" w:themeShade="A6"/>
          <w:shd w:val="clear" w:color="auto" w:fill="FFFFFF"/>
        </w:rPr>
        <w:t xml:space="preserve">.  Please let me know if you intend to do.  The focus is </w:t>
      </w:r>
      <w:r>
        <w:rPr>
          <w:rFonts w:ascii="Arial" w:hAnsi="Arial" w:cstheme="minorHAnsi"/>
          <w:color w:val="A6A6A6" w:themeColor="background1" w:themeShade="A6"/>
        </w:rPr>
        <w:t xml:space="preserve">engagement strategies, particularly with underachieving boys.  You </w:t>
      </w:r>
      <w:proofErr w:type="gramStart"/>
      <w:r>
        <w:rPr>
          <w:rFonts w:ascii="Arial" w:hAnsi="Arial" w:cstheme="minorHAnsi"/>
          <w:color w:val="A6A6A6" w:themeColor="background1" w:themeShade="A6"/>
        </w:rPr>
        <w:t>are asked</w:t>
      </w:r>
      <w:proofErr w:type="gramEnd"/>
      <w:r>
        <w:rPr>
          <w:rFonts w:ascii="Arial" w:hAnsi="Arial" w:cstheme="minorHAnsi"/>
          <w:color w:val="A6A6A6" w:themeColor="background1" w:themeShade="A6"/>
        </w:rPr>
        <w:t xml:space="preserve"> to take an example to share and discuss of a strategy that has worked for you / in your school. As this is after school, you could use this as part of your study group time if you are in the boys group.</w:t>
      </w:r>
    </w:p>
    <w:p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theme="minorHAnsi"/>
          <w:color w:val="A6A6A6" w:themeColor="background1" w:themeShade="A6"/>
        </w:rPr>
        <w:t> </w:t>
      </w:r>
    </w:p>
    <w:p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theme="minorHAnsi"/>
          <w:color w:val="A6A6A6" w:themeColor="background1" w:themeShade="A6"/>
        </w:rPr>
        <w:t xml:space="preserve">Other CPD opportunities </w:t>
      </w:r>
      <w:proofErr w:type="gramStart"/>
      <w:r>
        <w:rPr>
          <w:rFonts w:ascii="Arial" w:hAnsi="Arial" w:cstheme="minorHAnsi"/>
          <w:color w:val="A6A6A6" w:themeColor="background1" w:themeShade="A6"/>
        </w:rPr>
        <w:t>were emailed</w:t>
      </w:r>
      <w:proofErr w:type="gramEnd"/>
      <w:r>
        <w:rPr>
          <w:rFonts w:ascii="Arial" w:hAnsi="Arial" w:cstheme="minorHAnsi"/>
          <w:color w:val="A6A6A6" w:themeColor="background1" w:themeShade="A6"/>
        </w:rPr>
        <w:t xml:space="preserve"> out last week through the Preston Teaching School’s Alliance.  Please let me know if you would like to attend any.  I have had some interest in some of the meetings, which again, could count as part of your study group time allocation as they are twilight sessions.</w:t>
      </w:r>
    </w:p>
    <w:p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color w:val="A6A6A6" w:themeColor="background1" w:themeShade="A6"/>
          <w:shd w:val="clear" w:color="auto" w:fill="FFFFFF"/>
        </w:rPr>
        <w:t> </w:t>
      </w:r>
    </w:p>
    <w:p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color w:val="A6A6A6" w:themeColor="background1" w:themeShade="A6"/>
          <w:shd w:val="clear" w:color="auto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53DE"/>
    <w:multiLevelType w:val="multilevel"/>
    <w:tmpl w:val="6AF6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C72BB5"/>
    <w:multiLevelType w:val="multilevel"/>
    <w:tmpl w:val="14D4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8316B-222C-4B9F-950B-1053EA6F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106e7d9-2120-4116-8758-7da3a15418bb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cid:6f012272-a0b5-4e96-aaca-c955cf6cd0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dc0773a7-d4a1-4d4c-bcf7-eceb70fbc755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cid:8345b8ac-5b1a-4c06-b9c8-b667bcf6f96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cid:105c8921-4831-44d4-bc51-833af4b486e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Harris</dc:creator>
  <cp:keywords/>
  <dc:description/>
  <cp:lastModifiedBy>J Harris</cp:lastModifiedBy>
  <cp:revision>1</cp:revision>
  <dcterms:created xsi:type="dcterms:W3CDTF">2018-11-19T07:16:00Z</dcterms:created>
  <dcterms:modified xsi:type="dcterms:W3CDTF">2018-11-19T08:05:00Z</dcterms:modified>
</cp:coreProperties>
</file>