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1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July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833C0B" w:themeColor="accent2" w:themeShade="80"/>
              </w:rPr>
              <w:t>Key word bingo!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 w:cstheme="minorHAnsi"/>
                <w:color w:val="833C0B" w:themeColor="accent2" w:themeShade="80"/>
              </w:rPr>
              <w:t>Give students a blank 9-square grid.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 w:cstheme="minorHAnsi"/>
                <w:color w:val="833C0B" w:themeColor="accent2" w:themeShade="80"/>
              </w:rPr>
              <w:t>Ask them to write key words for a topic in each square.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 w:cstheme="minorHAnsi"/>
                <w:color w:val="833C0B" w:themeColor="accent2" w:themeShade="80"/>
              </w:rPr>
              <w:t>Teacher reads definitions and students cross off the words that they match.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 w:cstheme="minorHAnsi"/>
                <w:color w:val="833C0B" w:themeColor="accent2" w:themeShade="80"/>
              </w:rPr>
              <w:t>First one to shout ‘line’ and then ‘house’ would win a prize.</w:t>
            </w:r>
          </w:p>
        </w:tc>
        <w:tc>
          <w:tcPr>
            <w:tcW w:w="453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833C0B" w:themeColor="accent2" w:themeShade="80"/>
              </w:rPr>
              <w:t>Use mini-whiteboards to encourage ALL students to answer questions.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833C0B" w:themeColor="accent2" w:themeShade="80"/>
              </w:rPr>
              <w:t> 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i/>
          <w:color w:val="000000"/>
          <w:highlight w:val="yellow"/>
          <w:shd w:val="clear" w:color="auto" w:fill="FFFFFF"/>
        </w:rPr>
        <w:t>KEY FOCUSES: behaviour for learning, use of mini-whiteboards, expectations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45911"/>
          <w:sz w:val="28"/>
          <w:szCs w:val="28"/>
          <w:shd w:val="clear" w:color="auto" w:fill="FFFFFF"/>
        </w:rPr>
        <w:t>This week: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‘Truth’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.  The PPT includes some optical illusions and asks students to consider the link between ‘truth’ and ‘honesty’.  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Assemblies</w:t>
      </w:r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– LY and TH will split the assemblies this week to cover both the theme and the dangers of cold water.  They will liaise with PCs.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FF0000"/>
          <w:highlight w:val="yellow"/>
          <w:shd w:val="clear" w:color="auto" w:fill="FFFFFF"/>
        </w:rPr>
        <w:t>Consistency</w:t>
      </w:r>
      <w:r>
        <w:rPr>
          <w:rFonts w:ascii="Calibri" w:eastAsia="Times New Roman" w:hAnsi="Calibri" w:cs="Calibri"/>
          <w:bCs/>
          <w:color w:val="FF0000"/>
          <w:highlight w:val="yellow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Cs/>
          <w:color w:val="D05C12"/>
          <w:highlight w:val="yellow"/>
          <w:shd w:val="clear" w:color="auto" w:fill="FFFFFF"/>
        </w:rPr>
        <w:t>– please ensure that you have the following posters displayed in your rooms/on door:</w:t>
      </w:r>
    </w:p>
    <w:p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Cs/>
          <w:color w:val="D05C12"/>
          <w:highlight w:val="yellow"/>
          <w:shd w:val="clear" w:color="auto" w:fill="FFFFFF"/>
        </w:rPr>
        <w:t>Classroom routines (PH)</w:t>
      </w:r>
    </w:p>
    <w:p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Cs/>
          <w:color w:val="D05C12"/>
          <w:highlight w:val="yellow"/>
          <w:shd w:val="clear" w:color="auto" w:fill="FFFFFF"/>
        </w:rPr>
        <w:t>Reading recommendations poster (please also write in a book) – LG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proofErr w:type="spellStart"/>
      <w:r>
        <w:rPr>
          <w:rFonts w:ascii="Calibri" w:eastAsia="Times New Roman" w:hAnsi="Calibri" w:cs="Calibri"/>
          <w:b/>
          <w:color w:val="FF0000"/>
        </w:rPr>
        <w:t>Yr</w:t>
      </w:r>
      <w:proofErr w:type="spellEnd"/>
      <w:r>
        <w:rPr>
          <w:rFonts w:ascii="Calibri" w:eastAsia="Times New Roman" w:hAnsi="Calibri" w:cs="Calibri"/>
          <w:b/>
          <w:color w:val="FF0000"/>
        </w:rPr>
        <w:t xml:space="preserve"> 7</w:t>
      </w:r>
      <w:proofErr w:type="gramStart"/>
      <w:r>
        <w:rPr>
          <w:rFonts w:ascii="Calibri" w:eastAsia="Times New Roman" w:hAnsi="Calibri" w:cs="Calibri"/>
          <w:b/>
          <w:color w:val="FF0000"/>
        </w:rPr>
        <w:t>,8,9</w:t>
      </w:r>
      <w:proofErr w:type="gramEnd"/>
      <w:r>
        <w:rPr>
          <w:rFonts w:ascii="Calibri" w:eastAsia="Times New Roman" w:hAnsi="Calibri" w:cs="Calibri"/>
          <w:b/>
          <w:color w:val="FF0000"/>
        </w:rPr>
        <w:t xml:space="preserve"> Book Looks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Many thanks for the books seen.  Middle Leaders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will be sent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individual subject feedback this week.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– meetings as usual this week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Thanks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Many thanks for your input in Pastries and Progress last week.  Revision tips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have been typed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in the CPD Cascade section below.  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Progress since Ofsted</w:t>
      </w:r>
      <w:r>
        <w:rPr>
          <w:rFonts w:ascii="Calibri" w:eastAsia="Times New Roman" w:hAnsi="Calibri" w:cs="Calibri"/>
          <w:color w:val="C45911" w:themeColor="accent2" w:themeShade="BF"/>
        </w:rPr>
        <w:t xml:space="preserve">: C. Morris’ visit on Thursday is important in terms of showing that we have acted since Ofsted’s visit last summer. 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Let’s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be at our best and show that we are proud to work at WLD and to do what is needed to improve. 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Reminders: </w:t>
      </w:r>
    </w:p>
    <w:p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color w:val="C45911" w:themeColor="accent2" w:themeShade="BF"/>
          <w:highlight w:val="yellow"/>
        </w:rPr>
        <w:t>Second CPD session tonight (see CPD Cascade section below).</w:t>
      </w:r>
    </w:p>
    <w:p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color w:val="C45911" w:themeColor="accent2" w:themeShade="BF"/>
        </w:rPr>
        <w:t xml:space="preserve">Study Group feedback celebration will be in the final full week: </w:t>
      </w:r>
      <w:r>
        <w:rPr>
          <w:rFonts w:ascii="Calibri" w:eastAsia="Times New Roman" w:hAnsi="Calibri" w:cs="Calibri"/>
          <w:b/>
          <w:color w:val="FF0000"/>
        </w:rPr>
        <w:t>15</w:t>
      </w:r>
      <w:r>
        <w:rPr>
          <w:rFonts w:ascii="Calibri" w:eastAsia="Times New Roman" w:hAnsi="Calibri" w:cs="Calibri"/>
          <w:b/>
          <w:color w:val="FF0000"/>
          <w:vertAlign w:val="superscript"/>
        </w:rPr>
        <w:t>th</w:t>
      </w:r>
      <w:r>
        <w:rPr>
          <w:rFonts w:ascii="Calibri" w:eastAsia="Times New Roman" w:hAnsi="Calibri" w:cs="Calibri"/>
          <w:b/>
          <w:color w:val="FF0000"/>
        </w:rPr>
        <w:t xml:space="preserve"> July.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>After school until 4:15pm.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538135"/>
          <w:sz w:val="28"/>
          <w:szCs w:val="28"/>
        </w:rPr>
        <w:t>Our T&amp;L Targets: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538135" w:themeColor="accent6" w:themeShade="BF"/>
          <w:szCs w:val="22"/>
        </w:rPr>
        <w:t>Brilliant teaching and learning</w:t>
      </w:r>
      <w:r>
        <w:rPr>
          <w:rFonts w:ascii="Arial" w:eastAsia="Times New Roman" w:hAnsi="Arial" w:cs="Arial"/>
          <w:noProof/>
          <w:color w:val="538135" w:themeColor="accent6" w:themeShade="BF"/>
        </w:rPr>
        <w:t xml:space="preserve"> 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sp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etc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).                     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lastRenderedPageBreak/>
        <w:t>Progress for students with low starting points</w:t>
      </w:r>
    </w:p>
    <w:p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006FC9"/>
          <w:sz w:val="28"/>
          <w:szCs w:val="28"/>
        </w:rPr>
        <w:t>Think about this...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 w:val="0"/>
          <w:bCs w:val="0"/>
          <w:color w:val="006FC9"/>
          <w:sz w:val="24"/>
          <w:szCs w:val="24"/>
        </w:rPr>
        <w:t>We all have students who like to be extremely helpful and go on errands for us; or want to go to the toilet or to print something out mid-way through a lesson.  The time out of our rooms, soon tallies up. 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 w:val="0"/>
          <w:bCs w:val="0"/>
          <w:color w:val="006FC9"/>
          <w:sz w:val="24"/>
          <w:szCs w:val="24"/>
        </w:rPr>
        <w:t>If students are regularly late, or are out of the room for just five minutes – and this becomes a habit across the day – over the course of the week, this student could miss more than two hours of learning!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 w:val="0"/>
          <w:bCs w:val="0"/>
          <w:color w:val="006FC9"/>
          <w:sz w:val="24"/>
          <w:szCs w:val="24"/>
        </w:rPr>
        <w:t xml:space="preserve">Before we allow students to leave our classrooms, </w:t>
      </w:r>
      <w:proofErr w:type="gramStart"/>
      <w:r>
        <w:rPr>
          <w:rFonts w:ascii="Calibri" w:eastAsia="Times New Roman" w:hAnsi="Calibri" w:cs="Calibri"/>
          <w:b w:val="0"/>
          <w:bCs w:val="0"/>
          <w:color w:val="006FC9"/>
          <w:sz w:val="24"/>
          <w:szCs w:val="24"/>
        </w:rPr>
        <w:t>let's</w:t>
      </w:r>
      <w:proofErr w:type="gramEnd"/>
      <w:r>
        <w:rPr>
          <w:rFonts w:ascii="Calibri" w:eastAsia="Times New Roman" w:hAnsi="Calibri" w:cs="Calibri"/>
          <w:b w:val="0"/>
          <w:bCs w:val="0"/>
          <w:color w:val="006FC9"/>
          <w:sz w:val="24"/>
          <w:szCs w:val="24"/>
        </w:rPr>
        <w:t xml:space="preserve"> ask ourselves, 'is it really necessary?' After all, every minute counts.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Talk-Talk!  Three Structures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Please use these (or other) structures when doing anything other than teacher-led instruction: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Think-Pair-Share OR Timed-Pair-Share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Silent conversation OR Continuous Rally Robin</w:t>
      </w:r>
    </w:p>
    <w:p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Jigsaw groups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C00000"/>
        </w:rPr>
        <w:t>The PowerPoint for this Top Tip is stored in the ‘WLD Teachers’ Team under ‘Teaching and Learning’.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5" w:history="1">
        <w:proofErr w:type="spellStart"/>
        <w:r>
          <w:rPr>
            <w:rStyle w:val="Hyperlink"/>
            <w:rFonts w:ascii="Calibri" w:eastAsia="Times New Roman" w:hAnsi="Calibri" w:cs="Calibri"/>
          </w:rPr>
          <w:t>Kagan</w:t>
        </w:r>
        <w:proofErr w:type="spellEnd"/>
        <w:r>
          <w:rPr>
            <w:rStyle w:val="Hyperlink"/>
            <w:rFonts w:ascii="Calibri" w:eastAsia="Times New Roman" w:hAnsi="Calibri" w:cs="Calibri"/>
          </w:rPr>
          <w:t xml:space="preserve"> Three Structures</w:t>
        </w:r>
      </w:hyperlink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this Half-Term    </w:t>
      </w:r>
      <w:r>
        <w:rPr>
          <w:rFonts w:ascii="Arial" w:eastAsia="Times New Roman" w:hAnsi="Arial" w:cs="Arial"/>
          <w:color w:val="000000"/>
        </w:rPr>
        <w:t> </w:t>
      </w:r>
    </w:p>
    <w:tbl>
      <w:tblPr>
        <w:tblW w:w="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559"/>
        <w:gridCol w:w="4394"/>
      </w:tblGrid>
      <w:tr>
        <w:tc>
          <w:tcPr>
            <w:tcW w:w="8642" w:type="dxa"/>
            <w:gridSpan w:val="5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FFFFFF" w:themeColor="background1"/>
              </w:rPr>
              <w:t>SUMMER 2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W/C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3/06/19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Technology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proofErr w:type="spellStart"/>
            <w:r>
              <w:rPr>
                <w:rFonts w:cstheme="minorHAnsi"/>
                <w:strike/>
              </w:rPr>
              <w:t>Sh</w:t>
            </w:r>
            <w:proofErr w:type="spellEnd"/>
            <w:r>
              <w:rPr>
                <w:rFonts w:cstheme="minorHAnsi"/>
                <w:strike/>
              </w:rPr>
              <w:t xml:space="preserve"> – revision idea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10/6/19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MFL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Classroom Keys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17/06/19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Science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>AY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24/06/19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Pastries and Progress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ALL – discuss effective revision strategies for teaching skills and content.</w:t>
            </w:r>
          </w:p>
          <w:p>
            <w:pPr>
              <w:spacing w:before="100" w:beforeAutospacing="1"/>
            </w:pPr>
            <w:r>
              <w:rPr>
                <w:rFonts w:cstheme="minorHAnsi"/>
              </w:rPr>
              <w:t>How have you used mini-whiteboards in the revision process?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strike/>
                <w:color w:val="000000"/>
              </w:rPr>
              <w:t>1/07/19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strike/>
                <w:color w:val="000000"/>
              </w:rPr>
              <w:t>TU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strike/>
              </w:rPr>
              <w:t xml:space="preserve">Internet Safety 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8/07/19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NQTs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JS, CJ, AW</w:t>
            </w:r>
          </w:p>
        </w:tc>
      </w:tr>
      <w:tr>
        <w:tc>
          <w:tcPr>
            <w:tcW w:w="42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15/07/19</w:t>
            </w:r>
          </w:p>
        </w:tc>
        <w:tc>
          <w:tcPr>
            <w:tcW w:w="9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</w:tc>
      </w:tr>
    </w:tbl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0000"/>
        </w:rPr>
        <w:t> 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67171" w:themeColor="background2" w:themeShade="80"/>
        </w:rPr>
        <w:t>CPD Cascade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b/>
          <w:bCs/>
          <w:color w:val="FF0000"/>
          <w:szCs w:val="22"/>
        </w:rPr>
        <w:t>Literacy Workshops</w:t>
      </w:r>
      <w:r>
        <w:rPr>
          <w:rStyle w:val="xeop"/>
          <w:rFonts w:asciiTheme="minorHAnsi" w:hAnsiTheme="minorHAnsi" w:cstheme="minorHAnsi"/>
          <w:color w:val="FF0000"/>
          <w:szCs w:val="22"/>
        </w:rPr>
        <w:t xml:space="preserve"> – </w:t>
      </w:r>
      <w:r>
        <w:rPr>
          <w:rStyle w:val="xeop"/>
          <w:rFonts w:asciiTheme="minorHAnsi" w:hAnsiTheme="minorHAnsi" w:cstheme="minorHAnsi"/>
          <w:b/>
          <w:color w:val="FF0000"/>
          <w:szCs w:val="22"/>
        </w:rPr>
        <w:t>this Monday (3:15-4:15 at the latest)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Theme="minorHAnsi" w:hAnsiTheme="minorHAnsi" w:cstheme="minorHAnsi"/>
          <w:color w:val="808080" w:themeColor="background1" w:themeShade="80"/>
          <w:szCs w:val="22"/>
        </w:rPr>
        <w:t>Please spend this hour, as a department, sharing what you learnt/took away from last week’s CPD sessions on: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lastRenderedPageBreak/>
        <w:t>Mini-whiteboards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Vocabulary building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Extended writing</w:t>
      </w:r>
    </w:p>
    <w:p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Structured talk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</w:rPr>
        <w:t> </w:t>
      </w:r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  <w:highlight w:val="yellow"/>
        </w:rPr>
        <w:t xml:space="preserve">As you share, please complete the </w:t>
      </w:r>
      <w:proofErr w:type="spellStart"/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  <w:highlight w:val="yellow"/>
        </w:rPr>
        <w:t>proforma</w:t>
      </w:r>
      <w:proofErr w:type="spellEnd"/>
      <w:r>
        <w:rPr>
          <w:rStyle w:val="xnormaltextrun"/>
          <w:rFonts w:asciiTheme="minorHAnsi" w:eastAsia="Times New Roman" w:hAnsiTheme="minorHAnsi" w:cstheme="minorHAnsi"/>
          <w:color w:val="808080" w:themeColor="background1" w:themeShade="80"/>
          <w:szCs w:val="22"/>
          <w:highlight w:val="yellow"/>
        </w:rPr>
        <w:t xml:space="preserve"> saved in Teams and accessible via </w:t>
      </w:r>
      <w:hyperlink r:id="rId6" w:history="1">
        <w:r>
          <w:rPr>
            <w:rStyle w:val="Hyperlink"/>
            <w:rFonts w:asciiTheme="minorHAnsi" w:eastAsia="Times New Roman" w:hAnsiTheme="minorHAnsi" w:cstheme="minorHAnsi"/>
            <w:szCs w:val="22"/>
            <w:highlight w:val="yellow"/>
          </w:rPr>
          <w:t>this link.</w:t>
        </w:r>
      </w:hyperlink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Theme="minorHAnsi" w:eastAsia="Times New Roman" w:hAnsiTheme="minorHAnsi" w:cstheme="minorHAnsi"/>
          <w:color w:val="808080" w:themeColor="background1" w:themeShade="80"/>
          <w:szCs w:val="22"/>
        </w:rPr>
        <w:t>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b/>
          <w:color w:val="808080" w:themeColor="background1" w:themeShade="80"/>
          <w:szCs w:val="22"/>
        </w:rPr>
        <w:t>Cyber Security Top Tip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808080" w:themeColor="background1" w:themeShade="80"/>
          <w:szCs w:val="22"/>
        </w:rPr>
        <w:t xml:space="preserve">Thanks to Dave for sharing this with </w:t>
      </w:r>
      <w:proofErr w:type="gramStart"/>
      <w:r>
        <w:rPr>
          <w:rFonts w:ascii="Arial" w:hAnsi="Arial" w:cstheme="minorHAnsi"/>
          <w:color w:val="808080" w:themeColor="background1" w:themeShade="80"/>
          <w:szCs w:val="22"/>
        </w:rPr>
        <w:t>us and apologies</w:t>
      </w:r>
      <w:proofErr w:type="gramEnd"/>
      <w:r>
        <w:rPr>
          <w:rFonts w:ascii="Arial" w:hAnsi="Arial" w:cstheme="minorHAnsi"/>
          <w:color w:val="808080" w:themeColor="background1" w:themeShade="80"/>
          <w:szCs w:val="22"/>
        </w:rPr>
        <w:t xml:space="preserve"> it was cut short.  The PPT has been uploaded to our WLD Teachers’ team and is accessible </w:t>
      </w:r>
      <w:hyperlink r:id="rId7" w:history="1">
        <w:r>
          <w:rPr>
            <w:rStyle w:val="Hyperlink"/>
            <w:rFonts w:ascii="Arial" w:hAnsi="Arial" w:cstheme="minorHAnsi"/>
            <w:szCs w:val="22"/>
          </w:rPr>
          <w:t>here</w:t>
        </w:r>
      </w:hyperlink>
      <w:r>
        <w:rPr>
          <w:rFonts w:ascii="Arial" w:hAnsi="Arial" w:cstheme="minorHAnsi"/>
          <w:color w:val="808080" w:themeColor="background1" w:themeShade="80"/>
          <w:szCs w:val="22"/>
        </w:rPr>
        <w:t>.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808080" w:themeColor="background1" w:themeShade="80"/>
          <w:szCs w:val="22"/>
        </w:rPr>
        <w:t>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b/>
          <w:color w:val="808080" w:themeColor="background1" w:themeShade="80"/>
          <w:szCs w:val="22"/>
        </w:rPr>
        <w:t>Pastries and Progress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808080" w:themeColor="background1" w:themeShade="80"/>
          <w:szCs w:val="22"/>
        </w:rPr>
        <w:t>Thanks for sharing ideas in Pastries and Progress last week.  I have added the ideas shared below so that you can try them (look at how many you shared!):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Low stakes past papers questions on MWBs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Comparing mark schemes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Relays with exam questions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Paper chains with questions and answers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Turning explanations into stories using imagination and creativity to link concepts together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Exam review (using examiners’ reports)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Cue cards – questions on back, answers on front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Personalised learning plans – pupils RAG their topics. Write down the ‘RED’ points to focus on; be honest.  Can be collated and processed but this can be time-consuming.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Past paper questions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Look at WAGOLLs (what a good one looks like) and WABOLLs (bad ones)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Revision mats with many recall and calculation practice.  Then attempt and exam question.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Knowledge organisers.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5 a day starters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Preparing set answers to longer questions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Revision clocks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Dual coding – images and words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Exploding small pieces of information or quotations – springboard for extended writing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Use phones to record revision notes.  Listen to them before bed.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Colour coded notes</w:t>
      </w:r>
    </w:p>
    <w:p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zCs w:val="22"/>
        </w:rPr>
        <w:t>Doddle Learn for spaced learning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2CE4"/>
    <w:multiLevelType w:val="multilevel"/>
    <w:tmpl w:val="BEA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16330"/>
    <w:multiLevelType w:val="multilevel"/>
    <w:tmpl w:val="FAB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D629E"/>
    <w:multiLevelType w:val="multilevel"/>
    <w:tmpl w:val="104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E4EA9"/>
    <w:multiLevelType w:val="multilevel"/>
    <w:tmpl w:val="C07C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904DA"/>
    <w:multiLevelType w:val="multilevel"/>
    <w:tmpl w:val="8B5A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554D8"/>
    <w:multiLevelType w:val="multilevel"/>
    <w:tmpl w:val="558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D208-2B8F-4D7D-A811-6F8E29B9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xparagraph">
    <w:name w:val="xparagraph"/>
    <w:basedOn w:val="Normal"/>
    <w:uiPriority w:val="99"/>
    <w:semiHidden/>
  </w:style>
  <w:style w:type="character" w:customStyle="1" w:styleId="xnormaltextrun">
    <w:name w:val="xnormaltextrun"/>
    <w:basedOn w:val="DefaultParagraphFont"/>
  </w:style>
  <w:style w:type="character" w:customStyle="1" w:styleId="xeop">
    <w:name w:val="xeop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file/1A33A469-2139-4FB1-A4E9-52E0BA9DA711?tenantId=e2c1c4a9-e444-46de-bc3b-a98c82527d33&amp;fileType=ppt&amp;objectUrl=https%3A%2F%2F8884150.sharepoint.com%2Fsites%2FWLDTeachers%2FShared%2520Documents%2FTeaching%2520and%2520Learning%2FTop%2520Tips%2520in%2520Two%2520Minutes%2FComputer%2520Safety%2FOnline%2520Safety%2520Cyber%2520Crime%2520TU.ppt&amp;serviceName=teams&amp;threadId=19:88af73d36e4e44118029bbd9832c463b@thread.skype&amp;groupId=334f6390-7bf8-4407-bcd2-d73698bc5d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file/7EDA561E-3CCA-44C8-B4EF-3CDD2752B0D2?tenantId=e2c1c4a9-e444-46de-bc3b-a98c82527d33&amp;fileType=docx&amp;objectUrl=https%3A%2F%2F8884150.sharepoint.com%2Fsites%2FWLDTeachers%2FShared%20Documents%2FCPD%2FJune%2019%20CPD%20Sessions%2FCPD%20Takeaways%20June.docx&amp;baseUrl=https%3A%2F%2F8884150.sharepoint.com%2Fsites%2FWLDTeachers&amp;serviceName=teams&amp;threadId=19:89c1ff43480544169117ceb4e059d956@thread.skype&amp;groupId=334f6390-7bf8-4407-bcd2-d73698bc5d63" TargetMode="External"/><Relationship Id="rId5" Type="http://schemas.openxmlformats.org/officeDocument/2006/relationships/hyperlink" Target="https://teams.microsoft.com/l/file/E16AD0B5-81AF-4C89-9917-4E4608013119?tenantId=e2c1c4a9-e444-46de-bc3b-a98c82527d33&amp;fileType=pptx&amp;objectUrl=https%3A%2F%2F8884150.sharepoint.com%2Fsites%2FWLDTeachers%2FShared%20Documents%2FTeaching%20and%20Learning%2FTop%20Tips%20in%20Two%20Minutes%2FkAGAN%20top%20tip.pptx&amp;baseUrl=https%3A%2F%2F8884150.sharepoint.com%2Fsites%2FWLDTeachers&amp;serviceName=teams&amp;threadId=19:88af73d36e4e44118029bbd9832c463b@thread.skype&amp;groupId=334f6390-7bf8-4407-bcd2-d73698bc5d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2019-06-30T20:46:00Z</dcterms:created>
  <dcterms:modified xsi:type="dcterms:W3CDTF">2019-06-30T20:48:00Z</dcterms:modified>
</cp:coreProperties>
</file>