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</w:rPr>
        <w:t>WLD Teaching and Learning Digest – w/c 25</w:t>
      </w: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</w:rPr>
        <w:t xml:space="preserve"> March 2019</w:t>
      </w:r>
    </w:p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tbl>
      <w:tblPr>
        <w:tblW w:w="9062" w:type="dxa"/>
        <w:shd w:val="clear" w:color="auto" w:fill="F7CAA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5103"/>
      </w:tblGrid>
      <w:t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u w:val="single"/>
              </w:rPr>
              <w:t>COMMUNICATION FOCUSES</w:t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sz w:val="20"/>
              </w:rPr>
              <w:t> </w:t>
            </w:r>
          </w:p>
          <w:p>
            <w:pPr>
              <w:spacing w:before="100" w:beforeAutospacing="1"/>
              <w:jc w:val="center"/>
            </w:pPr>
            <w:proofErr w:type="gramStart"/>
            <w:r>
              <w:rPr>
                <w:rFonts w:eastAsia="Times New Roman" w:cstheme="minorHAnsi"/>
                <w:color w:val="0070C0"/>
                <w:sz w:val="20"/>
                <w:szCs w:val="20"/>
              </w:rPr>
              <w:t>Open your exercise books…are your students told how to communicate more effectively?</w:t>
            </w:r>
            <w:proofErr w:type="gramEnd"/>
            <w:r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 Is the whole-school literacy marking policy evident?</w:t>
            </w:r>
          </w:p>
        </w:tc>
        <w:tc>
          <w:tcPr>
            <w:tcW w:w="510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u w:val="single"/>
              </w:rPr>
              <w:t>INCLUSION FOR ALL</w:t>
            </w:r>
          </w:p>
          <w:p>
            <w:pPr>
              <w:spacing w:before="100" w:beforeAutospacing="1"/>
            </w:pPr>
            <w:r>
              <w:rPr>
                <w:rFonts w:eastAsia="Times New Roman" w:cstheme="minorHAnsi"/>
                <w:color w:val="0070C0"/>
                <w:sz w:val="20"/>
                <w:szCs w:val="20"/>
              </w:rPr>
              <w:t> </w:t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color w:val="0070C0"/>
                <w:sz w:val="20"/>
              </w:rPr>
              <w:t xml:space="preserve">Use your mini-whiteboards to promote instant feedback and to give everyone the chance to contribute </w:t>
            </w:r>
          </w:p>
        </w:tc>
      </w:tr>
    </w:tbl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C45911"/>
          <w:shd w:val="clear" w:color="auto" w:fill="FFFFFF"/>
        </w:rPr>
        <w:t>This week: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D05C12"/>
          <w:shd w:val="clear" w:color="auto" w:fill="FFFFFF"/>
        </w:rPr>
        <w:t>The </w:t>
      </w:r>
      <w:r>
        <w:rPr>
          <w:rFonts w:ascii="Calibri" w:eastAsia="Times New Roman" w:hAnsi="Calibri" w:cs="Calibri"/>
          <w:b/>
          <w:bCs/>
          <w:color w:val="FF0000"/>
          <w:shd w:val="clear" w:color="auto" w:fill="FFFFFF"/>
        </w:rPr>
        <w:t>thought for the week</w:t>
      </w:r>
      <w:r>
        <w:rPr>
          <w:rFonts w:ascii="Calibri" w:eastAsia="Times New Roman" w:hAnsi="Calibri" w:cs="Calibri"/>
          <w:color w:val="D05C12"/>
          <w:shd w:val="clear" w:color="auto" w:fill="FFFFFF"/>
        </w:rPr>
        <w:t> this week is </w:t>
      </w:r>
      <w:r>
        <w:rPr>
          <w:rFonts w:ascii="Calibri" w:eastAsia="Times New Roman" w:hAnsi="Calibri" w:cs="Calibri"/>
          <w:b/>
          <w:bCs/>
          <w:color w:val="D05C12"/>
          <w:shd w:val="clear" w:color="auto" w:fill="FFFFFF"/>
        </w:rPr>
        <w:t xml:space="preserve">‘In the News – Fake News’.   </w:t>
      </w:r>
      <w:r>
        <w:rPr>
          <w:rFonts w:ascii="Calibri" w:eastAsia="Times New Roman" w:hAnsi="Calibri" w:cs="Calibri"/>
          <w:bCs/>
          <w:color w:val="D05C12"/>
          <w:shd w:val="clear" w:color="auto" w:fill="FFFFFF"/>
        </w:rPr>
        <w:t>Please read the poster in registers.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REMINDER</w:t>
      </w:r>
      <w:r>
        <w:rPr>
          <w:rFonts w:ascii="Calibri" w:eastAsia="Times New Roman" w:hAnsi="Calibri" w:cs="Calibri"/>
          <w:color w:val="000000"/>
        </w:rPr>
        <w:t xml:space="preserve">: </w:t>
      </w:r>
      <w:r>
        <w:rPr>
          <w:rFonts w:ascii="Calibri" w:eastAsia="Times New Roman" w:hAnsi="Calibri" w:cs="Calibri"/>
          <w:b/>
          <w:bCs/>
          <w:color w:val="FF0000"/>
          <w:shd w:val="clear" w:color="auto" w:fill="FFFFFF"/>
        </w:rPr>
        <w:t xml:space="preserve">We </w:t>
      </w:r>
      <w:r>
        <w:rPr>
          <w:rFonts w:ascii="Calibri" w:eastAsia="Times New Roman" w:hAnsi="Calibri" w:cs="Calibri"/>
          <w:b/>
          <w:bCs/>
          <w:i/>
          <w:color w:val="FF0000"/>
          <w:u w:val="single"/>
          <w:shd w:val="clear" w:color="auto" w:fill="FFFFFF"/>
        </w:rPr>
        <w:t>Are</w:t>
      </w:r>
      <w:r>
        <w:rPr>
          <w:rFonts w:ascii="Calibri" w:eastAsia="Times New Roman" w:hAnsi="Calibri" w:cs="Calibri"/>
          <w:b/>
          <w:bCs/>
          <w:color w:val="FF0000"/>
          <w:shd w:val="clear" w:color="auto" w:fill="FFFFFF"/>
        </w:rPr>
        <w:t xml:space="preserve"> </w:t>
      </w:r>
      <w:proofErr w:type="gramStart"/>
      <w:r>
        <w:rPr>
          <w:rFonts w:ascii="Calibri" w:eastAsia="Times New Roman" w:hAnsi="Calibri" w:cs="Calibri"/>
          <w:b/>
          <w:bCs/>
          <w:color w:val="FF0000"/>
          <w:shd w:val="clear" w:color="auto" w:fill="FFFFFF"/>
        </w:rPr>
        <w:t>Reading</w:t>
      </w:r>
      <w:r>
        <w:rPr>
          <w:rFonts w:ascii="Calibri" w:eastAsia="Times New Roman" w:hAnsi="Calibri" w:cs="Calibri"/>
          <w:bCs/>
          <w:color w:val="FF0000"/>
          <w:shd w:val="clear" w:color="auto" w:fill="FFFFFF"/>
        </w:rPr>
        <w:t>:</w:t>
      </w:r>
      <w:proofErr w:type="gramEnd"/>
      <w:r>
        <w:rPr>
          <w:rFonts w:ascii="Calibri" w:eastAsia="Times New Roman" w:hAnsi="Calibri" w:cs="Calibri"/>
          <w:bCs/>
          <w:color w:val="FF0000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b/>
          <w:bCs/>
          <w:color w:val="FF0000"/>
          <w:shd w:val="clear" w:color="auto" w:fill="FFFFFF"/>
        </w:rPr>
        <w:t>THERE ARE STILL SOME OF THESE MISSING/BLANK</w:t>
      </w:r>
      <w:r>
        <w:rPr>
          <w:rFonts w:ascii="Calibri" w:eastAsia="Times New Roman" w:hAnsi="Calibri" w:cs="Calibri"/>
          <w:bCs/>
          <w:color w:val="FF0000"/>
          <w:shd w:val="clear" w:color="auto" w:fill="FFFFFF"/>
        </w:rPr>
        <w:t xml:space="preserve">. </w:t>
      </w:r>
      <w:r>
        <w:rPr>
          <w:rFonts w:ascii="Calibri" w:eastAsia="Times New Roman" w:hAnsi="Calibri" w:cs="Calibri"/>
          <w:bCs/>
          <w:color w:val="D05C12"/>
          <w:shd w:val="clear" w:color="auto" w:fill="FFFFFF"/>
        </w:rPr>
        <w:t>Please display y</w:t>
      </w:r>
      <w:r>
        <w:rPr>
          <w:rFonts w:ascii="Calibri" w:eastAsia="Times New Roman" w:hAnsi="Calibri" w:cs="Calibri"/>
          <w:bCs/>
          <w:i/>
          <w:color w:val="D05C12"/>
          <w:shd w:val="clear" w:color="auto" w:fill="FFFFFF"/>
        </w:rPr>
        <w:t>our</w:t>
      </w:r>
      <w:r>
        <w:rPr>
          <w:rFonts w:ascii="Calibri" w:eastAsia="Times New Roman" w:hAnsi="Calibri" w:cs="Calibri"/>
          <w:bCs/>
          <w:color w:val="D05C12"/>
          <w:shd w:val="clear" w:color="auto" w:fill="FFFFFF"/>
        </w:rPr>
        <w:t xml:space="preserve"> Recommended Reads posters on your door AND write on a recommended read (past or current).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 w:themeColor="accent2" w:themeShade="BF"/>
        </w:rPr>
      </w:pPr>
      <w:r>
        <w:rPr>
          <w:rFonts w:ascii="Calibri" w:eastAsia="Times New Roman" w:hAnsi="Calibri" w:cs="Calibri"/>
          <w:b/>
          <w:color w:val="FF0000"/>
        </w:rPr>
        <w:t>NQTs</w:t>
      </w:r>
      <w:r>
        <w:rPr>
          <w:rFonts w:ascii="Calibri" w:eastAsia="Times New Roman" w:hAnsi="Calibri" w:cs="Calibri"/>
          <w:color w:val="FF0000"/>
        </w:rPr>
        <w:t xml:space="preserve"> </w:t>
      </w:r>
      <w:r>
        <w:rPr>
          <w:rFonts w:ascii="Calibri" w:eastAsia="Times New Roman" w:hAnsi="Calibri" w:cs="Calibri"/>
          <w:color w:val="C45911" w:themeColor="accent2" w:themeShade="BF"/>
        </w:rPr>
        <w:t>– end of term assessment meetings will be this week in normal slots.  Formal observations continue this week (CJ – meeting slot changed to Thurs due to observation).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38135" w:themeColor="accent6" w:themeShade="BF"/>
        </w:rPr>
      </w:pPr>
      <w:r>
        <w:rPr>
          <w:rFonts w:ascii="Calibri" w:eastAsia="Times New Roman" w:hAnsi="Calibri" w:cs="Calibri"/>
          <w:b/>
          <w:color w:val="FF0000"/>
        </w:rPr>
        <w:t xml:space="preserve">PTSA Trainee </w:t>
      </w:r>
      <w:r>
        <w:rPr>
          <w:rFonts w:ascii="Calibri" w:eastAsia="Times New Roman" w:hAnsi="Calibri" w:cs="Calibri"/>
          <w:color w:val="C45911" w:themeColor="accent2" w:themeShade="BF"/>
        </w:rPr>
        <w:t xml:space="preserve">– Assessment CPD meeting: Thursday period 4 in WS’s office.  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38135" w:themeColor="accent6" w:themeShade="BF"/>
        </w:rPr>
      </w:pPr>
      <w:r>
        <w:rPr>
          <w:rFonts w:ascii="Calibri" w:eastAsia="Times New Roman" w:hAnsi="Calibri" w:cs="Calibri"/>
          <w:b/>
          <w:bCs/>
          <w:color w:val="FF0000"/>
        </w:rPr>
        <w:t>Next week</w:t>
      </w:r>
      <w:r>
        <w:rPr>
          <w:rFonts w:ascii="Calibri" w:eastAsia="Times New Roman" w:hAnsi="Calibri" w:cs="Calibri"/>
          <w:color w:val="FF0000"/>
        </w:rPr>
        <w:t>:</w:t>
      </w:r>
      <w:r>
        <w:rPr>
          <w:rFonts w:ascii="Calibri" w:eastAsia="Times New Roman" w:hAnsi="Calibri" w:cs="Calibri"/>
          <w:color w:val="C45911" w:themeColor="accent2" w:themeShade="BF"/>
        </w:rPr>
        <w:t xml:space="preserve"> As the Bulletin says</w:t>
      </w:r>
      <w:proofErr w:type="gramStart"/>
      <w:r>
        <w:rPr>
          <w:rFonts w:ascii="Calibri" w:eastAsia="Times New Roman" w:hAnsi="Calibri" w:cs="Calibri"/>
          <w:color w:val="C45911" w:themeColor="accent2" w:themeShade="BF"/>
        </w:rPr>
        <w:t>,</w:t>
      </w:r>
      <w:proofErr w:type="gramEnd"/>
      <w:r>
        <w:rPr>
          <w:rFonts w:ascii="Calibri" w:eastAsia="Times New Roman" w:hAnsi="Calibri" w:cs="Calibri"/>
          <w:color w:val="C45911" w:themeColor="accent2" w:themeShade="BF"/>
        </w:rPr>
        <w:t xml:space="preserve"> J. Doyle will be in and around next Monday morning. Please continue to uphold our high standards. Many thanks in advance.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color w:val="538135" w:themeColor="accent6" w:themeShade="BF"/>
          <w:sz w:val="28"/>
          <w:szCs w:val="22"/>
        </w:rPr>
        <w:t>Our T&amp;L Targets: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538135" w:themeColor="accent6" w:themeShade="BF"/>
          <w:szCs w:val="22"/>
        </w:rPr>
        <w:t xml:space="preserve">Brilliant teaching and </w:t>
      </w:r>
      <w:proofErr w:type="gramStart"/>
      <w:r>
        <w:rPr>
          <w:rFonts w:ascii="Arial" w:hAnsi="Arial" w:cs="Arial"/>
          <w:b/>
          <w:bCs/>
          <w:color w:val="538135" w:themeColor="accent6" w:themeShade="BF"/>
          <w:szCs w:val="22"/>
        </w:rPr>
        <w:t>learning</w:t>
      </w:r>
      <w:r>
        <w:rPr>
          <w:rFonts w:ascii="Arial" w:hAnsi="Arial" w:cs="Arial"/>
          <w:color w:val="538135"/>
        </w:rPr>
        <w:t xml:space="preserve">  -</w:t>
      </w:r>
      <w:proofErr w:type="gramEnd"/>
      <w:r>
        <w:rPr>
          <w:rFonts w:ascii="Arial" w:hAnsi="Arial" w:cs="Arial"/>
          <w:color w:val="538135"/>
        </w:rPr>
        <w:t xml:space="preserve"> </w:t>
      </w:r>
      <w:r>
        <w:rPr>
          <w:rFonts w:ascii="Arial" w:hAnsi="Arial" w:cs="Arial"/>
          <w:b/>
          <w:bCs/>
          <w:color w:val="538135"/>
        </w:rPr>
        <w:t>the 'Toolkit'!</w:t>
      </w:r>
    </w:p>
    <w:p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 w:themeColor="accent6" w:themeShade="BF"/>
          <w:szCs w:val="22"/>
        </w:rPr>
        <w:t xml:space="preserve">Literacy – book looks will look at how well the literacy marking policy is implemented (i.e. </w:t>
      </w:r>
      <w:proofErr w:type="spellStart"/>
      <w:r>
        <w:rPr>
          <w:rFonts w:ascii="Arial" w:eastAsia="Times New Roman" w:hAnsi="Arial" w:cs="Arial"/>
          <w:color w:val="538135" w:themeColor="accent6" w:themeShade="BF"/>
          <w:szCs w:val="22"/>
        </w:rPr>
        <w:t>sp</w:t>
      </w:r>
      <w:proofErr w:type="spellEnd"/>
      <w:r>
        <w:rPr>
          <w:rFonts w:ascii="Arial" w:eastAsia="Times New Roman" w:hAnsi="Arial" w:cs="Arial"/>
          <w:color w:val="538135" w:themeColor="accent6" w:themeShade="BF"/>
          <w:szCs w:val="22"/>
        </w:rPr>
        <w:t xml:space="preserve">, u, p, np, </w:t>
      </w:r>
      <w:proofErr w:type="spellStart"/>
      <w:r>
        <w:rPr>
          <w:rFonts w:ascii="Arial" w:eastAsia="Times New Roman" w:hAnsi="Arial" w:cs="Arial"/>
          <w:color w:val="538135" w:themeColor="accent6" w:themeShade="BF"/>
          <w:szCs w:val="22"/>
        </w:rPr>
        <w:t>etc</w:t>
      </w:r>
      <w:proofErr w:type="spellEnd"/>
      <w:r>
        <w:rPr>
          <w:rFonts w:ascii="Arial" w:eastAsia="Times New Roman" w:hAnsi="Arial" w:cs="Arial"/>
          <w:color w:val="538135" w:themeColor="accent6" w:themeShade="BF"/>
          <w:szCs w:val="22"/>
        </w:rPr>
        <w:t xml:space="preserve">).                     </w:t>
      </w:r>
    </w:p>
    <w:p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 w:themeColor="accent6" w:themeShade="BF"/>
          <w:szCs w:val="22"/>
        </w:rPr>
        <w:t>Challenge for all – mini-whiteboards can be useful for this</w:t>
      </w:r>
    </w:p>
    <w:p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 w:themeColor="accent6" w:themeShade="BF"/>
          <w:szCs w:val="22"/>
        </w:rPr>
        <w:t>Progress for students with low starting points</w:t>
      </w:r>
    </w:p>
    <w:p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 w:themeColor="accent6" w:themeShade="BF"/>
          <w:szCs w:val="22"/>
        </w:rPr>
        <w:t>OM CLIPs – cross-curricular skills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C00000"/>
          <w:sz w:val="28"/>
          <w:szCs w:val="28"/>
          <w:shd w:val="clear" w:color="auto" w:fill="FFFFFF"/>
        </w:rPr>
        <w:t>Think about this…</w:t>
      </w: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C00000"/>
        </w:rPr>
        <w:t xml:space="preserve">As we move into the end game for our Year 11s, we all know that the need for purposeful and focused revision is </w:t>
      </w:r>
      <w:proofErr w:type="gramStart"/>
      <w:r>
        <w:rPr>
          <w:rFonts w:ascii="Arial" w:hAnsi="Arial" w:cs="Arial"/>
          <w:color w:val="C00000"/>
        </w:rPr>
        <w:t>absolutely crucial</w:t>
      </w:r>
      <w:proofErr w:type="gramEnd"/>
      <w:r>
        <w:rPr>
          <w:rFonts w:ascii="Arial" w:hAnsi="Arial" w:cs="Arial"/>
          <w:color w:val="C00000"/>
        </w:rPr>
        <w:t xml:space="preserve">.  For this week’s thought, consider how you use our teacher-generated ‘Brilliant Teaching Toolkit’ to help you plan your lessons. The approaches are relevant and simple but proven to work.  Two sections </w:t>
      </w:r>
      <w:proofErr w:type="gramStart"/>
      <w:r>
        <w:rPr>
          <w:rFonts w:ascii="Arial" w:hAnsi="Arial" w:cs="Arial"/>
          <w:color w:val="C00000"/>
        </w:rPr>
        <w:t>have been pasted</w:t>
      </w:r>
      <w:proofErr w:type="gramEnd"/>
      <w:r>
        <w:rPr>
          <w:rFonts w:ascii="Arial" w:hAnsi="Arial" w:cs="Arial"/>
          <w:color w:val="C00000"/>
        </w:rPr>
        <w:t xml:space="preserve"> below; you will be focusing on these, particularly in Year 11 classes at present:</w:t>
      </w: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572885" cy="6798310"/>
            <wp:effectExtent l="0" t="0" r="0" b="2540"/>
            <wp:docPr id="4" name="Picture 4" descr="cid:003e53ae-6f35-4280-ba70-7ef9e8a6d0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54224" descr="cid:003e53ae-6f35-4280-ba70-7ef9e8a6d07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85" cy="679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</w:p>
    <w:p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Cs w:val="22"/>
        </w:rPr>
        <w:t xml:space="preserve">Which of these approaches do you </w:t>
      </w:r>
      <w:proofErr w:type="gramStart"/>
      <w:r>
        <w:rPr>
          <w:rFonts w:ascii="Arial" w:hAnsi="Arial" w:cs="Arial"/>
          <w:b/>
          <w:color w:val="000000"/>
          <w:szCs w:val="22"/>
        </w:rPr>
        <w:t>use ?</w:t>
      </w:r>
      <w:proofErr w:type="gramEnd"/>
      <w:r>
        <w:rPr>
          <w:rFonts w:ascii="Arial" w:hAnsi="Arial" w:cs="Arial"/>
          <w:b/>
          <w:color w:val="000000"/>
          <w:szCs w:val="22"/>
        </w:rPr>
        <w:t xml:space="preserve"> How often?</w:t>
      </w:r>
    </w:p>
    <w:p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Cs w:val="22"/>
        </w:rPr>
        <w:t>Which approaches work best for your students?</w:t>
      </w:r>
    </w:p>
    <w:p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Cs w:val="22"/>
        </w:rPr>
        <w:t xml:space="preserve">Are your scaffolds effective? </w:t>
      </w:r>
      <w:proofErr w:type="gramStart"/>
      <w:r>
        <w:rPr>
          <w:rFonts w:ascii="Arial" w:hAnsi="Arial" w:cs="Arial"/>
          <w:b/>
          <w:color w:val="000000"/>
          <w:szCs w:val="22"/>
        </w:rPr>
        <w:t>Limiting?</w:t>
      </w:r>
      <w:proofErr w:type="gramEnd"/>
      <w:r>
        <w:rPr>
          <w:rFonts w:ascii="Arial" w:hAnsi="Arial" w:cs="Arial"/>
          <w:b/>
          <w:color w:val="000000"/>
          <w:szCs w:val="22"/>
        </w:rPr>
        <w:t xml:space="preserve"> </w:t>
      </w:r>
      <w:proofErr w:type="gramStart"/>
      <w:r>
        <w:rPr>
          <w:rFonts w:ascii="Arial" w:hAnsi="Arial" w:cs="Arial"/>
          <w:b/>
          <w:color w:val="000000"/>
          <w:szCs w:val="22"/>
        </w:rPr>
        <w:t>Challenging?</w:t>
      </w:r>
      <w:proofErr w:type="gramEnd"/>
    </w:p>
    <w:p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Cs w:val="22"/>
        </w:rPr>
        <w:t>Do you interleave learning?</w:t>
      </w:r>
    </w:p>
    <w:p>
      <w:pPr>
        <w:pStyle w:val="NormalWeb"/>
        <w:rPr>
          <w:rFonts w:ascii="Arial" w:hAnsi="Arial" w:cs="Arial"/>
          <w:b/>
          <w:bCs/>
          <w:color w:val="000000"/>
        </w:rPr>
      </w:pPr>
    </w:p>
    <w:p>
      <w:pPr>
        <w:rPr>
          <w:rFonts w:ascii="Arial" w:eastAsia="Times New Roman" w:hAnsi="Arial" w:cs="Arial"/>
          <w:b/>
          <w:bCs/>
          <w:color w:val="000000"/>
        </w:rPr>
      </w:pPr>
    </w:p>
    <w:p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2F5496"/>
          <w:sz w:val="28"/>
          <w:szCs w:val="28"/>
        </w:rPr>
        <w:t>Talk-Talk!  Structure of the Week: ‘JOT THOUGHTS’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2F5496" w:themeColor="accent5" w:themeShade="BF"/>
        </w:rPr>
        <w:lastRenderedPageBreak/>
        <w:br/>
      </w:r>
      <w:r>
        <w:rPr>
          <w:rFonts w:ascii="Arial" w:hAnsi="Arial" w:cs="Arial"/>
          <w:noProof/>
          <w:color w:val="2F5496" w:themeColor="accent5" w:themeShade="BF"/>
        </w:rPr>
        <w:br/>
        <w:t>This strategy works well and can be completed with minimal chat.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399915" cy="3639820"/>
            <wp:effectExtent l="0" t="0" r="635" b="0"/>
            <wp:docPr id="3" name="Picture 3" descr="cid:349a0292-f34f-455c-970f-27f4920ed3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06372" descr="cid:349a0292-f34f-455c-970f-27f4920ed37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15" cy="363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7030A0"/>
          <w:sz w:val="28"/>
          <w:szCs w:val="28"/>
          <w:shd w:val="clear" w:color="auto" w:fill="FFFFFF"/>
        </w:rPr>
        <w:t>Top Tips in Two this Half-Term    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7030A0"/>
        </w:rPr>
        <w:t>Please check the schedule below and let me know if there is a problem in advance.  Thanks for delivering a top tip.</w:t>
      </w:r>
    </w:p>
    <w:tbl>
      <w:tblPr>
        <w:tblW w:w="0" w:type="dxa"/>
        <w:tblInd w:w="-5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843"/>
      </w:tblGrid>
      <w:tr>
        <w:tc>
          <w:tcPr>
            <w:tcW w:w="141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nil"/>
            </w:tcBorders>
            <w:shd w:val="clear" w:color="auto" w:fill="4472C4" w:themeFill="accent5"/>
            <w:hideMark/>
          </w:tcPr>
          <w:p>
            <w:pPr>
              <w:spacing w:before="100" w:beforeAutospacing="1"/>
              <w:jc w:val="center"/>
            </w:pPr>
            <w:r>
              <w:rPr>
                <w:rFonts w:cstheme="minorHAnsi"/>
                <w:b/>
                <w:bCs/>
                <w:color w:val="FFFFFF" w:themeColor="background1"/>
                <w:highlight w:val="yellow"/>
              </w:rPr>
              <w:t>W/C</w:t>
            </w:r>
          </w:p>
        </w:tc>
        <w:tc>
          <w:tcPr>
            <w:tcW w:w="2835" w:type="dxa"/>
            <w:gridSpan w:val="2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FFFFFF" w:themeColor="background1"/>
              </w:rPr>
              <w:t> </w:t>
            </w:r>
          </w:p>
        </w:tc>
      </w:tr>
      <w:tr>
        <w:tc>
          <w:tcPr>
            <w:tcW w:w="141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25/03/2019</w:t>
            </w:r>
          </w:p>
        </w:tc>
        <w:tc>
          <w:tcPr>
            <w:tcW w:w="99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WED</w:t>
            </w:r>
          </w:p>
        </w:tc>
        <w:tc>
          <w:tcPr>
            <w:tcW w:w="18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English</w:t>
            </w:r>
          </w:p>
        </w:tc>
      </w:tr>
      <w:tr>
        <w:tc>
          <w:tcPr>
            <w:tcW w:w="141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1/04/2019</w:t>
            </w:r>
          </w:p>
        </w:tc>
        <w:tc>
          <w:tcPr>
            <w:tcW w:w="99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FRI</w:t>
            </w:r>
          </w:p>
        </w:tc>
        <w:tc>
          <w:tcPr>
            <w:tcW w:w="18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Technology</w:t>
            </w:r>
          </w:p>
        </w:tc>
      </w:tr>
    </w:tbl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color w:val="808080" w:themeColor="background1" w:themeShade="80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color w:val="7030A0"/>
          <w:u w:val="single"/>
          <w:shd w:val="clear" w:color="auto" w:fill="FFFFFF"/>
        </w:rPr>
        <w:t xml:space="preserve">DRAFT: Next </w:t>
      </w:r>
      <w:proofErr w:type="gramStart"/>
      <w:r>
        <w:rPr>
          <w:rFonts w:ascii="Arial" w:eastAsia="Times New Roman" w:hAnsi="Arial" w:cstheme="minorHAnsi"/>
          <w:b/>
          <w:color w:val="7030A0"/>
          <w:u w:val="single"/>
          <w:shd w:val="clear" w:color="auto" w:fill="FFFFFF"/>
        </w:rPr>
        <w:t>half-term</w:t>
      </w:r>
      <w:proofErr w:type="gramEnd"/>
      <w:r>
        <w:rPr>
          <w:rFonts w:ascii="Arial" w:eastAsia="Times New Roman" w:hAnsi="Arial" w:cstheme="minorHAnsi"/>
          <w:b/>
          <w:color w:val="7030A0"/>
          <w:u w:val="single"/>
          <w:shd w:val="clear" w:color="auto" w:fill="FFFFFF"/>
        </w:rPr>
        <w:t xml:space="preserve"> – Please check and let me know if you anticipate a problem.</w:t>
      </w: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color w:val="808080" w:themeColor="background1" w:themeShade="80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color w:val="808080" w:themeColor="background1" w:themeShade="80"/>
          <w:shd w:val="clear" w:color="auto" w:fill="FFFFFF"/>
        </w:rPr>
        <w:lastRenderedPageBreak/>
        <w:t> </w:t>
      </w:r>
      <w:r>
        <w:rPr>
          <w:rFonts w:ascii="Arial" w:eastAsia="Times New Roman" w:hAnsi="Arial" w:cstheme="minorHAnsi"/>
          <w:b/>
          <w:noProof/>
          <w:color w:val="808080" w:themeColor="background1" w:themeShade="80"/>
          <w:shd w:val="clear" w:color="auto" w:fill="FFFFFF"/>
        </w:rPr>
        <w:drawing>
          <wp:inline distT="0" distB="0" distL="0" distR="0">
            <wp:extent cx="4601845" cy="2517775"/>
            <wp:effectExtent l="0" t="0" r="8255" b="0"/>
            <wp:docPr id="2" name="Picture 2" descr="cid:509e5d4b-cece-4511-83ec-75a1b644ac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0029" descr="cid:509e5d4b-cece-4511-83ec-75a1b644ac9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808080"/>
          <w:u w:val="single"/>
        </w:rPr>
        <w:t> </w:t>
      </w: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color w:val="808080" w:themeColor="background1" w:themeShade="80"/>
          <w:u w:val="single"/>
          <w:shd w:val="clear" w:color="auto" w:fill="FFFFFF"/>
        </w:rPr>
        <w:t>CPD Cascade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hd w:val="clear" w:color="auto" w:fill="FFFFFF"/>
        </w:rPr>
        <w:t xml:space="preserve">One of my Year 11s expressed that he had found the Seneca resources </w:t>
      </w:r>
      <w:proofErr w:type="gramStart"/>
      <w:r>
        <w:rPr>
          <w:rFonts w:ascii="Arial" w:eastAsia="Times New Roman" w:hAnsi="Arial" w:cstheme="minorHAnsi"/>
          <w:color w:val="808080" w:themeColor="background1" w:themeShade="80"/>
          <w:shd w:val="clear" w:color="auto" w:fill="FFFFFF"/>
        </w:rPr>
        <w:t>really useful</w:t>
      </w:r>
      <w:proofErr w:type="gramEnd"/>
      <w:r>
        <w:rPr>
          <w:rFonts w:ascii="Arial" w:eastAsia="Times New Roman" w:hAnsi="Arial" w:cstheme="minorHAnsi"/>
          <w:color w:val="808080" w:themeColor="background1" w:themeShade="80"/>
          <w:shd w:val="clear" w:color="auto" w:fill="FFFFFF"/>
        </w:rPr>
        <w:t xml:space="preserve"> and that he wouldn’t have revised so much if he hadn’t found them.  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hd w:val="clear" w:color="auto" w:fill="FFFFFF"/>
        </w:rPr>
        <w:t xml:space="preserve">Set up courses for your Year 10s and 11s and see how they find the resources.  They </w:t>
      </w:r>
      <w:proofErr w:type="gramStart"/>
      <w:r>
        <w:rPr>
          <w:rFonts w:ascii="Arial" w:eastAsia="Times New Roman" w:hAnsi="Arial" w:cstheme="minorHAnsi"/>
          <w:color w:val="808080" w:themeColor="background1" w:themeShade="80"/>
          <w:shd w:val="clear" w:color="auto" w:fill="FFFFFF"/>
        </w:rPr>
        <w:t>won’t</w:t>
      </w:r>
      <w:proofErr w:type="gramEnd"/>
      <w:r>
        <w:rPr>
          <w:rFonts w:ascii="Arial" w:eastAsia="Times New Roman" w:hAnsi="Arial" w:cstheme="minorHAnsi"/>
          <w:color w:val="808080" w:themeColor="background1" w:themeShade="80"/>
          <w:shd w:val="clear" w:color="auto" w:fill="FFFFFF"/>
        </w:rPr>
        <w:t xml:space="preserve"> work for everyone, but it is worth doing for those independent learners who want to push themselves further.  </w:t>
      </w:r>
      <w:proofErr w:type="gramStart"/>
      <w:r>
        <w:rPr>
          <w:rFonts w:ascii="Arial" w:eastAsia="Times New Roman" w:hAnsi="Arial" w:cstheme="minorHAnsi"/>
          <w:color w:val="808080" w:themeColor="background1" w:themeShade="80"/>
          <w:shd w:val="clear" w:color="auto" w:fill="FFFFFF"/>
        </w:rPr>
        <w:t>Don’t</w:t>
      </w:r>
      <w:proofErr w:type="gramEnd"/>
      <w:r>
        <w:rPr>
          <w:rFonts w:ascii="Arial" w:eastAsia="Times New Roman" w:hAnsi="Arial" w:cstheme="minorHAnsi"/>
          <w:color w:val="808080" w:themeColor="background1" w:themeShade="80"/>
          <w:shd w:val="clear" w:color="auto" w:fill="FFFFFF"/>
        </w:rPr>
        <w:t xml:space="preserve"> let the setting up aspect put you off – it takes seconds. If you need help with this, many of us are using this so ask colleagues about it.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hyperlink r:id="rId11" w:history="1">
        <w:r>
          <w:rPr>
            <w:rStyle w:val="Hyperlink"/>
            <w:rFonts w:ascii="Arial" w:hAnsi="Arial" w:cs="Arial"/>
          </w:rPr>
          <w:t>https://www.senecalearning.com/</w:t>
        </w:r>
      </w:hyperlink>
    </w:p>
    <w:tbl>
      <w:tblPr>
        <w:tblW w:w="4500" w:type="pct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bottom w:w="300" w:type="dxa"/>
        </w:tblCellMar>
        <w:tblLook w:val="04A0" w:firstRow="1" w:lastRow="0" w:firstColumn="1" w:lastColumn="0" w:noHBand="0" w:noVBand="1"/>
      </w:tblPr>
      <w:tblGrid>
        <w:gridCol w:w="4065"/>
        <w:gridCol w:w="5354"/>
      </w:tblGrid>
      <w:tr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>
            <w:pPr>
              <w:shd w:val="clear" w:color="auto" w:fill="FFFFFF"/>
              <w:spacing w:before="300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381250" cy="1371600"/>
                  <wp:effectExtent l="0" t="0" r="0" b="0"/>
                  <wp:docPr id="1" name="Picture 1" descr="https://d17hukvrbysd4e.cloudfront.net/rsz_sharinglinkimage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5534632746880.3974313462675516" descr="https://d17hukvrbysd4e.cloudfront.net/rsz_sharinglink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before="300" w:line="315" w:lineRule="atLeast"/>
              <w:rPr>
                <w:rFonts w:ascii="Segoe UI Light" w:eastAsia="Times New Roman" w:hAnsi="Segoe UI Light" w:cs="Segoe UI Light"/>
                <w:color w:val="5FBCA2"/>
                <w:sz w:val="32"/>
                <w:szCs w:val="32"/>
              </w:rPr>
            </w:pPr>
            <w:hyperlink r:id="rId13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Learn Better, Faster, Free. - Seneca | Free Revision &amp; Homework Tool for A Level, GCSE, KS3 &amp; KS2</w:t>
              </w:r>
            </w:hyperlink>
          </w:p>
          <w:p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hyperlink r:id="rId14" w:history="1">
              <w:r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www.senecalearning.com</w:t>
              </w:r>
            </w:hyperlink>
          </w:p>
          <w:p>
            <w:pPr>
              <w:spacing w:before="30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Free revision for your GCSE &amp; A Level exams. Join over 1,000,000 students revising 2x faster across 250+ exam board specific A Level, GCSE &amp; KS3 Courses.</w:t>
            </w:r>
          </w:p>
        </w:tc>
      </w:tr>
    </w:tbl>
    <w:p>
      <w:pPr>
        <w:rPr>
          <w:rFonts w:ascii="Arial" w:eastAsia="Times New Roman" w:hAnsi="Arial" w:cs="Arial"/>
          <w:color w:val="000000"/>
        </w:rPr>
      </w:pP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A6A6A6" w:themeColor="background1" w:themeShade="A6"/>
          <w:shd w:val="clear" w:color="auto" w:fill="FFFFFF"/>
        </w:rPr>
        <w:t> </w:t>
      </w: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9129C"/>
    <w:multiLevelType w:val="multilevel"/>
    <w:tmpl w:val="2C644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514A2"/>
    <w:multiLevelType w:val="multilevel"/>
    <w:tmpl w:val="9142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34944-8992-4368-8486-133B7D63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49a0292-f34f-455c-970f-27f4920ed37e" TargetMode="External"/><Relationship Id="rId13" Type="http://schemas.openxmlformats.org/officeDocument/2006/relationships/hyperlink" Target="https://www.senecalearning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003e53ae-6f35-4280-ba70-7ef9e8a6d07a" TargetMode="External"/><Relationship Id="rId11" Type="http://schemas.openxmlformats.org/officeDocument/2006/relationships/hyperlink" Target="https://www.senecalearning.com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cid:509e5d4b-cece-4511-83ec-75a1b644ac9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seneca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 Harris</cp:lastModifiedBy>
  <cp:revision>1</cp:revision>
  <dcterms:created xsi:type="dcterms:W3CDTF">2019-03-25T08:15:00Z</dcterms:created>
  <dcterms:modified xsi:type="dcterms:W3CDTF">2019-03-25T08:16:00Z</dcterms:modified>
</cp:coreProperties>
</file>