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hd w:val="clear" w:color="auto" w:fill="FFFFFF"/>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26</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November 2018</w:t>
      </w:r>
    </w:p>
    <w:p>
      <w:pPr>
        <w:pStyle w:val="NormalWeb"/>
        <w:shd w:val="clear" w:color="auto" w:fill="FFFFFF"/>
        <w:jc w:val="center"/>
        <w:rPr>
          <w:rFonts w:ascii="Arial" w:hAnsi="Arial" w:cs="Arial"/>
          <w:color w:val="000000"/>
        </w:rPr>
      </w:pPr>
      <w:r>
        <w:rPr>
          <w:rFonts w:ascii="Arial" w:eastAsia="Times New Roman" w:hAnsi="Arial" w:cs="Arial"/>
          <w:color w:val="000000"/>
          <w:shd w:val="clear" w:color="auto" w:fill="FFFFFF"/>
        </w:rPr>
        <w:t> </w:t>
      </w:r>
    </w:p>
    <w:p>
      <w:pPr>
        <w:pStyle w:val="NormalWeb"/>
        <w:shd w:val="clear" w:color="auto" w:fill="FFFFFF"/>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4810"/>
        <w:gridCol w:w="3846"/>
      </w:tblGrid>
      <w:tr>
        <w:trPr>
          <w:jc w:val="center"/>
        </w:trPr>
        <w:tc>
          <w:tcPr>
            <w:tcW w:w="4810" w:type="dxa"/>
            <w:tcBorders>
              <w:top w:val="single" w:sz="8" w:space="0" w:color="FFFFFF"/>
              <w:left w:val="single" w:sz="8" w:space="0" w:color="FFFFFF"/>
              <w:bottom w:val="single" w:sz="8" w:space="0" w:color="FFFFFF"/>
              <w:right w:val="single" w:sz="8" w:space="0" w:color="FFFFFF"/>
            </w:tcBorders>
            <w:shd w:val="clear" w:color="auto" w:fill="auto"/>
            <w:tcMar>
              <w:top w:w="0" w:type="dxa"/>
              <w:left w:w="108" w:type="dxa"/>
              <w:bottom w:w="0" w:type="dxa"/>
              <w:right w:w="108" w:type="dxa"/>
            </w:tcMar>
            <w:hideMark/>
          </w:tcPr>
          <w:p>
            <w:pPr>
              <w:pStyle w:val="NormalWeb"/>
              <w:jc w:val="center"/>
            </w:pPr>
            <w:r>
              <w:rPr>
                <w:rFonts w:ascii="Calibri" w:eastAsia="Times New Roman" w:hAnsi="Calibri" w:cs="Calibri"/>
                <w:b/>
                <w:bCs/>
                <w:color w:val="0070C0"/>
                <w:szCs w:val="20"/>
                <w:u w:val="single"/>
              </w:rPr>
              <w:t>COMMUNICATION FOCUSES</w:t>
            </w:r>
          </w:p>
          <w:p>
            <w:pPr>
              <w:pStyle w:val="NormalWeb"/>
              <w:jc w:val="center"/>
            </w:pPr>
            <w:r>
              <w:rPr>
                <w:rFonts w:ascii="Calibri" w:eastAsia="Times New Roman" w:hAnsi="Calibri" w:cs="Calibri"/>
              </w:rPr>
              <w:t> </w:t>
            </w:r>
          </w:p>
          <w:p>
            <w:pPr>
              <w:pStyle w:val="NormalWeb"/>
              <w:jc w:val="center"/>
            </w:pPr>
            <w:r>
              <w:rPr>
                <w:rFonts w:ascii="Calibri" w:eastAsia="Times New Roman" w:hAnsi="Calibri" w:cs="Calibri"/>
                <w:color w:val="0070C0"/>
                <w:szCs w:val="20"/>
              </w:rPr>
              <w:t>Use the ‘rally robin’ approach to allow students to take it in turns to say words connected to a topic out loud.</w:t>
            </w:r>
          </w:p>
        </w:tc>
        <w:tc>
          <w:tcPr>
            <w:tcW w:w="3846" w:type="dxa"/>
            <w:tcBorders>
              <w:top w:val="single" w:sz="8" w:space="0" w:color="FFFFFF"/>
              <w:left w:val="nil"/>
              <w:bottom w:val="single" w:sz="8" w:space="0" w:color="FFFFFF"/>
              <w:right w:val="single" w:sz="8" w:space="0" w:color="FFFFFF"/>
            </w:tcBorders>
            <w:shd w:val="clear" w:color="auto" w:fill="auto"/>
            <w:tcMar>
              <w:top w:w="0" w:type="dxa"/>
              <w:left w:w="108" w:type="dxa"/>
              <w:bottom w:w="0" w:type="dxa"/>
              <w:right w:w="108" w:type="dxa"/>
            </w:tcMar>
            <w:hideMark/>
          </w:tcPr>
          <w:p>
            <w:pPr>
              <w:pStyle w:val="NormalWeb"/>
              <w:jc w:val="center"/>
            </w:pPr>
            <w:r>
              <w:rPr>
                <w:rFonts w:ascii="Calibri" w:eastAsia="Times New Roman" w:hAnsi="Calibri" w:cs="Calibri"/>
                <w:b/>
                <w:bCs/>
                <w:color w:val="0070C0"/>
                <w:szCs w:val="20"/>
                <w:u w:val="single"/>
              </w:rPr>
              <w:t>INCLUSION FOR ALL</w:t>
            </w:r>
          </w:p>
          <w:p>
            <w:pPr>
              <w:pStyle w:val="NormalWeb"/>
            </w:pPr>
            <w:r>
              <w:rPr>
                <w:rFonts w:ascii="Calibri" w:eastAsia="Times New Roman" w:hAnsi="Calibri" w:cs="Calibri"/>
                <w:color w:val="0070C0"/>
                <w:szCs w:val="20"/>
              </w:rPr>
              <w:t> </w:t>
            </w:r>
          </w:p>
          <w:p>
            <w:pPr>
              <w:pStyle w:val="NormalWeb"/>
              <w:jc w:val="center"/>
            </w:pPr>
            <w:r>
              <w:rPr>
                <w:rFonts w:ascii="Calibri" w:eastAsia="Times New Roman" w:hAnsi="Calibri" w:cs="Calibri"/>
                <w:color w:val="0070C0"/>
              </w:rPr>
              <w:t xml:space="preserve">Allow take-up time… Pause before prompting further.   </w:t>
            </w:r>
          </w:p>
        </w:tc>
      </w:tr>
    </w:tbl>
    <w:p>
      <w:pPr>
        <w:pStyle w:val="NormalWeb"/>
        <w:shd w:val="clear" w:color="auto" w:fill="FFFFFF"/>
        <w:rPr>
          <w:rFonts w:ascii="Arial" w:hAnsi="Arial" w:cs="Arial"/>
          <w:color w:val="000000"/>
        </w:rPr>
      </w:pPr>
      <w:r>
        <w:rPr>
          <w:rFonts w:ascii="Arial" w:eastAsia="Times New Roman" w:hAnsi="Arial" w:cs="Arial"/>
          <w:color w:val="000000"/>
          <w:shd w:val="clear" w:color="auto" w:fill="FFFFFF"/>
        </w:rPr>
        <w:t> </w:t>
      </w:r>
    </w:p>
    <w:p>
      <w:pPr>
        <w:pStyle w:val="NormalWeb"/>
        <w:shd w:val="clear" w:color="auto" w:fill="FFFFFF"/>
        <w:rPr>
          <w:rFonts w:ascii="Arial" w:hAnsi="Arial" w:cs="Arial"/>
          <w:color w:val="000000"/>
        </w:rPr>
      </w:pPr>
      <w:r>
        <w:rPr>
          <w:rFonts w:ascii="Calibri" w:eastAsia="Times New Roman" w:hAnsi="Calibri" w:cs="Calibri"/>
          <w:b/>
          <w:bCs/>
          <w:color w:val="C45911"/>
          <w:shd w:val="clear" w:color="auto" w:fill="FFFFFF"/>
        </w:rPr>
        <w:t> </w:t>
      </w:r>
    </w:p>
    <w:p>
      <w:pPr>
        <w:pStyle w:val="NormalWeb"/>
        <w:shd w:val="clear" w:color="auto" w:fill="FFFFFF"/>
        <w:rPr>
          <w:rFonts w:ascii="Arial" w:hAnsi="Arial" w:cs="Arial"/>
          <w:color w:val="000000"/>
        </w:rPr>
      </w:pPr>
      <w:r>
        <w:rPr>
          <w:rFonts w:ascii="Calibri" w:eastAsia="Times New Roman" w:hAnsi="Calibri" w:cs="Calibri"/>
          <w:b/>
          <w:bCs/>
          <w:color w:val="C45911"/>
          <w:u w:val="single"/>
          <w:shd w:val="clear" w:color="auto" w:fill="FFFFFF"/>
        </w:rPr>
        <w:t>This week:</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‘Random Acts of Kindness Calendars’ in preparation for the start of advent next week.  </w:t>
      </w:r>
      <w:r>
        <w:rPr>
          <w:rFonts w:ascii="Calibri" w:eastAsia="Times New Roman" w:hAnsi="Calibri" w:cs="Calibri"/>
          <w:bCs/>
          <w:color w:val="D05C12"/>
          <w:shd w:val="clear" w:color="auto" w:fill="FFFFFF"/>
        </w:rPr>
        <w:t>Please fill in the blank calendar in registers with your forms and display on noticeboards.</w:t>
      </w:r>
      <w:r>
        <w:rPr>
          <w:rFonts w:eastAsia="Times New Roman"/>
          <w:color w:val="000000"/>
        </w:rPr>
        <w:t xml:space="preserve"> </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b/>
          <w:color w:val="FF0000"/>
          <w:shd w:val="clear" w:color="auto" w:fill="FFFFFF"/>
        </w:rPr>
        <w:t xml:space="preserve">New staff and NQTs – </w:t>
      </w:r>
      <w:r>
        <w:rPr>
          <w:rFonts w:ascii="Calibri" w:eastAsia="Times New Roman" w:hAnsi="Calibri" w:cs="Calibri"/>
          <w:color w:val="C45911" w:themeColor="accent2" w:themeShade="BF"/>
          <w:shd w:val="clear" w:color="auto" w:fill="FFFFFF"/>
        </w:rPr>
        <w:t xml:space="preserve">No CPD session this week as it is a short week.   </w:t>
      </w:r>
      <w:r>
        <w:rPr>
          <w:rFonts w:eastAsia="Times New Roman"/>
          <w:color w:val="000000"/>
        </w:rPr>
        <w:t xml:space="preserve">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NQTs</w:t>
      </w:r>
      <w:r>
        <w:rPr>
          <w:rFonts w:ascii="Calibri" w:eastAsia="Times New Roman" w:hAnsi="Calibri" w:cs="Calibri"/>
          <w:color w:val="FF0000"/>
        </w:rPr>
        <w:t xml:space="preserve"> </w:t>
      </w:r>
      <w:r>
        <w:rPr>
          <w:rFonts w:ascii="Calibri" w:eastAsia="Times New Roman" w:hAnsi="Calibri" w:cs="Calibri"/>
          <w:color w:val="C45911" w:themeColor="accent2" w:themeShade="BF"/>
        </w:rPr>
        <w:t>– scheduled meetings with LG this week (LG’s office) to discuss progress against standards. Exemplars emailed out last week and format discussed.</w:t>
      </w:r>
      <w:r>
        <w:rPr>
          <w:rFonts w:eastAsia="Times New Roman"/>
          <w:color w:val="C45911" w:themeColor="accent2" w:themeShade="BF"/>
        </w:rPr>
        <w:t xml:space="preserve">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10</w:t>
      </w:r>
      <w:r>
        <w:rPr>
          <w:rFonts w:ascii="Calibri" w:eastAsia="Times New Roman" w:hAnsi="Calibri" w:cs="Calibri"/>
          <w:b/>
          <w:color w:val="FF0000"/>
          <w:vertAlign w:val="superscript"/>
        </w:rPr>
        <w:t>th</w:t>
      </w:r>
      <w:r>
        <w:rPr>
          <w:rFonts w:ascii="Calibri" w:eastAsia="Times New Roman" w:hAnsi="Calibri" w:cs="Calibri"/>
          <w:b/>
          <w:color w:val="FF0000"/>
        </w:rPr>
        <w:t xml:space="preserve"> December – </w:t>
      </w:r>
      <w:r>
        <w:rPr>
          <w:rFonts w:ascii="Calibri" w:eastAsia="Times New Roman" w:hAnsi="Calibri" w:cs="Calibri"/>
          <w:color w:val="C45911" w:themeColor="accent2" w:themeShade="BF"/>
        </w:rPr>
        <w:t>Walton le Dale Staff Christmas market @3.15</w:t>
      </w:r>
      <w:r>
        <w:rPr>
          <w:rFonts w:eastAsia="Times New Roman"/>
          <w:color w:val="C45911" w:themeColor="accent2" w:themeShade="BF"/>
        </w:rPr>
        <w:t xml:space="preserve"> </w:t>
      </w:r>
    </w:p>
    <w:p>
      <w:pPr>
        <w:numPr>
          <w:ilvl w:val="0"/>
          <w:numId w:val="1"/>
        </w:numPr>
        <w:shd w:val="clear" w:color="auto" w:fill="FFFFFF"/>
        <w:spacing w:before="100" w:beforeAutospacing="1" w:after="100" w:afterAutospacing="1"/>
        <w:jc w:val="both"/>
        <w:rPr>
          <w:rFonts w:ascii="Arial" w:eastAsia="Times New Roman" w:hAnsi="Arial" w:cs="Arial"/>
          <w:color w:val="538135" w:themeColor="accent6" w:themeShade="BF"/>
        </w:rPr>
      </w:pPr>
      <w:r>
        <w:rPr>
          <w:rStyle w:val="Strong"/>
          <w:rFonts w:ascii="Arial" w:eastAsia="Times New Roman" w:hAnsi="Arial" w:cs="Arial"/>
          <w:color w:val="FF0000"/>
        </w:rPr>
        <w:t>19</w:t>
      </w:r>
      <w:r>
        <w:rPr>
          <w:rStyle w:val="Strong"/>
          <w:rFonts w:ascii="Arial" w:eastAsia="Times New Roman" w:hAnsi="Arial" w:cs="Arial"/>
          <w:color w:val="FF0000"/>
          <w:vertAlign w:val="superscript"/>
        </w:rPr>
        <w:t>th</w:t>
      </w:r>
      <w:r>
        <w:rPr>
          <w:rStyle w:val="Strong"/>
          <w:rFonts w:ascii="Arial" w:eastAsia="Times New Roman" w:hAnsi="Arial" w:cs="Arial"/>
          <w:color w:val="FF0000"/>
        </w:rPr>
        <w:t xml:space="preserve"> December</w:t>
      </w:r>
      <w:r>
        <w:rPr>
          <w:rStyle w:val="Strong"/>
          <w:rFonts w:ascii="Arial" w:eastAsia="Times New Roman" w:hAnsi="Arial" w:cs="Arial"/>
          <w:color w:val="538135" w:themeColor="accent6" w:themeShade="BF"/>
        </w:rPr>
        <w:t xml:space="preserve"> </w:t>
      </w:r>
      <w:r>
        <w:rPr>
          <w:rStyle w:val="Strong"/>
          <w:rFonts w:ascii="Arial" w:eastAsia="Times New Roman" w:hAnsi="Arial" w:cs="Arial"/>
          <w:color w:val="D05C12"/>
        </w:rPr>
        <w:t xml:space="preserve">– </w:t>
      </w:r>
      <w:r>
        <w:rPr>
          <w:rStyle w:val="Strong"/>
          <w:rFonts w:ascii="Arial" w:eastAsia="Times New Roman" w:hAnsi="Arial" w:cs="Arial"/>
          <w:i/>
          <w:color w:val="D05C12"/>
        </w:rPr>
        <w:t>‘Pastries and Progress’</w:t>
      </w:r>
      <w:r>
        <w:rPr>
          <w:rStyle w:val="Strong"/>
          <w:rFonts w:ascii="Arial" w:eastAsia="Times New Roman" w:hAnsi="Arial" w:cs="Arial"/>
          <w:color w:val="D05C12"/>
        </w:rPr>
        <w:t xml:space="preserve"> – </w:t>
      </w:r>
      <w:r>
        <w:rPr>
          <w:rFonts w:ascii="Arial" w:eastAsia="Times New Roman" w:hAnsi="Arial" w:cs="Arial"/>
          <w:color w:val="D05C12"/>
        </w:rPr>
        <w:t xml:space="preserve">bring a marked </w:t>
      </w:r>
      <w:proofErr w:type="spellStart"/>
      <w:r>
        <w:rPr>
          <w:rFonts w:ascii="Arial" w:eastAsia="Times New Roman" w:hAnsi="Arial" w:cs="Arial"/>
          <w:color w:val="D05C12"/>
        </w:rPr>
        <w:t>exercisebook</w:t>
      </w:r>
      <w:proofErr w:type="spellEnd"/>
      <w:r>
        <w:rPr>
          <w:rFonts w:ascii="Arial" w:eastAsia="Times New Roman" w:hAnsi="Arial" w:cs="Arial"/>
          <w:color w:val="D05C12"/>
        </w:rPr>
        <w:t xml:space="preserve">/process work (rather than a one-off assessment), sit with a colleague and discuss the student’s work, evidence of progress, presentation </w:t>
      </w:r>
      <w:proofErr w:type="spellStart"/>
      <w:r>
        <w:rPr>
          <w:rFonts w:ascii="Arial" w:eastAsia="Times New Roman" w:hAnsi="Arial" w:cs="Arial"/>
          <w:color w:val="D05C12"/>
        </w:rPr>
        <w:t>etc</w:t>
      </w:r>
      <w:proofErr w:type="spellEnd"/>
      <w:r>
        <w:rPr>
          <w:rFonts w:ascii="Arial" w:eastAsia="Times New Roman" w:hAnsi="Arial" w:cs="Arial"/>
          <w:color w:val="D05C12"/>
        </w:rPr>
        <w:t xml:space="preserve"> – and enjoy a pastry! </w:t>
      </w:r>
      <w:r>
        <w:rPr>
          <w:rFonts w:ascii="Arial" w:eastAsia="Times New Roman" w:hAnsi="Arial" w:cs="Arial"/>
          <w:color w:val="538135" w:themeColor="accent6" w:themeShade="BF"/>
        </w:rPr>
        <w:t xml:space="preserve"> </w:t>
      </w:r>
      <w:r>
        <w:rPr>
          <w:rFonts w:eastAsia="Times New Roman"/>
          <w:color w:val="538135" w:themeColor="accent6" w:themeShade="BF"/>
        </w:rPr>
        <w:t xml:space="preserve"> </w:t>
      </w:r>
    </w:p>
    <w:p>
      <w:pPr>
        <w:pStyle w:val="NormalWeb"/>
        <w:shd w:val="clear" w:color="auto" w:fill="FFFFFF"/>
        <w:spacing w:before="100" w:beforeAutospacing="1" w:after="100" w:afterAutospacing="1"/>
        <w:jc w:val="both"/>
        <w:rPr>
          <w:rFonts w:ascii="Arial" w:hAnsi="Arial" w:cs="Arial"/>
          <w:color w:val="000000"/>
        </w:rPr>
      </w:pPr>
      <w:r>
        <w:rPr>
          <w:rFonts w:ascii="Calibri" w:eastAsia="Times New Roman" w:hAnsi="Calibri" w:cs="Calibri"/>
          <w:b/>
          <w:color w:val="7030A0"/>
          <w:u w:val="single"/>
        </w:rPr>
        <w:t>Think about this…vocabulary matters!</w:t>
      </w:r>
    </w:p>
    <w:p>
      <w:pPr>
        <w:pStyle w:val="NormalWeb"/>
        <w:shd w:val="clear" w:color="auto" w:fill="FFFFFF"/>
        <w:jc w:val="both"/>
        <w:rPr>
          <w:rFonts w:ascii="Arial" w:hAnsi="Arial" w:cs="Arial"/>
          <w:color w:val="000000"/>
        </w:rPr>
      </w:pPr>
      <w:r>
        <w:rPr>
          <w:rFonts w:ascii="Calibri" w:eastAsia="Times New Roman" w:hAnsi="Calibri" w:cs="Calibri"/>
          <w:bCs/>
          <w:color w:val="7030A0"/>
          <w:szCs w:val="22"/>
          <w:shd w:val="clear" w:color="auto" w:fill="FFFFFF"/>
        </w:rPr>
        <w:t xml:space="preserve">As I said last week, Alex Quigley grapples with vocabulary in his book </w:t>
      </w:r>
      <w:r>
        <w:rPr>
          <w:rFonts w:ascii="Calibri" w:eastAsia="Times New Roman" w:hAnsi="Calibri" w:cs="Calibri"/>
          <w:bCs/>
          <w:i/>
          <w:color w:val="7030A0"/>
          <w:szCs w:val="22"/>
          <w:shd w:val="clear" w:color="auto" w:fill="FFFFFF"/>
        </w:rPr>
        <w:t>‘Closing the Vocabulary Gap’</w:t>
      </w:r>
      <w:r>
        <w:rPr>
          <w:rFonts w:ascii="Calibri" w:eastAsia="Times New Roman" w:hAnsi="Calibri" w:cs="Calibri"/>
          <w:bCs/>
          <w:color w:val="7030A0"/>
          <w:szCs w:val="22"/>
          <w:shd w:val="clear" w:color="auto" w:fill="FFFFFF"/>
        </w:rPr>
        <w:t xml:space="preserve"> and he provides food-for-thought around the value of exploring </w:t>
      </w:r>
      <w:proofErr w:type="gramStart"/>
      <w:r>
        <w:rPr>
          <w:rFonts w:ascii="Calibri" w:eastAsia="Times New Roman" w:hAnsi="Calibri" w:cs="Calibri"/>
          <w:bCs/>
          <w:color w:val="7030A0"/>
          <w:szCs w:val="22"/>
          <w:shd w:val="clear" w:color="auto" w:fill="FFFFFF"/>
        </w:rPr>
        <w:t>the roots of words and where they come from (etymology)</w:t>
      </w:r>
      <w:proofErr w:type="gramEnd"/>
      <w:r>
        <w:rPr>
          <w:rFonts w:ascii="Calibri" w:eastAsia="Times New Roman" w:hAnsi="Calibri" w:cs="Calibri"/>
          <w:bCs/>
          <w:color w:val="7030A0"/>
          <w:szCs w:val="22"/>
          <w:shd w:val="clear" w:color="auto" w:fill="FFFFFF"/>
        </w:rPr>
        <w:t>.</w:t>
      </w:r>
    </w:p>
    <w:p>
      <w:pPr>
        <w:pStyle w:val="NormalWeb"/>
        <w:shd w:val="clear" w:color="auto" w:fill="FFFFFF"/>
        <w:jc w:val="both"/>
        <w:rPr>
          <w:rFonts w:ascii="Arial" w:hAnsi="Arial" w:cs="Arial"/>
          <w:color w:val="000000"/>
        </w:rPr>
      </w:pPr>
      <w:r>
        <w:rPr>
          <w:rFonts w:ascii="Calibri" w:eastAsia="Times New Roman" w:hAnsi="Calibri" w:cs="Calibri"/>
          <w:bCs/>
          <w:color w:val="538135" w:themeColor="accent6" w:themeShade="BF"/>
          <w:szCs w:val="22"/>
          <w:shd w:val="clear" w:color="auto" w:fill="FFFFFF"/>
        </w:rPr>
        <w:t> </w:t>
      </w:r>
    </w:p>
    <w:p>
      <w:pPr>
        <w:pStyle w:val="NormalWeb"/>
        <w:shd w:val="clear" w:color="auto" w:fill="FFFFFF"/>
        <w:jc w:val="center"/>
        <w:rPr>
          <w:rFonts w:ascii="Arial" w:hAnsi="Arial" w:cs="Arial"/>
          <w:color w:val="000000"/>
        </w:rPr>
      </w:pPr>
      <w:r>
        <w:rPr>
          <w:rFonts w:eastAsia="Times New Roman"/>
          <w:b/>
          <w:i/>
          <w:noProof/>
          <w:color w:val="FF0000"/>
          <w:sz w:val="18"/>
          <w:szCs w:val="22"/>
          <w:shd w:val="clear" w:color="auto" w:fill="FFFFFF"/>
        </w:rPr>
        <w:drawing>
          <wp:inline distT="0" distB="0" distL="0" distR="0">
            <wp:extent cx="4020185" cy="2872740"/>
            <wp:effectExtent l="0" t="0" r="0" b="3810"/>
            <wp:docPr id="6" name="Picture 6" descr="cid:394d8cc3-0f38-4b80-9663-a10f1691e5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07405" descr="cid:394d8cc3-0f38-4b80-9663-a10f1691e5e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20185" cy="2872740"/>
                    </a:xfrm>
                    <a:prstGeom prst="rect">
                      <a:avLst/>
                    </a:prstGeom>
                    <a:noFill/>
                    <a:ln>
                      <a:noFill/>
                    </a:ln>
                  </pic:spPr>
                </pic:pic>
              </a:graphicData>
            </a:graphic>
          </wp:inline>
        </w:drawing>
      </w:r>
    </w:p>
    <w:p>
      <w:pPr>
        <w:pStyle w:val="NormalWeb"/>
        <w:shd w:val="clear" w:color="auto" w:fill="FFFFFF"/>
        <w:jc w:val="both"/>
        <w:rPr>
          <w:rFonts w:ascii="Arial" w:hAnsi="Arial" w:cs="Arial"/>
          <w:color w:val="000000"/>
        </w:rPr>
      </w:pPr>
      <w:r>
        <w:rPr>
          <w:rStyle w:val="Strong"/>
          <w:rFonts w:ascii="Calibri" w:eastAsia="Times New Roman" w:hAnsi="Calibri" w:cs="Calibri"/>
          <w:i/>
          <w:iCs/>
          <w:color w:val="7030A0"/>
          <w:szCs w:val="22"/>
          <w:shd w:val="clear" w:color="auto" w:fill="FFFFFF"/>
        </w:rPr>
        <w:t xml:space="preserve">Top Tip! </w:t>
      </w:r>
      <w:r>
        <w:rPr>
          <w:rFonts w:ascii="Calibri" w:eastAsia="Times New Roman" w:hAnsi="Calibri" w:cs="Calibri"/>
          <w:bCs/>
          <w:color w:val="7030A0"/>
          <w:szCs w:val="22"/>
          <w:shd w:val="clear" w:color="auto" w:fill="FFFFFF"/>
        </w:rPr>
        <w:t xml:space="preserve">This week, try silent starts around the subject-specific vocabulary of your lesson.  Give student a section of a word (i.e. ‘tract’ from the example, subtract’ above and ask them to mind-map as many other examples of words containing this section as possible.  A discussion could then follow around the meaning of this part of the word (i.e. ‘tract’).  </w:t>
      </w:r>
    </w:p>
    <w:p>
      <w:pPr>
        <w:pStyle w:val="NormalWeb"/>
        <w:shd w:val="clear" w:color="auto" w:fill="FFFFFF"/>
        <w:jc w:val="both"/>
        <w:rPr>
          <w:rFonts w:ascii="Arial" w:hAnsi="Arial" w:cs="Arial"/>
          <w:color w:val="000000"/>
        </w:rPr>
      </w:pPr>
      <w:r>
        <w:rPr>
          <w:rFonts w:ascii="Calibri" w:eastAsia="Times New Roman" w:hAnsi="Calibri" w:cs="Calibri"/>
          <w:bCs/>
          <w:color w:val="7030A0"/>
          <w:szCs w:val="22"/>
          <w:shd w:val="clear" w:color="auto" w:fill="FFFFFF"/>
        </w:rPr>
        <w:t> </w:t>
      </w:r>
    </w:p>
    <w:p>
      <w:pPr>
        <w:pStyle w:val="NormalWeb"/>
        <w:shd w:val="clear" w:color="auto" w:fill="FFFFFF"/>
        <w:jc w:val="both"/>
        <w:rPr>
          <w:rFonts w:ascii="Arial" w:hAnsi="Arial" w:cs="Arial"/>
          <w:color w:val="000000"/>
        </w:rPr>
      </w:pPr>
      <w:r>
        <w:rPr>
          <w:rFonts w:ascii="Calibri" w:eastAsia="Times New Roman" w:hAnsi="Calibri" w:cs="Calibri"/>
          <w:bCs/>
          <w:color w:val="7030A0"/>
          <w:szCs w:val="22"/>
          <w:shd w:val="clear" w:color="auto" w:fill="FFFFFF"/>
        </w:rPr>
        <w:t xml:space="preserve">I observed a good example of this in Science last week as the teacher explored the meaning of ‘bio’ in ‘biodegradable’.  It is easy to do and takes a matter of minutes.  </w:t>
      </w:r>
      <w:proofErr w:type="gramStart"/>
      <w:r>
        <w:rPr>
          <w:rFonts w:ascii="Calibri" w:eastAsia="Times New Roman" w:hAnsi="Calibri" w:cs="Calibri"/>
          <w:bCs/>
          <w:color w:val="7030A0"/>
          <w:szCs w:val="22"/>
          <w:shd w:val="clear" w:color="auto" w:fill="FFFFFF"/>
        </w:rPr>
        <w:t>However</w:t>
      </w:r>
      <w:proofErr w:type="gramEnd"/>
      <w:r>
        <w:rPr>
          <w:rFonts w:ascii="Calibri" w:eastAsia="Times New Roman" w:hAnsi="Calibri" w:cs="Calibri"/>
          <w:bCs/>
          <w:color w:val="7030A0"/>
          <w:szCs w:val="22"/>
          <w:shd w:val="clear" w:color="auto" w:fill="FFFFFF"/>
        </w:rPr>
        <w:t xml:space="preserve"> the collective impact that we could all have is huge!</w:t>
      </w:r>
    </w:p>
    <w:p>
      <w:pPr>
        <w:pStyle w:val="NormalWeb"/>
        <w:shd w:val="clear" w:color="auto" w:fill="FFFFFF"/>
        <w:jc w:val="both"/>
        <w:rPr>
          <w:rFonts w:ascii="Arial" w:hAnsi="Arial" w:cs="Arial"/>
          <w:color w:val="000000"/>
        </w:rPr>
      </w:pPr>
      <w:r>
        <w:rPr>
          <w:rFonts w:ascii="Calibri" w:eastAsia="Times New Roman" w:hAnsi="Calibri" w:cs="Calibri"/>
          <w:b/>
          <w:bCs/>
          <w:i/>
          <w:color w:val="FF0000"/>
          <w:sz w:val="18"/>
          <w:szCs w:val="22"/>
          <w:shd w:val="clear" w:color="auto" w:fill="FFFFFF"/>
        </w:rPr>
        <w:lastRenderedPageBreak/>
        <w:t> </w:t>
      </w:r>
    </w:p>
    <w:p>
      <w:pPr>
        <w:pStyle w:val="NormalWeb"/>
        <w:shd w:val="clear" w:color="auto" w:fill="FFFFFF"/>
        <w:jc w:val="both"/>
        <w:rPr>
          <w:rFonts w:ascii="Arial" w:hAnsi="Arial" w:cs="Arial"/>
          <w:color w:val="000000"/>
        </w:rPr>
      </w:pPr>
      <w:r>
        <w:rPr>
          <w:rFonts w:ascii="Calibri" w:eastAsia="Times New Roman" w:hAnsi="Calibri" w:cs="Calibri"/>
          <w:b/>
          <w:bCs/>
          <w:i/>
          <w:color w:val="FF0000"/>
          <w:sz w:val="18"/>
          <w:szCs w:val="22"/>
          <w:shd w:val="clear" w:color="auto" w:fill="FFFFFF"/>
        </w:rPr>
        <w:t> </w:t>
      </w:r>
    </w:p>
    <w:p>
      <w:pPr>
        <w:pStyle w:val="NormalWeb"/>
        <w:shd w:val="clear" w:color="auto" w:fill="FFFFFF"/>
        <w:jc w:val="both"/>
        <w:rPr>
          <w:rFonts w:ascii="Arial" w:hAnsi="Arial" w:cs="Arial"/>
          <w:color w:val="000000"/>
        </w:rPr>
      </w:pPr>
      <w:r>
        <w:rPr>
          <w:rFonts w:ascii="Calibri" w:eastAsia="Times New Roman" w:hAnsi="Calibri" w:cs="Calibri"/>
          <w:bCs/>
          <w:color w:val="2F5496" w:themeColor="accent5" w:themeShade="BF"/>
          <w:szCs w:val="22"/>
          <w:u w:val="single"/>
          <w:shd w:val="clear" w:color="auto" w:fill="FFFFFF"/>
        </w:rPr>
        <w:t>Talk-Talk!  Structure of the Week: Stand Up, Hand Up, Pair Up</w:t>
      </w:r>
    </w:p>
    <w:p>
      <w:pPr>
        <w:pStyle w:val="NormalWeb"/>
        <w:shd w:val="clear" w:color="auto" w:fill="FFFFFF"/>
        <w:jc w:val="both"/>
        <w:rPr>
          <w:rFonts w:ascii="Arial" w:hAnsi="Arial" w:cs="Arial"/>
          <w:color w:val="000000"/>
        </w:rPr>
      </w:pPr>
      <w:r>
        <w:rPr>
          <w:noProof/>
          <w:color w:val="000000"/>
        </w:rPr>
        <w:drawing>
          <wp:inline distT="0" distB="0" distL="0" distR="0">
            <wp:extent cx="2915920" cy="2122170"/>
            <wp:effectExtent l="0" t="0" r="0" b="0"/>
            <wp:docPr id="5" name="Picture 5" descr="cid:78d4c62b-3731-4e4b-bed1-1f53cce420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32857" descr="cid:78d4c62b-3731-4e4b-bed1-1f53cce420e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15920" cy="2122170"/>
                    </a:xfrm>
                    <a:prstGeom prst="rect">
                      <a:avLst/>
                    </a:prstGeom>
                    <a:noFill/>
                    <a:ln>
                      <a:noFill/>
                    </a:ln>
                  </pic:spPr>
                </pic:pic>
              </a:graphicData>
            </a:graphic>
          </wp:inline>
        </w:drawing>
      </w:r>
    </w:p>
    <w:p>
      <w:pPr>
        <w:pStyle w:val="NormalWeb"/>
        <w:shd w:val="clear" w:color="auto" w:fill="FFFFFF"/>
        <w:jc w:val="both"/>
        <w:rPr>
          <w:rFonts w:ascii="Arial" w:hAnsi="Arial" w:cs="Arial"/>
          <w:color w:val="000000"/>
        </w:rPr>
      </w:pPr>
      <w:r>
        <w:rPr>
          <w:rFonts w:ascii="Calibri" w:eastAsia="Times New Roman" w:hAnsi="Calibri" w:cs="Calibri"/>
          <w:bCs/>
          <w:color w:val="2F5496" w:themeColor="accent5" w:themeShade="BF"/>
          <w:szCs w:val="22"/>
          <w:shd w:val="clear" w:color="auto" w:fill="FFFFFF"/>
        </w:rPr>
        <w:t xml:space="preserve">This week, try another of the </w:t>
      </w:r>
      <w:proofErr w:type="spellStart"/>
      <w:r>
        <w:rPr>
          <w:rFonts w:ascii="Calibri" w:eastAsia="Times New Roman" w:hAnsi="Calibri" w:cs="Calibri"/>
          <w:bCs/>
          <w:color w:val="2F5496" w:themeColor="accent5" w:themeShade="BF"/>
          <w:szCs w:val="22"/>
          <w:shd w:val="clear" w:color="auto" w:fill="FFFFFF"/>
        </w:rPr>
        <w:t>Kagan</w:t>
      </w:r>
      <w:proofErr w:type="spellEnd"/>
      <w:r>
        <w:rPr>
          <w:rFonts w:ascii="Calibri" w:eastAsia="Times New Roman" w:hAnsi="Calibri" w:cs="Calibri"/>
          <w:bCs/>
          <w:color w:val="2F5496" w:themeColor="accent5" w:themeShade="BF"/>
          <w:szCs w:val="22"/>
          <w:shd w:val="clear" w:color="auto" w:fill="FFFFFF"/>
        </w:rPr>
        <w:t xml:space="preserve"> top five, by using </w:t>
      </w:r>
      <w:r>
        <w:rPr>
          <w:rFonts w:ascii="Calibri" w:eastAsia="Times New Roman" w:hAnsi="Calibri" w:cs="Calibri"/>
          <w:b/>
          <w:bCs/>
          <w:color w:val="2F5496" w:themeColor="accent5" w:themeShade="BF"/>
          <w:szCs w:val="22"/>
          <w:shd w:val="clear" w:color="auto" w:fill="FFFFFF"/>
        </w:rPr>
        <w:t>stand up-hand up-pair</w:t>
      </w:r>
      <w:r>
        <w:rPr>
          <w:rFonts w:ascii="Calibri" w:eastAsia="Times New Roman" w:hAnsi="Calibri" w:cs="Calibri"/>
          <w:bCs/>
          <w:color w:val="2F5496" w:themeColor="accent5" w:themeShade="BF"/>
          <w:szCs w:val="22"/>
          <w:shd w:val="clear" w:color="auto" w:fill="FFFFFF"/>
        </w:rPr>
        <w:t xml:space="preserve"> up to make paired work less monotonous and predictable.  It allows different people to work together and is easy to organise. Judge your class, as this could cause anxiety in some cases.  Here is a recap:</w:t>
      </w:r>
    </w:p>
    <w:p>
      <w:pPr>
        <w:pStyle w:val="NormalWeb"/>
        <w:shd w:val="clear" w:color="auto" w:fill="FFFFFF"/>
        <w:jc w:val="both"/>
        <w:rPr>
          <w:rFonts w:ascii="Arial" w:hAnsi="Arial" w:cs="Arial"/>
          <w:color w:val="000000"/>
        </w:rPr>
      </w:pPr>
      <w:r>
        <w:rPr>
          <w:rFonts w:ascii="Calibri" w:eastAsia="Times New Roman" w:hAnsi="Calibri" w:cs="Calibri"/>
          <w:bCs/>
          <w:color w:val="2F5496" w:themeColor="accent5" w:themeShade="BF"/>
          <w:szCs w:val="22"/>
          <w:shd w:val="clear" w:color="auto" w:fill="FFFFFF"/>
        </w:rPr>
        <w:t> </w:t>
      </w:r>
    </w:p>
    <w:p>
      <w:pPr>
        <w:pStyle w:val="NormalWeb"/>
        <w:shd w:val="clear" w:color="auto" w:fill="FFFFFF"/>
        <w:jc w:val="center"/>
        <w:rPr>
          <w:rFonts w:ascii="Arial" w:hAnsi="Arial" w:cs="Arial"/>
          <w:color w:val="000000"/>
        </w:rPr>
      </w:pPr>
      <w:r>
        <w:rPr>
          <w:noProof/>
          <w:color w:val="0000FF"/>
        </w:rPr>
        <w:drawing>
          <wp:inline distT="0" distB="0" distL="0" distR="0">
            <wp:extent cx="3329940" cy="2570480"/>
            <wp:effectExtent l="0" t="0" r="3810" b="1270"/>
            <wp:docPr id="4" name="Picture 4" descr="cid:99b6927a-eb2e-4830-8eec-a06d44c8814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47049" descr="cid:99b6927a-eb2e-4830-8eec-a06d44c8814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29940" cy="2570480"/>
                    </a:xfrm>
                    <a:prstGeom prst="rect">
                      <a:avLst/>
                    </a:prstGeom>
                    <a:noFill/>
                    <a:ln>
                      <a:noFill/>
                    </a:ln>
                  </pic:spPr>
                </pic:pic>
              </a:graphicData>
            </a:graphic>
          </wp:inline>
        </w:drawing>
      </w:r>
    </w:p>
    <w:p>
      <w:pPr>
        <w:pStyle w:val="NormalWeb"/>
        <w:shd w:val="clear" w:color="auto" w:fill="FFFFFF"/>
        <w:jc w:val="both"/>
        <w:rPr>
          <w:rFonts w:ascii="Arial" w:hAnsi="Arial" w:cs="Arial"/>
          <w:color w:val="000000"/>
        </w:rPr>
      </w:pPr>
      <w:r>
        <w:rPr>
          <w:rFonts w:ascii="Calibri" w:eastAsia="Times New Roman" w:hAnsi="Calibri" w:cs="Calibri"/>
          <w:bCs/>
          <w:color w:val="2F5496" w:themeColor="accent5" w:themeShade="BF"/>
          <w:szCs w:val="22"/>
          <w:shd w:val="clear" w:color="auto" w:fill="FFFFFF"/>
        </w:rPr>
        <w:t> </w:t>
      </w:r>
    </w:p>
    <w:p>
      <w:pPr>
        <w:pStyle w:val="NormalWeb"/>
        <w:shd w:val="clear" w:color="auto" w:fill="FFFFFF"/>
        <w:rPr>
          <w:rFonts w:ascii="Arial" w:hAnsi="Arial" w:cs="Arial"/>
          <w:color w:val="000000"/>
        </w:rPr>
      </w:pPr>
      <w:r>
        <w:rPr>
          <w:rFonts w:ascii="Calibri" w:eastAsia="Times New Roman" w:hAnsi="Calibri" w:cs="Calibri"/>
          <w:bCs/>
          <w:color w:val="2E74B5" w:themeColor="accent1" w:themeShade="BF"/>
          <w:szCs w:val="22"/>
          <w:shd w:val="clear" w:color="auto" w:fill="FFFFFF"/>
        </w:rPr>
        <w:t xml:space="preserve">Remember that we have books on cooperative learning in our CPD library.  Feel free to sign out and borrow. </w:t>
      </w:r>
    </w:p>
    <w:p>
      <w:pPr>
        <w:pStyle w:val="NormalWeb"/>
        <w:shd w:val="clear" w:color="auto" w:fill="FFFFFF"/>
        <w:rPr>
          <w:rFonts w:ascii="Arial" w:hAnsi="Arial" w:cs="Arial"/>
          <w:color w:val="000000"/>
        </w:rPr>
      </w:pPr>
      <w:r>
        <w:rPr>
          <w:noProof/>
          <w:color w:val="000000"/>
        </w:rPr>
        <w:drawing>
          <wp:inline distT="0" distB="0" distL="0" distR="0">
            <wp:extent cx="948690" cy="1216025"/>
            <wp:effectExtent l="0" t="0" r="3810" b="3175"/>
            <wp:docPr id="3" name="Picture 3" descr="cid:8399eb15-8ce5-4685-aaa9-2a74e78e5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76682" descr="cid:8399eb15-8ce5-4685-aaa9-2a74e78e5e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48690" cy="1216025"/>
                    </a:xfrm>
                    <a:prstGeom prst="rect">
                      <a:avLst/>
                    </a:prstGeom>
                    <a:noFill/>
                    <a:ln>
                      <a:noFill/>
                    </a:ln>
                  </pic:spPr>
                </pic:pic>
              </a:graphicData>
            </a:graphic>
          </wp:inline>
        </w:drawing>
      </w:r>
      <w:r>
        <w:rPr>
          <w:noProof/>
          <w:color w:val="000000"/>
        </w:rPr>
        <w:drawing>
          <wp:inline distT="0" distB="0" distL="0" distR="0">
            <wp:extent cx="1000760" cy="1302385"/>
            <wp:effectExtent l="0" t="0" r="8890" b="0"/>
            <wp:docPr id="2" name="Picture 2" descr="cid:47451057-f77d-41cb-b63b-f129676765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35192" descr="cid:47451057-f77d-41cb-b63b-f129676765ca"/>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00760" cy="1302385"/>
                    </a:xfrm>
                    <a:prstGeom prst="rect">
                      <a:avLst/>
                    </a:prstGeom>
                    <a:noFill/>
                    <a:ln>
                      <a:noFill/>
                    </a:ln>
                  </pic:spPr>
                </pic:pic>
              </a:graphicData>
            </a:graphic>
          </wp:inline>
        </w:drawing>
      </w:r>
      <w:r>
        <w:rPr>
          <w:rFonts w:ascii="Calibri" w:eastAsia="Times New Roman" w:hAnsi="Calibri" w:cs="Calibri"/>
          <w:b/>
          <w:bCs/>
          <w:color w:val="7030A0"/>
          <w:szCs w:val="22"/>
          <w:u w:val="single"/>
          <w:shd w:val="clear" w:color="auto" w:fill="FFFFFF"/>
        </w:rPr>
        <w:t xml:space="preserve">  </w:t>
      </w:r>
    </w:p>
    <w:p>
      <w:pPr>
        <w:pStyle w:val="NormalWeb"/>
        <w:shd w:val="clear" w:color="auto" w:fill="FFFFFF"/>
        <w:rPr>
          <w:rFonts w:ascii="Arial" w:hAnsi="Arial" w:cs="Arial"/>
          <w:color w:val="000000"/>
        </w:rPr>
      </w:pPr>
      <w:r>
        <w:rPr>
          <w:rFonts w:ascii="Calibri" w:eastAsia="Times New Roman" w:hAnsi="Calibri" w:cs="Calibri"/>
          <w:b/>
          <w:bCs/>
          <w:color w:val="7030A0"/>
          <w:szCs w:val="22"/>
          <w:shd w:val="clear" w:color="auto" w:fill="FFFFFF"/>
        </w:rPr>
        <w:t> </w:t>
      </w:r>
    </w:p>
    <w:p>
      <w:pPr>
        <w:pStyle w:val="NormalWeb"/>
        <w:shd w:val="clear" w:color="auto" w:fill="FFFFFF"/>
        <w:rPr>
          <w:rFonts w:ascii="Arial" w:hAnsi="Arial" w:cs="Arial"/>
          <w:color w:val="000000"/>
        </w:rPr>
      </w:pPr>
      <w:r>
        <w:rPr>
          <w:rFonts w:ascii="Calibri" w:eastAsia="Times New Roman" w:hAnsi="Calibri" w:cs="Calibri"/>
          <w:b/>
          <w:bCs/>
          <w:color w:val="7030A0"/>
          <w:szCs w:val="22"/>
          <w:shd w:val="clear" w:color="auto" w:fill="FFFFFF"/>
        </w:rPr>
        <w:t> </w:t>
      </w:r>
    </w:p>
    <w:p>
      <w:pPr>
        <w:pStyle w:val="NormalWeb"/>
        <w:shd w:val="clear" w:color="auto" w:fill="FFFFFF"/>
        <w:rPr>
          <w:rFonts w:ascii="Arial" w:hAnsi="Arial" w:cs="Arial"/>
          <w:color w:val="000000"/>
        </w:rPr>
      </w:pPr>
      <w:r>
        <w:rPr>
          <w:rFonts w:ascii="Calibri" w:eastAsia="Times New Roman" w:hAnsi="Calibri" w:cs="Calibri"/>
          <w:b/>
          <w:bCs/>
          <w:color w:val="7030A0"/>
          <w:u w:val="single"/>
          <w:shd w:val="clear" w:color="auto" w:fill="FFFFFF"/>
        </w:rPr>
        <w:t>Top Tips in Two this Term (</w:t>
      </w:r>
      <w:proofErr w:type="spellStart"/>
      <w:r>
        <w:rPr>
          <w:rFonts w:ascii="Calibri" w:eastAsia="Times New Roman" w:hAnsi="Calibri" w:cs="Calibri"/>
          <w:b/>
          <w:bCs/>
          <w:color w:val="7030A0"/>
          <w:u w:val="single"/>
          <w:shd w:val="clear" w:color="auto" w:fill="FFFFFF"/>
        </w:rPr>
        <w:t>HoDs</w:t>
      </w:r>
      <w:proofErr w:type="spellEnd"/>
      <w:r>
        <w:rPr>
          <w:rFonts w:ascii="Calibri" w:eastAsia="Times New Roman" w:hAnsi="Calibri" w:cs="Calibri"/>
          <w:b/>
          <w:bCs/>
          <w:color w:val="7030A0"/>
          <w:u w:val="single"/>
          <w:shd w:val="clear" w:color="auto" w:fill="FFFFFF"/>
        </w:rPr>
        <w:t xml:space="preserve"> please organise who will share and let me know)</w:t>
      </w:r>
    </w:p>
    <w:p>
      <w:pPr>
        <w:pStyle w:val="NormalWeb"/>
        <w:shd w:val="clear" w:color="auto" w:fill="FFFFFF"/>
        <w:rPr>
          <w:rFonts w:ascii="Arial" w:hAnsi="Arial" w:cs="Arial"/>
          <w:color w:val="000000"/>
        </w:rPr>
      </w:pPr>
      <w:r>
        <w:rPr>
          <w:rFonts w:ascii="Calibri" w:eastAsia="Times New Roman" w:hAnsi="Calibri" w:cs="Calibri"/>
          <w:color w:val="000000"/>
          <w:shd w:val="clear" w:color="auto" w:fill="FFFFFF"/>
        </w:rPr>
        <w:t> </w:t>
      </w:r>
    </w:p>
    <w:p>
      <w:pPr>
        <w:pStyle w:val="NormalWeb"/>
        <w:shd w:val="clear" w:color="auto" w:fill="FFFFFF"/>
        <w:jc w:val="both"/>
        <w:rPr>
          <w:rFonts w:ascii="Arial" w:hAnsi="Arial" w:cs="Arial"/>
          <w:color w:val="000000"/>
        </w:rPr>
      </w:pPr>
      <w:r>
        <w:rPr>
          <w:noProof/>
          <w:color w:val="000000"/>
        </w:rPr>
        <w:lastRenderedPageBreak/>
        <w:drawing>
          <wp:inline distT="0" distB="0" distL="0" distR="0">
            <wp:extent cx="5193030" cy="1751330"/>
            <wp:effectExtent l="0" t="0" r="7620" b="1270"/>
            <wp:docPr id="1" name="Picture 1" descr="cid:d68ccedf-b423-4e5c-9810-f8bfa13423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83940" descr="cid:d68ccedf-b423-4e5c-9810-f8bfa134230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193030" cy="1751330"/>
                    </a:xfrm>
                    <a:prstGeom prst="rect">
                      <a:avLst/>
                    </a:prstGeom>
                    <a:noFill/>
                    <a:ln>
                      <a:noFill/>
                    </a:ln>
                  </pic:spPr>
                </pic:pic>
              </a:graphicData>
            </a:graphic>
          </wp:inline>
        </w:drawing>
      </w:r>
    </w:p>
    <w:p>
      <w:pPr>
        <w:pStyle w:val="NormalWeb"/>
        <w:shd w:val="clear" w:color="auto" w:fill="FFFFFF"/>
        <w:jc w:val="both"/>
        <w:rPr>
          <w:rFonts w:ascii="Arial" w:hAnsi="Arial" w:cs="Arial"/>
          <w:color w:val="000000"/>
        </w:rPr>
      </w:pPr>
      <w:r>
        <w:rPr>
          <w:rFonts w:ascii="Calibri" w:eastAsia="Times New Roman" w:hAnsi="Calibri" w:cs="Calibri"/>
          <w:color w:val="00B0F0"/>
          <w:shd w:val="clear" w:color="auto" w:fill="FFFFFF"/>
        </w:rPr>
        <w:t> </w:t>
      </w:r>
    </w:p>
    <w:p>
      <w:pPr>
        <w:pStyle w:val="NormalWeb"/>
        <w:shd w:val="clear" w:color="auto" w:fill="FFFFFF"/>
        <w:rPr>
          <w:rFonts w:ascii="Arial" w:hAnsi="Arial" w:cs="Arial"/>
          <w:color w:val="000000"/>
        </w:rPr>
      </w:pPr>
      <w:r>
        <w:rPr>
          <w:rFonts w:ascii="Calibri" w:eastAsia="Times New Roman" w:hAnsi="Calibri" w:cs="Calibri"/>
          <w:b/>
          <w:color w:val="808080" w:themeColor="background1" w:themeShade="80"/>
          <w:u w:val="single"/>
          <w:shd w:val="clear" w:color="auto" w:fill="FFFFFF"/>
        </w:rPr>
        <w:t>CPD Cascade</w:t>
      </w:r>
    </w:p>
    <w:p>
      <w:pPr>
        <w:pStyle w:val="NormalWeb"/>
        <w:shd w:val="clear" w:color="auto" w:fill="FFFFFF"/>
        <w:jc w:val="both"/>
        <w:rPr>
          <w:rFonts w:ascii="Arial" w:hAnsi="Arial" w:cs="Arial"/>
          <w:color w:val="000000"/>
        </w:rPr>
      </w:pPr>
      <w:r>
        <w:rPr>
          <w:rFonts w:ascii="Calibri" w:eastAsia="Times New Roman" w:hAnsi="Calibri" w:cs="Calibri"/>
          <w:color w:val="A6A6A6" w:themeColor="background1" w:themeShade="A6"/>
          <w:shd w:val="clear" w:color="auto" w:fill="FFFFFF"/>
        </w:rPr>
        <w:t xml:space="preserve">Those desiring to attend the twilight CPD sessions offered through the PTSA </w:t>
      </w:r>
      <w:proofErr w:type="gramStart"/>
      <w:r>
        <w:rPr>
          <w:rFonts w:ascii="Calibri" w:eastAsia="Times New Roman" w:hAnsi="Calibri" w:cs="Calibri"/>
          <w:color w:val="A6A6A6" w:themeColor="background1" w:themeShade="A6"/>
          <w:shd w:val="clear" w:color="auto" w:fill="FFFFFF"/>
        </w:rPr>
        <w:t>have been registered</w:t>
      </w:r>
      <w:proofErr w:type="gramEnd"/>
      <w:r>
        <w:rPr>
          <w:rFonts w:ascii="Calibri" w:eastAsia="Times New Roman" w:hAnsi="Calibri" w:cs="Calibri"/>
          <w:color w:val="A6A6A6" w:themeColor="background1" w:themeShade="A6"/>
          <w:shd w:val="clear" w:color="auto" w:fill="FFFFFF"/>
        </w:rPr>
        <w:t xml:space="preserve"> and should receive an email over the next few days.</w:t>
      </w:r>
    </w:p>
    <w:p>
      <w:pPr>
        <w:pStyle w:val="NormalWeb"/>
        <w:shd w:val="clear" w:color="auto" w:fill="FFFFFF"/>
        <w:jc w:val="both"/>
        <w:rPr>
          <w:rFonts w:ascii="Arial" w:hAnsi="Arial" w:cs="Arial"/>
          <w:color w:val="000000"/>
        </w:rPr>
      </w:pPr>
      <w:r>
        <w:rPr>
          <w:rFonts w:ascii="Calibri" w:eastAsia="Times New Roman" w:hAnsi="Calibri" w:cs="Calibri"/>
          <w:color w:val="A6A6A6" w:themeColor="background1" w:themeShade="A6"/>
          <w:shd w:val="clear" w:color="auto" w:fill="FFFFFF"/>
        </w:rPr>
        <w:t> </w:t>
      </w:r>
    </w:p>
    <w:p>
      <w:pPr>
        <w:pStyle w:val="NormalWeb"/>
        <w:shd w:val="clear" w:color="auto" w:fill="FFFFFF"/>
        <w:jc w:val="both"/>
        <w:rPr>
          <w:rFonts w:ascii="Arial" w:hAnsi="Arial" w:cs="Arial"/>
          <w:color w:val="000000"/>
        </w:rPr>
      </w:pPr>
      <w:r>
        <w:rPr>
          <w:rFonts w:ascii="Calibri" w:eastAsia="Times New Roman" w:hAnsi="Calibri" w:cs="Calibri"/>
          <w:color w:val="A6A6A6" w:themeColor="background1" w:themeShade="A6"/>
          <w:shd w:val="clear" w:color="auto" w:fill="FFFFFF"/>
        </w:rPr>
        <w:t>Paula attended a mental health conference last week and offered this ‘tip’ from her day:</w:t>
      </w:r>
    </w:p>
    <w:p>
      <w:pPr>
        <w:pStyle w:val="NormalWeb"/>
        <w:shd w:val="clear" w:color="auto" w:fill="FFFFFF"/>
        <w:jc w:val="both"/>
        <w:rPr>
          <w:rFonts w:ascii="Arial" w:hAnsi="Arial" w:cs="Arial"/>
          <w:color w:val="000000"/>
        </w:rPr>
      </w:pPr>
      <w:r>
        <w:rPr>
          <w:rFonts w:ascii="Calibri" w:hAnsi="Calibri" w:cs="Calibri"/>
          <w:i/>
          <w:color w:val="A6A6A6" w:themeColor="background1" w:themeShade="A6"/>
          <w:vertAlign w:val="subscript"/>
        </w:rPr>
        <w:t xml:space="preserve">‘One speaker focused on feedback and how we always refer to what students need to do to improve and not congratulating what they have done well. Could we have a focus on maybe </w:t>
      </w:r>
      <w:r>
        <w:rPr>
          <w:rFonts w:ascii="Calibri" w:hAnsi="Calibri" w:cs="Calibri"/>
          <w:i/>
          <w:color w:val="A6A6A6" w:themeColor="background1" w:themeShade="A6"/>
          <w:u w:val="single"/>
          <w:vertAlign w:val="subscript"/>
        </w:rPr>
        <w:t>just</w:t>
      </w:r>
      <w:r>
        <w:rPr>
          <w:rFonts w:ascii="Calibri" w:hAnsi="Calibri" w:cs="Calibri"/>
          <w:i/>
          <w:color w:val="A6A6A6" w:themeColor="background1" w:themeShade="A6"/>
          <w:vertAlign w:val="subscript"/>
        </w:rPr>
        <w:t xml:space="preserve"> writing positive comments…?’</w:t>
      </w:r>
    </w:p>
    <w:p>
      <w:pPr>
        <w:pStyle w:val="NormalWeb"/>
        <w:shd w:val="clear" w:color="auto" w:fill="FFFFFF"/>
        <w:jc w:val="both"/>
        <w:rPr>
          <w:rFonts w:ascii="Arial" w:hAnsi="Arial" w:cs="Arial"/>
          <w:color w:val="000000"/>
        </w:rPr>
      </w:pPr>
      <w:r>
        <w:rPr>
          <w:rFonts w:ascii="Calibri" w:eastAsia="Times New Roman" w:hAnsi="Calibri" w:cs="Calibri"/>
          <w:color w:val="A6A6A6" w:themeColor="background1" w:themeShade="A6"/>
          <w:shd w:val="clear" w:color="auto" w:fill="FFFFFF"/>
        </w:rPr>
        <w:t> </w:t>
      </w:r>
    </w:p>
    <w:p>
      <w:pPr>
        <w:pStyle w:val="NormalWeb"/>
        <w:shd w:val="clear" w:color="auto" w:fill="FFFFFF"/>
        <w:jc w:val="both"/>
        <w:rPr>
          <w:rFonts w:ascii="Arial" w:hAnsi="Arial" w:cs="Arial"/>
          <w:color w:val="000000"/>
        </w:rPr>
      </w:pPr>
      <w:r>
        <w:rPr>
          <w:rFonts w:ascii="Calibri" w:eastAsia="Times New Roman" w:hAnsi="Calibri" w:cs="Calibri"/>
          <w:color w:val="A6A6A6" w:themeColor="background1" w:themeShade="A6"/>
          <w:shd w:val="clear" w:color="auto" w:fill="FFFFFF"/>
        </w:rPr>
        <w:t> </w:t>
      </w:r>
    </w:p>
    <w:p>
      <w:pPr>
        <w:pStyle w:val="NormalWeb"/>
        <w:shd w:val="clear" w:color="auto" w:fill="FFFFFF"/>
        <w:rPr>
          <w:rFonts w:ascii="Arial" w:hAnsi="Arial" w:cs="Arial"/>
          <w:color w:val="000000"/>
          <w:sz w:val="20"/>
          <w:szCs w:val="20"/>
        </w:rPr>
      </w:pPr>
      <w:r>
        <w:rPr>
          <w:rFonts w:ascii="Calibri" w:eastAsia="Times New Roman" w:hAnsi="Calibri" w:cs="Calibri"/>
          <w:color w:val="000000"/>
          <w:shd w:val="clear" w:color="auto" w:fill="FFFFFF"/>
        </w:rPr>
        <w:t xml:space="preserve">Thanks for reading.  </w:t>
      </w:r>
      <w:bookmarkStart w:id="0" w:name="_GoBack"/>
      <w:bookmarkEnd w:id="0"/>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66E38"/>
    <w:multiLevelType w:val="multilevel"/>
    <w:tmpl w:val="55564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CEB88-07F8-4120-91A8-E5CDC6A1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8d4c62b-3731-4e4b-bed1-1f53cce420e6" TargetMode="External"/><Relationship Id="rId13" Type="http://schemas.openxmlformats.org/officeDocument/2006/relationships/image" Target="cid:8399eb15-8ce5-4685-aaa9-2a74e78e5e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cid:d68ccedf-b423-4e5c-9810-f8bfa134230b"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cid:394d8cc3-0f38-4b80-9663-a10f1691e5e2" TargetMode="External"/><Relationship Id="rId11" Type="http://schemas.openxmlformats.org/officeDocument/2006/relationships/image" Target="cid:99b6927a-eb2e-4830-8eec-a06d44c88146" TargetMode="External"/><Relationship Id="rId5" Type="http://schemas.openxmlformats.org/officeDocument/2006/relationships/image" Target="media/image1.jpeg"/><Relationship Id="rId15" Type="http://schemas.openxmlformats.org/officeDocument/2006/relationships/image" Target="cid:47451057-f77d-41cb-b63b-f129676765ca"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j08u-1yfDeAhUP1RoKHTOrCqAQjRx6BAgBEAU&amp;url=https://sites.google.com/a/hillmanschools.com/kagan-stuctures/stand-up-hands-up-pair-up&amp;psig=AOvVaw1tlkodv5kITRzzVhDegUA1&amp;ust=1543270673817103"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2018-11-26T07:51:00Z</dcterms:created>
  <dcterms:modified xsi:type="dcterms:W3CDTF">2018-11-26T07:54:00Z</dcterms:modified>
</cp:coreProperties>
</file>