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28"/>
          <w:szCs w:val="32"/>
          <w:shd w:val="clear" w:color="auto" w:fill="FFFFFF"/>
        </w:rPr>
        <w:t>WLD Teaching and Learning Digest – w/c 28</w:t>
      </w:r>
      <w:r>
        <w:rPr>
          <w:rFonts w:ascii="Arial" w:eastAsia="Times New Roman" w:hAnsi="Arial" w:cs="Arial"/>
          <w:b/>
          <w:bCs/>
          <w:color w:val="00B0F0"/>
          <w:sz w:val="28"/>
          <w:szCs w:val="32"/>
          <w:shd w:val="clear" w:color="auto" w:fill="FFFFFF"/>
          <w:vertAlign w:val="superscript"/>
        </w:rPr>
        <w:t>th</w:t>
      </w:r>
      <w:r>
        <w:rPr>
          <w:rFonts w:ascii="Arial" w:eastAsia="Times New Roman" w:hAnsi="Arial" w:cs="Arial"/>
          <w:b/>
          <w:bCs/>
          <w:color w:val="00B0F0"/>
          <w:sz w:val="28"/>
          <w:szCs w:val="32"/>
          <w:shd w:val="clear" w:color="auto" w:fill="FFFFFF"/>
        </w:rPr>
        <w:t xml:space="preserve"> January 2019</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4810"/>
        <w:gridCol w:w="3846"/>
      </w:tblGrid>
      <w:tr>
        <w:trPr>
          <w:jc w:val="center"/>
        </w:trPr>
        <w:tc>
          <w:tcPr>
            <w:tcW w:w="481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COMMUNICATION FOCUSES</w:t>
            </w:r>
          </w:p>
          <w:p>
            <w:pPr>
              <w:spacing w:before="100" w:beforeAutospacing="1"/>
              <w:jc w:val="center"/>
            </w:pPr>
            <w:r>
              <w:rPr>
                <w:rFonts w:eastAsia="Times New Roman" w:cstheme="minorHAnsi"/>
                <w:sz w:val="20"/>
              </w:rPr>
              <w:t> </w:t>
            </w:r>
          </w:p>
          <w:p>
            <w:pPr>
              <w:spacing w:before="100" w:beforeAutospacing="1"/>
              <w:jc w:val="center"/>
            </w:pPr>
            <w:r>
              <w:rPr>
                <w:rFonts w:eastAsia="Times New Roman" w:cstheme="minorHAnsi"/>
                <w:color w:val="0070C0"/>
                <w:sz w:val="20"/>
                <w:szCs w:val="20"/>
              </w:rPr>
              <w:t>Pre-teach the key words for the next lesson.  Give them for homework or as a plenary activity.</w:t>
            </w:r>
          </w:p>
          <w:p>
            <w:pPr>
              <w:spacing w:before="100" w:beforeAutospacing="1"/>
              <w:jc w:val="center"/>
            </w:pPr>
            <w:r>
              <w:rPr>
                <w:rFonts w:eastAsia="Times New Roman" w:cstheme="minorHAnsi"/>
                <w:color w:val="0070C0"/>
                <w:sz w:val="20"/>
                <w:szCs w:val="20"/>
              </w:rPr>
              <w:t> </w:t>
            </w:r>
          </w:p>
        </w:tc>
        <w:tc>
          <w:tcPr>
            <w:tcW w:w="384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pPr>
              <w:spacing w:before="100" w:beforeAutospacing="1"/>
              <w:jc w:val="center"/>
            </w:pPr>
            <w:r>
              <w:rPr>
                <w:rFonts w:eastAsia="Times New Roman" w:cstheme="minorHAnsi"/>
                <w:b/>
                <w:bCs/>
                <w:color w:val="0070C0"/>
                <w:sz w:val="20"/>
                <w:szCs w:val="20"/>
                <w:u w:val="single"/>
              </w:rPr>
              <w:t>INCLUSION FOR ALL</w:t>
            </w:r>
          </w:p>
          <w:p>
            <w:pPr>
              <w:spacing w:before="100" w:beforeAutospacing="1"/>
            </w:pPr>
            <w:r>
              <w:rPr>
                <w:rFonts w:eastAsia="Times New Roman" w:cstheme="minorHAnsi"/>
                <w:color w:val="0070C0"/>
                <w:sz w:val="20"/>
                <w:szCs w:val="20"/>
              </w:rPr>
              <w:t> </w:t>
            </w:r>
          </w:p>
          <w:p>
            <w:pPr>
              <w:spacing w:before="100" w:beforeAutospacing="1"/>
              <w:jc w:val="center"/>
            </w:pPr>
            <w:r>
              <w:rPr>
                <w:rFonts w:eastAsia="Times New Roman" w:cstheme="minorHAnsi"/>
                <w:color w:val="0070C0"/>
                <w:sz w:val="20"/>
              </w:rPr>
              <w:t xml:space="preserve">Use your seating plan wisely to include everyone (KAGAN words well for this). </w:t>
            </w:r>
          </w:p>
        </w:tc>
      </w:tr>
    </w:tbl>
    <w:p>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pPr>
        <w:shd w:val="clear" w:color="auto" w:fill="FFFFFF"/>
        <w:spacing w:before="100" w:beforeAutospacing="1"/>
        <w:jc w:val="center"/>
        <w:rPr>
          <w:rFonts w:ascii="Arial" w:hAnsi="Arial" w:cs="Arial"/>
          <w:color w:val="000000"/>
        </w:rPr>
      </w:pPr>
      <w:r>
        <w:rPr>
          <w:rFonts w:ascii="Arial" w:eastAsia="Times New Roman" w:hAnsi="Arial" w:cstheme="minorHAnsi"/>
          <w:bCs/>
          <w:color w:val="C45911"/>
          <w:shd w:val="clear" w:color="auto" w:fill="FFFFFF"/>
        </w:rPr>
        <w:t>Thanks for a very busy Teaching and Learning Week! I hope that you found it productive.</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b/>
          <w:bCs/>
          <w:color w:val="C45911"/>
          <w:u w:val="single"/>
          <w:shd w:val="clear" w:color="auto" w:fill="FFFFFF"/>
        </w:rPr>
        <w:t>This week:</w:t>
      </w:r>
    </w:p>
    <w:p>
      <w:pPr>
        <w:numPr>
          <w:ilvl w:val="0"/>
          <w:numId w:val="1"/>
        </w:numPr>
        <w:shd w:val="clear" w:color="auto" w:fill="FFFFFF"/>
        <w:spacing w:before="100" w:beforeAutospacing="1" w:after="100" w:afterAutospacing="1"/>
        <w:jc w:val="both"/>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 xml:space="preserve">‘Chinese New Year’, </w:t>
      </w:r>
      <w:r>
        <w:rPr>
          <w:rFonts w:ascii="Calibri" w:eastAsia="Times New Roman" w:hAnsi="Calibri" w:cs="Calibri"/>
          <w:bCs/>
          <w:color w:val="D05C12"/>
          <w:shd w:val="clear" w:color="auto" w:fill="FFFFFF"/>
        </w:rPr>
        <w:t>which is on February 5th.</w:t>
      </w:r>
      <w:r>
        <w:rPr>
          <w:rFonts w:ascii="Calibri" w:eastAsia="Times New Roman" w:hAnsi="Calibri" w:cs="Calibri"/>
          <w:b/>
          <w:bCs/>
          <w:color w:val="D05C12"/>
          <w:shd w:val="clear" w:color="auto" w:fill="FFFFFF"/>
        </w:rPr>
        <w:t xml:space="preserve">  </w:t>
      </w:r>
      <w:r>
        <w:rPr>
          <w:rFonts w:ascii="Calibri" w:eastAsia="Times New Roman" w:hAnsi="Calibri" w:cs="Calibri"/>
          <w:bCs/>
          <w:color w:val="D05C12"/>
          <w:shd w:val="clear" w:color="auto" w:fill="FFFFFF"/>
        </w:rPr>
        <w:t xml:space="preserve">Please use the PPT and mini-video in form time; it would even work in the background whilst you are signing planners.  </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NQTs</w:t>
      </w:r>
      <w:r>
        <w:rPr>
          <w:rFonts w:ascii="Calibri" w:eastAsia="Times New Roman" w:hAnsi="Calibri" w:cs="Calibri"/>
          <w:color w:val="FF0000"/>
        </w:rPr>
        <w:t xml:space="preserve"> </w:t>
      </w:r>
      <w:r>
        <w:rPr>
          <w:rFonts w:ascii="Calibri" w:eastAsia="Times New Roman" w:hAnsi="Calibri" w:cs="Calibri"/>
          <w:color w:val="C45911" w:themeColor="accent2" w:themeShade="BF"/>
        </w:rPr>
        <w:t>– Meetings will resume this week as usual.</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PTSA</w:t>
      </w:r>
      <w:r>
        <w:rPr>
          <w:rFonts w:ascii="Calibri" w:eastAsia="Times New Roman" w:hAnsi="Calibri" w:cs="Calibri"/>
          <w:color w:val="FF0000"/>
        </w:rPr>
        <w:t xml:space="preserve"> </w:t>
      </w:r>
      <w:r>
        <w:rPr>
          <w:rFonts w:ascii="Calibri" w:eastAsia="Times New Roman" w:hAnsi="Calibri" w:cs="Calibri"/>
          <w:color w:val="C45911" w:themeColor="accent2" w:themeShade="BF"/>
        </w:rPr>
        <w:t>– JM will be in Monday, Tuesday and Thursday this week and will be shadowing MC and AD on Thursday (MC AM and AD PM).</w:t>
      </w:r>
    </w:p>
    <w:p>
      <w:pPr>
        <w:numPr>
          <w:ilvl w:val="0"/>
          <w:numId w:val="1"/>
        </w:numPr>
        <w:shd w:val="clear" w:color="auto" w:fill="FFFFFF"/>
        <w:spacing w:before="100" w:beforeAutospacing="1" w:after="100" w:afterAutospacing="1"/>
        <w:jc w:val="both"/>
        <w:rPr>
          <w:rFonts w:ascii="Arial" w:eastAsia="Times New Roman" w:hAnsi="Arial" w:cs="Arial"/>
          <w:color w:val="C45911" w:themeColor="accent2" w:themeShade="BF"/>
        </w:rPr>
      </w:pPr>
      <w:r>
        <w:rPr>
          <w:rFonts w:ascii="Calibri" w:eastAsia="Times New Roman" w:hAnsi="Calibri" w:cs="Calibri"/>
          <w:b/>
          <w:color w:val="FF0000"/>
        </w:rPr>
        <w:t>Presents!</w:t>
      </w:r>
      <w:r>
        <w:rPr>
          <w:rFonts w:ascii="Calibri" w:eastAsia="Times New Roman" w:hAnsi="Calibri" w:cs="Calibri"/>
          <w:color w:val="C45911" w:themeColor="accent2" w:themeShade="BF"/>
        </w:rPr>
        <w:t xml:space="preserve"> </w:t>
      </w:r>
      <w:proofErr w:type="gramStart"/>
      <w:r>
        <w:rPr>
          <w:rFonts w:ascii="Calibri" w:eastAsia="Times New Roman" w:hAnsi="Calibri" w:cs="Calibri"/>
          <w:color w:val="C45911" w:themeColor="accent2" w:themeShade="BF"/>
        </w:rPr>
        <w:t>– Please</w:t>
      </w:r>
      <w:proofErr w:type="gramEnd"/>
      <w:r>
        <w:rPr>
          <w:rFonts w:ascii="Calibri" w:eastAsia="Times New Roman" w:hAnsi="Calibri" w:cs="Calibri"/>
          <w:color w:val="C45911" w:themeColor="accent2" w:themeShade="BF"/>
        </w:rPr>
        <w:t xml:space="preserve"> collect your pack of whiteboard pens and rubbers to start using them immediately.  One per teacher.  Do not leave them in your room if you are peripatetic.  They are yours to use wherever you go.</w:t>
      </w:r>
    </w:p>
    <w:p>
      <w:pPr>
        <w:pStyle w:val="ListParagraph"/>
        <w:ind w:hanging="360"/>
        <w:outlineLvl w:val="1"/>
        <w:rPr>
          <w:rFonts w:ascii="Arial" w:hAnsi="Arial" w:cs="Arial"/>
          <w:b/>
          <w:bCs/>
          <w:color w:val="000000"/>
          <w:kern w:val="36"/>
          <w:sz w:val="48"/>
          <w:szCs w:val="48"/>
        </w:rPr>
      </w:pPr>
      <w:r>
        <w:rPr>
          <w:rFonts w:ascii="Symbol" w:eastAsia="Symbol" w:hAnsi="Symbol" w:cs="Symbol"/>
          <w:b/>
          <w:bCs/>
          <w:color w:val="FFFF00"/>
          <w:kern w:val="36"/>
          <w:szCs w:val="22"/>
        </w:rPr>
        <w:t></w:t>
      </w:r>
      <w:r>
        <w:rPr>
          <w:rFonts w:eastAsia="Symbol"/>
          <w:b/>
          <w:bCs/>
          <w:color w:val="FFFF00"/>
          <w:kern w:val="36"/>
          <w:sz w:val="14"/>
          <w:szCs w:val="14"/>
        </w:rPr>
        <w:t xml:space="preserve">         </w:t>
      </w:r>
      <w:r>
        <w:rPr>
          <w:rFonts w:ascii="Arial" w:hAnsi="Arial" w:cs="Arial"/>
          <w:b/>
          <w:color w:val="FFFF00"/>
          <w:kern w:val="36"/>
          <w:szCs w:val="22"/>
        </w:rPr>
        <w:t>Brilliant teaching and learning</w:t>
      </w:r>
    </w:p>
    <w:p>
      <w:pPr>
        <w:pStyle w:val="ListParagraph"/>
        <w:ind w:hanging="360"/>
        <w:outlineLvl w:val="1"/>
        <w:rPr>
          <w:rFonts w:ascii="Arial" w:hAnsi="Arial" w:cs="Arial"/>
          <w:b/>
          <w:bCs/>
          <w:color w:val="000000"/>
          <w:kern w:val="36"/>
          <w:sz w:val="48"/>
          <w:szCs w:val="48"/>
        </w:rPr>
      </w:pPr>
      <w:r>
        <w:rPr>
          <w:rFonts w:ascii="Symbol" w:eastAsia="Symbol" w:hAnsi="Symbol" w:cs="Symbol"/>
          <w:b/>
          <w:bCs/>
          <w:color w:val="FFFFFF" w:themeColor="background1"/>
          <w:kern w:val="36"/>
          <w:szCs w:val="22"/>
        </w:rPr>
        <w:t></w:t>
      </w:r>
      <w:r>
        <w:rPr>
          <w:rFonts w:eastAsia="Symbol"/>
          <w:b/>
          <w:bCs/>
          <w:color w:val="FFFFFF" w:themeColor="background1"/>
          <w:kern w:val="36"/>
          <w:sz w:val="14"/>
          <w:szCs w:val="14"/>
        </w:rPr>
        <w:t xml:space="preserve">         </w:t>
      </w:r>
      <w:r>
        <w:rPr>
          <w:rFonts w:ascii="Arial" w:hAnsi="Arial" w:cs="Arial"/>
          <w:b/>
          <w:bCs/>
          <w:color w:val="FFFFFF" w:themeColor="background1"/>
          <w:kern w:val="36"/>
          <w:szCs w:val="22"/>
        </w:rPr>
        <w:t>Literacy                     * Challenge</w:t>
      </w:r>
    </w:p>
    <w:p>
      <w:pPr>
        <w:pStyle w:val="ListParagraph"/>
        <w:ind w:hanging="360"/>
        <w:outlineLvl w:val="1"/>
        <w:rPr>
          <w:rFonts w:ascii="Arial" w:hAnsi="Arial" w:cs="Arial"/>
          <w:b/>
          <w:bCs/>
          <w:color w:val="000000"/>
          <w:kern w:val="36"/>
          <w:sz w:val="48"/>
          <w:szCs w:val="48"/>
        </w:rPr>
      </w:pPr>
      <w:r>
        <w:rPr>
          <w:rFonts w:ascii="Symbol" w:eastAsia="Symbol" w:hAnsi="Symbol" w:cs="Symbol"/>
          <w:b/>
          <w:bCs/>
          <w:color w:val="FFFFFF" w:themeColor="background1"/>
          <w:kern w:val="36"/>
          <w:szCs w:val="22"/>
        </w:rPr>
        <w:t></w:t>
      </w:r>
      <w:r>
        <w:rPr>
          <w:rFonts w:eastAsia="Symbol"/>
          <w:b/>
          <w:bCs/>
          <w:color w:val="FFFFFF" w:themeColor="background1"/>
          <w:kern w:val="36"/>
          <w:sz w:val="14"/>
          <w:szCs w:val="14"/>
        </w:rPr>
        <w:t xml:space="preserve">         </w:t>
      </w:r>
      <w:r>
        <w:rPr>
          <w:rFonts w:ascii="Arial" w:hAnsi="Arial" w:cs="Arial"/>
          <w:b/>
          <w:bCs/>
          <w:color w:val="FFFFFF" w:themeColor="background1"/>
          <w:kern w:val="36"/>
          <w:szCs w:val="22"/>
        </w:rPr>
        <w:t>Progress for students with low starting points</w:t>
      </w:r>
    </w:p>
    <w:p>
      <w:pPr>
        <w:pStyle w:val="ListParagraph"/>
        <w:ind w:hanging="360"/>
        <w:outlineLvl w:val="1"/>
        <w:rPr>
          <w:rFonts w:ascii="Arial" w:hAnsi="Arial" w:cs="Arial"/>
          <w:b/>
          <w:bCs/>
          <w:color w:val="000000"/>
          <w:kern w:val="36"/>
          <w:sz w:val="48"/>
          <w:szCs w:val="48"/>
        </w:rPr>
      </w:pPr>
      <w:r>
        <w:rPr>
          <w:rFonts w:ascii="Symbol" w:eastAsia="Symbol" w:hAnsi="Symbol" w:cs="Symbol"/>
          <w:b/>
          <w:bCs/>
          <w:color w:val="000000"/>
          <w:kern w:val="36"/>
          <w:szCs w:val="22"/>
        </w:rPr>
        <w:t></w:t>
      </w:r>
      <w:r>
        <w:rPr>
          <w:rFonts w:eastAsia="Symbol"/>
          <w:b/>
          <w:bCs/>
          <w:color w:val="000000"/>
          <w:kern w:val="36"/>
          <w:sz w:val="14"/>
          <w:szCs w:val="14"/>
        </w:rPr>
        <w:t xml:space="preserve">         </w:t>
      </w:r>
      <w:r>
        <w:rPr>
          <w:rFonts w:ascii="Arial" w:hAnsi="Arial" w:cs="Arial"/>
          <w:b/>
          <w:bCs/>
          <w:color w:val="FFFFFF" w:themeColor="background1"/>
          <w:kern w:val="36"/>
          <w:szCs w:val="22"/>
        </w:rPr>
        <w:t xml:space="preserve">OM CLIPs – </w:t>
      </w:r>
      <w:proofErr w:type="gramStart"/>
      <w:r>
        <w:rPr>
          <w:rFonts w:ascii="Arial" w:hAnsi="Arial" w:cs="Arial"/>
          <w:b/>
          <w:bCs/>
          <w:color w:val="FFFFFF" w:themeColor="background1"/>
          <w:kern w:val="36"/>
          <w:szCs w:val="22"/>
        </w:rPr>
        <w:t>cross-curricular</w:t>
      </w:r>
      <w:proofErr w:type="gramEnd"/>
    </w:p>
    <w:p>
      <w:pPr>
        <w:pStyle w:val="Heading1"/>
        <w:rPr>
          <w:rFonts w:ascii="Arial" w:eastAsia="Times New Roman" w:hAnsi="Arial" w:cs="Arial"/>
          <w:color w:val="000000"/>
        </w:rPr>
      </w:pPr>
      <w:r>
        <w:rPr>
          <w:rFonts w:ascii="Arial" w:eastAsia="Times New Roman" w:hAnsi="Arial" w:cs="Arial"/>
          <w:bCs w:val="0"/>
          <w:color w:val="538135"/>
          <w:sz w:val="28"/>
          <w:szCs w:val="28"/>
        </w:rPr>
        <w:t>Our T&amp;L Targets:</w:t>
      </w:r>
    </w:p>
    <w:p>
      <w:pPr>
        <w:numPr>
          <w:ilvl w:val="0"/>
          <w:numId w:val="2"/>
        </w:numPr>
        <w:spacing w:before="100" w:beforeAutospacing="1" w:after="100" w:afterAutospacing="1"/>
        <w:rPr>
          <w:rFonts w:ascii="Arial" w:eastAsia="Times New Roman" w:hAnsi="Arial" w:cstheme="minorHAnsi"/>
          <w:color w:val="0070C0"/>
          <w:lang w:val="en"/>
        </w:rPr>
      </w:pPr>
      <w:r>
        <w:rPr>
          <w:rFonts w:ascii="Arial" w:eastAsia="Times New Roman" w:hAnsi="Arial" w:cstheme="minorHAnsi"/>
          <w:b/>
          <w:color w:val="4BA524"/>
          <w:szCs w:val="22"/>
          <w:lang w:val="en"/>
        </w:rPr>
        <w:t>Brilliant teaching and learning</w:t>
      </w:r>
    </w:p>
    <w:p>
      <w:pPr>
        <w:numPr>
          <w:ilvl w:val="0"/>
          <w:numId w:val="2"/>
        </w:numPr>
        <w:spacing w:before="100" w:beforeAutospacing="1" w:after="100" w:afterAutospacing="1"/>
        <w:rPr>
          <w:rFonts w:ascii="Arial" w:eastAsia="Times New Roman" w:hAnsi="Arial" w:cstheme="minorHAnsi"/>
          <w:color w:val="0070C0"/>
          <w:lang w:val="en"/>
        </w:rPr>
      </w:pPr>
      <w:r>
        <w:rPr>
          <w:rFonts w:ascii="Arial" w:eastAsia="Times New Roman" w:hAnsi="Arial" w:cstheme="minorHAnsi"/>
          <w:color w:val="4BA524"/>
          <w:szCs w:val="22"/>
          <w:lang w:val="en"/>
        </w:rPr>
        <w:t>Literacy                     </w:t>
      </w:r>
    </w:p>
    <w:p>
      <w:pPr>
        <w:numPr>
          <w:ilvl w:val="0"/>
          <w:numId w:val="2"/>
        </w:numPr>
        <w:spacing w:before="100" w:beforeAutospacing="1" w:after="100" w:afterAutospacing="1"/>
        <w:rPr>
          <w:rFonts w:ascii="Arial" w:eastAsia="Times New Roman" w:hAnsi="Arial" w:cstheme="minorHAnsi"/>
          <w:color w:val="0070C0"/>
          <w:lang w:val="en"/>
        </w:rPr>
      </w:pPr>
      <w:r>
        <w:rPr>
          <w:rFonts w:ascii="Arial" w:eastAsia="Times New Roman" w:hAnsi="Arial" w:cs="Arial"/>
          <w:color w:val="4BA524"/>
          <w:lang w:val="en"/>
        </w:rPr>
        <w:t>Challenge</w:t>
      </w:r>
    </w:p>
    <w:p>
      <w:pPr>
        <w:numPr>
          <w:ilvl w:val="0"/>
          <w:numId w:val="2"/>
        </w:numPr>
        <w:spacing w:before="100" w:beforeAutospacing="1" w:after="100" w:afterAutospacing="1"/>
        <w:rPr>
          <w:rFonts w:ascii="Arial" w:eastAsia="Times New Roman" w:hAnsi="Arial" w:cstheme="minorHAnsi"/>
          <w:color w:val="0070C0"/>
          <w:lang w:val="en"/>
        </w:rPr>
      </w:pPr>
      <w:r>
        <w:rPr>
          <w:rFonts w:ascii="Arial" w:eastAsia="Times New Roman" w:hAnsi="Arial" w:cstheme="minorHAnsi"/>
          <w:color w:val="4BA524"/>
          <w:lang w:val="en"/>
        </w:rPr>
        <w:t>Progress for students with low starting points</w:t>
      </w:r>
    </w:p>
    <w:p>
      <w:pPr>
        <w:numPr>
          <w:ilvl w:val="0"/>
          <w:numId w:val="2"/>
        </w:numPr>
        <w:spacing w:before="100" w:beforeAutospacing="1" w:after="100" w:afterAutospacing="1"/>
        <w:rPr>
          <w:rFonts w:ascii="Arial" w:eastAsia="Times New Roman" w:hAnsi="Arial" w:cstheme="minorHAnsi"/>
          <w:color w:val="0070C0"/>
          <w:lang w:val="en"/>
        </w:rPr>
      </w:pPr>
      <w:r>
        <w:rPr>
          <w:rFonts w:ascii="Arial" w:eastAsia="Times New Roman" w:hAnsi="Arial" w:cstheme="minorHAnsi"/>
          <w:color w:val="4BA524"/>
          <w:lang w:val="en"/>
        </w:rPr>
        <w:t>OM CLIPs – cross-curricular</w:t>
      </w:r>
    </w:p>
    <w:p>
      <w:pPr>
        <w:shd w:val="clear" w:color="auto" w:fill="FFFFFF"/>
        <w:spacing w:before="100" w:beforeAutospacing="1"/>
        <w:jc w:val="both"/>
        <w:rPr>
          <w:rFonts w:ascii="Arial" w:hAnsi="Arial" w:cs="Arial"/>
          <w:color w:val="000000"/>
        </w:rPr>
      </w:pPr>
      <w:r>
        <w:rPr>
          <w:rFonts w:ascii="Arial" w:hAnsi="Arial" w:cstheme="minorHAnsi"/>
          <w:color w:val="4BA524"/>
          <w:lang w:val="en"/>
        </w:rPr>
        <w:t> </w:t>
      </w:r>
    </w:p>
    <w:p>
      <w:pPr>
        <w:shd w:val="clear" w:color="auto" w:fill="FFFFFF"/>
        <w:spacing w:before="100" w:beforeAutospacing="1"/>
        <w:jc w:val="both"/>
        <w:rPr>
          <w:rFonts w:ascii="Arial" w:hAnsi="Arial" w:cs="Arial"/>
          <w:color w:val="000000"/>
        </w:rPr>
      </w:pPr>
      <w:r>
        <w:rPr>
          <w:rFonts w:ascii="Arial" w:hAnsi="Arial" w:cs="Arial"/>
          <w:b/>
          <w:bCs/>
          <w:color w:val="006FC9"/>
          <w:sz w:val="28"/>
          <w:szCs w:val="28"/>
        </w:rPr>
        <w:t>Try This!</w:t>
      </w:r>
    </w:p>
    <w:p>
      <w:pPr>
        <w:spacing w:before="100" w:beforeAutospacing="1" w:after="100" w:afterAutospacing="1"/>
        <w:jc w:val="both"/>
        <w:rPr>
          <w:rFonts w:ascii="Arial" w:hAnsi="Arial" w:cs="Arial"/>
          <w:color w:val="000000"/>
        </w:rPr>
      </w:pPr>
      <w:r>
        <w:rPr>
          <w:rFonts w:ascii="Arial" w:hAnsi="Arial" w:cs="Arial"/>
          <w:color w:val="0070C0"/>
        </w:rPr>
        <w:lastRenderedPageBreak/>
        <w:t xml:space="preserve">We are focusing on UNDERSTANDING FROM MEMORY.  </w:t>
      </w:r>
    </w:p>
    <w:p>
      <w:pPr>
        <w:spacing w:before="100" w:beforeAutospacing="1" w:after="100" w:afterAutospacing="1"/>
        <w:rPr>
          <w:rFonts w:ascii="Arial" w:hAnsi="Arial" w:cs="Arial"/>
          <w:color w:val="000000"/>
        </w:rPr>
      </w:pPr>
      <w:r>
        <w:rPr>
          <w:rFonts w:ascii="Arial" w:hAnsi="Arial" w:cs="Arial"/>
          <w:color w:val="000000"/>
        </w:rPr>
        <w:t> </w:t>
      </w:r>
      <w:r>
        <w:rPr>
          <w:rFonts w:ascii="Arial" w:hAnsi="Arial" w:cs="Arial"/>
          <w:noProof/>
          <w:color w:val="000000"/>
        </w:rPr>
        <w:drawing>
          <wp:inline distT="0" distB="0" distL="0" distR="0">
            <wp:extent cx="2992755" cy="2179320"/>
            <wp:effectExtent l="0" t="0" r="0" b="0"/>
            <wp:docPr id="2" name="Picture 2" descr="cid:8655f977-57ff-4c0c-9bf6-e2f97829c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36070" descr="cid:8655f977-57ff-4c0c-9bf6-e2f97829ca6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92755" cy="2179320"/>
                    </a:xfrm>
                    <a:prstGeom prst="rect">
                      <a:avLst/>
                    </a:prstGeom>
                    <a:noFill/>
                    <a:ln>
                      <a:noFill/>
                    </a:ln>
                  </pic:spPr>
                </pic:pic>
              </a:graphicData>
            </a:graphic>
          </wp:inline>
        </w:drawing>
      </w:r>
    </w:p>
    <w:p>
      <w:pPr>
        <w:spacing w:before="100" w:beforeAutospacing="1" w:after="100" w:afterAutospacing="1"/>
        <w:rPr>
          <w:rFonts w:ascii="Arial" w:hAnsi="Arial" w:cs="Arial"/>
          <w:color w:val="000000"/>
        </w:rPr>
      </w:pPr>
      <w:r>
        <w:rPr>
          <w:rFonts w:ascii="Arial" w:hAnsi="Arial" w:cs="Arial"/>
          <w:color w:val="0070C0"/>
          <w:lang w:val="en-US"/>
        </w:rPr>
        <w:t> </w:t>
      </w:r>
    </w:p>
    <w:p>
      <w:pPr>
        <w:spacing w:before="100" w:beforeAutospacing="1" w:after="100" w:afterAutospacing="1"/>
        <w:jc w:val="both"/>
        <w:rPr>
          <w:rFonts w:ascii="Arial" w:hAnsi="Arial" w:cs="Arial"/>
          <w:color w:val="000000"/>
        </w:rPr>
      </w:pPr>
      <w:r>
        <w:rPr>
          <w:rFonts w:ascii="Arial" w:hAnsi="Arial" w:cs="Arial"/>
          <w:color w:val="0070C0"/>
          <w:lang w:val="en-US"/>
        </w:rPr>
        <w:t xml:space="preserve">Friday provided lots of food-for-thought.  I gleaned the most ideas from the </w:t>
      </w:r>
      <w:proofErr w:type="gramStart"/>
      <w:r>
        <w:rPr>
          <w:rFonts w:ascii="Arial" w:hAnsi="Arial" w:cs="Arial"/>
          <w:color w:val="0070C0"/>
          <w:lang w:val="en-US"/>
        </w:rPr>
        <w:t>key-note</w:t>
      </w:r>
      <w:proofErr w:type="gramEnd"/>
      <w:r>
        <w:rPr>
          <w:rFonts w:ascii="Arial" w:hAnsi="Arial" w:cs="Arial"/>
          <w:color w:val="0070C0"/>
          <w:lang w:val="en-US"/>
        </w:rPr>
        <w:t xml:space="preserve"> speaker, Phil Beadle (and not just because he was talking about literacy and I am an English teacher).  Like you, I sat there and questioned some of the things that </w:t>
      </w:r>
      <w:proofErr w:type="gramStart"/>
      <w:r>
        <w:rPr>
          <w:rFonts w:ascii="Arial" w:hAnsi="Arial" w:cs="Arial"/>
          <w:color w:val="0070C0"/>
          <w:lang w:val="en-US"/>
        </w:rPr>
        <w:t>were said</w:t>
      </w:r>
      <w:proofErr w:type="gramEnd"/>
      <w:r>
        <w:rPr>
          <w:rFonts w:ascii="Arial" w:hAnsi="Arial" w:cs="Arial"/>
          <w:color w:val="0070C0"/>
          <w:lang w:val="en-US"/>
        </w:rPr>
        <w:t xml:space="preserve">.  However, the most important message that emerged for me was that we need to use </w:t>
      </w:r>
      <w:proofErr w:type="gramStart"/>
      <w:r>
        <w:rPr>
          <w:rFonts w:ascii="Arial" w:hAnsi="Arial" w:cs="Arial"/>
          <w:color w:val="0070C0"/>
          <w:lang w:val="en-US"/>
        </w:rPr>
        <w:t>high level</w:t>
      </w:r>
      <w:proofErr w:type="gramEnd"/>
      <w:r>
        <w:rPr>
          <w:rFonts w:ascii="Arial" w:hAnsi="Arial" w:cs="Arial"/>
          <w:color w:val="0070C0"/>
          <w:lang w:val="en-US"/>
        </w:rPr>
        <w:t xml:space="preserve"> language in the classroom when we are SPEAKING.  So this week, </w:t>
      </w:r>
      <w:proofErr w:type="gramStart"/>
      <w:r>
        <w:rPr>
          <w:rFonts w:ascii="Arial" w:hAnsi="Arial" w:cs="Arial"/>
          <w:color w:val="0070C0"/>
          <w:lang w:val="en-US"/>
        </w:rPr>
        <w:t>let’s</w:t>
      </w:r>
      <w:proofErr w:type="gramEnd"/>
      <w:r>
        <w:rPr>
          <w:rFonts w:ascii="Arial" w:hAnsi="Arial" w:cs="Arial"/>
          <w:color w:val="0070C0"/>
          <w:lang w:val="en-US"/>
        </w:rPr>
        <w:t xml:space="preserve"> try and ‘leave our dialect at the door’ and use ‘elevated standard English’ when we talk to the students.  We should also expect them to do the same.</w:t>
      </w:r>
    </w:p>
    <w:p>
      <w:pPr>
        <w:pStyle w:val="Heading1"/>
        <w:rPr>
          <w:rFonts w:ascii="Arial" w:eastAsia="Times New Roman" w:hAnsi="Arial" w:cs="Arial"/>
          <w:color w:val="000000"/>
        </w:rPr>
      </w:pPr>
      <w:r>
        <w:rPr>
          <w:rFonts w:ascii="Arial" w:eastAsia="Times New Roman" w:hAnsi="Arial" w:cs="Arial"/>
          <w:bCs w:val="0"/>
          <w:color w:val="C00000"/>
          <w:sz w:val="28"/>
          <w:szCs w:val="28"/>
          <w:shd w:val="clear" w:color="auto" w:fill="FFFFFF"/>
        </w:rPr>
        <w:t>Talk-Talk!  Structure of the Week: Rally Robin</w:t>
      </w:r>
    </w:p>
    <w:p>
      <w:pPr>
        <w:rPr>
          <w:rFonts w:ascii="Arial" w:eastAsia="Times New Roman" w:hAnsi="Arial" w:cs="Arial"/>
          <w:color w:val="000000"/>
        </w:rPr>
      </w:pPr>
      <w:r>
        <w:rPr>
          <w:rFonts w:ascii="Arial" w:eastAsia="Times New Roman" w:hAnsi="Arial" w:cs="Arial"/>
          <w:b/>
          <w:noProof/>
          <w:color w:val="C00000"/>
          <w:shd w:val="clear" w:color="auto" w:fill="FFFFFF"/>
        </w:rPr>
        <w:drawing>
          <wp:inline distT="0" distB="0" distL="0" distR="0">
            <wp:extent cx="2915285" cy="2125980"/>
            <wp:effectExtent l="0" t="0" r="0" b="7620"/>
            <wp:docPr id="1" name="Picture 1" descr="cid:9de34a4c-f4d2-4d01-9a09-3faabc1fd4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8831" descr="cid:9de34a4c-f4d2-4d01-9a09-3faabc1fd4b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15285" cy="2125980"/>
                    </a:xfrm>
                    <a:prstGeom prst="rect">
                      <a:avLst/>
                    </a:prstGeom>
                    <a:noFill/>
                    <a:ln>
                      <a:noFill/>
                    </a:ln>
                  </pic:spPr>
                </pic:pic>
              </a:graphicData>
            </a:graphic>
          </wp:inline>
        </w:drawing>
      </w:r>
    </w:p>
    <w:p>
      <w:pPr>
        <w:pStyle w:val="Heading2"/>
        <w:rPr>
          <w:rFonts w:ascii="Arial" w:eastAsia="Times New Roman" w:hAnsi="Arial" w:cs="Arial"/>
          <w:color w:val="000000"/>
        </w:rPr>
      </w:pPr>
      <w:r>
        <w:rPr>
          <w:rFonts w:ascii="Arial" w:eastAsia="Times New Roman" w:hAnsi="Arial" w:cs="Arial"/>
          <w:bCs w:val="0"/>
          <w:color w:val="C00000"/>
          <w:sz w:val="28"/>
          <w:szCs w:val="28"/>
          <w:lang w:val="en"/>
        </w:rPr>
        <w:t>Mini-Whiteboards</w:t>
      </w:r>
    </w:p>
    <w:p>
      <w:pPr>
        <w:pStyle w:val="NormalWeb"/>
        <w:shd w:val="clear" w:color="auto" w:fill="FFFFFF"/>
        <w:jc w:val="both"/>
        <w:rPr>
          <w:rFonts w:ascii="Arial" w:hAnsi="Arial" w:cs="Arial"/>
          <w:color w:val="000000"/>
        </w:rPr>
      </w:pPr>
      <w:proofErr w:type="gramStart"/>
      <w:r>
        <w:rPr>
          <w:rFonts w:asciiTheme="minorHAnsi" w:hAnsiTheme="minorHAnsi" w:cstheme="minorHAnsi"/>
          <w:color w:val="C00000"/>
          <w:lang w:val="en"/>
        </w:rPr>
        <w:t>So</w:t>
      </w:r>
      <w:proofErr w:type="gramEnd"/>
      <w:r>
        <w:rPr>
          <w:rFonts w:asciiTheme="minorHAnsi" w:hAnsiTheme="minorHAnsi" w:cstheme="minorHAnsi"/>
          <w:color w:val="C00000"/>
          <w:lang w:val="en"/>
        </w:rPr>
        <w:t xml:space="preserve"> this week, you will all collect your mini-whiteboards and rubbers and use them with the whiteboards you have or the ones in planners.  They are a great way of promoting our current T&amp;L focus from the </w:t>
      </w:r>
      <w:r>
        <w:rPr>
          <w:rFonts w:asciiTheme="minorHAnsi" w:hAnsiTheme="minorHAnsi" w:cstheme="minorHAnsi"/>
          <w:color w:val="C00000"/>
          <w:highlight w:val="yellow"/>
          <w:lang w:val="en"/>
        </w:rPr>
        <w:t>‘Brilliant T&amp;L Toolkit’: UNDERSTANDING FROM MEMORY</w:t>
      </w:r>
      <w:r>
        <w:rPr>
          <w:rFonts w:asciiTheme="minorHAnsi" w:hAnsiTheme="minorHAnsi" w:cstheme="minorHAnsi"/>
          <w:color w:val="C00000"/>
          <w:lang w:val="en"/>
        </w:rPr>
        <w:t>. Popular uses are:</w:t>
      </w:r>
    </w:p>
    <w:p>
      <w:pPr>
        <w:numPr>
          <w:ilvl w:val="0"/>
          <w:numId w:val="3"/>
        </w:numPr>
        <w:spacing w:before="100" w:beforeAutospacing="1" w:after="100" w:afterAutospacing="1"/>
        <w:rPr>
          <w:rFonts w:ascii="Arial" w:eastAsia="Times New Roman" w:hAnsi="Arial" w:cs="Arial"/>
          <w:color w:val="000000"/>
        </w:rPr>
      </w:pPr>
      <w:r>
        <w:rPr>
          <w:rFonts w:asciiTheme="minorHAnsi" w:eastAsia="Times New Roman" w:hAnsiTheme="minorHAnsi" w:cstheme="minorHAnsi"/>
          <w:color w:val="C00000"/>
          <w:lang w:val="en"/>
        </w:rPr>
        <w:t>Vocab spelling/meaning test</w:t>
      </w:r>
    </w:p>
    <w:p>
      <w:pPr>
        <w:numPr>
          <w:ilvl w:val="0"/>
          <w:numId w:val="3"/>
        </w:numPr>
        <w:spacing w:before="100" w:beforeAutospacing="1" w:after="100" w:afterAutospacing="1"/>
        <w:rPr>
          <w:rFonts w:ascii="Arial" w:eastAsia="Times New Roman" w:hAnsi="Arial" w:cs="Arial"/>
          <w:color w:val="000000"/>
        </w:rPr>
      </w:pPr>
      <w:r>
        <w:rPr>
          <w:rFonts w:asciiTheme="minorHAnsi" w:eastAsia="Times New Roman" w:hAnsiTheme="minorHAnsi" w:cstheme="minorHAnsi"/>
          <w:color w:val="C00000"/>
          <w:lang w:val="en"/>
        </w:rPr>
        <w:lastRenderedPageBreak/>
        <w:t>Quick quizzes</w:t>
      </w:r>
    </w:p>
    <w:p>
      <w:pPr>
        <w:numPr>
          <w:ilvl w:val="0"/>
          <w:numId w:val="3"/>
        </w:numPr>
        <w:spacing w:before="100" w:beforeAutospacing="1" w:after="100" w:afterAutospacing="1"/>
        <w:rPr>
          <w:rFonts w:ascii="Arial" w:eastAsia="Times New Roman" w:hAnsi="Arial" w:cs="Arial"/>
          <w:color w:val="000000"/>
        </w:rPr>
      </w:pPr>
      <w:r>
        <w:rPr>
          <w:rFonts w:asciiTheme="minorHAnsi" w:eastAsia="Times New Roman" w:hAnsiTheme="minorHAnsi" w:cstheme="minorHAnsi"/>
          <w:color w:val="C00000"/>
          <w:lang w:val="en"/>
        </w:rPr>
        <w:t>Interleaved questions</w:t>
      </w:r>
    </w:p>
    <w:p>
      <w:pPr>
        <w:numPr>
          <w:ilvl w:val="0"/>
          <w:numId w:val="3"/>
        </w:numPr>
        <w:spacing w:before="100" w:beforeAutospacing="1" w:after="100" w:afterAutospacing="1"/>
        <w:rPr>
          <w:rFonts w:ascii="Arial" w:eastAsia="Times New Roman" w:hAnsi="Arial" w:cs="Arial"/>
          <w:color w:val="000000"/>
        </w:rPr>
      </w:pPr>
      <w:r>
        <w:rPr>
          <w:rFonts w:asciiTheme="minorHAnsi" w:eastAsia="Times New Roman" w:hAnsiTheme="minorHAnsi" w:cstheme="minorHAnsi"/>
          <w:color w:val="C00000"/>
          <w:lang w:val="en"/>
        </w:rPr>
        <w:t>Encourage students to note further questions throughout lesson</w:t>
      </w:r>
    </w:p>
    <w:p>
      <w:pPr>
        <w:numPr>
          <w:ilvl w:val="0"/>
          <w:numId w:val="3"/>
        </w:numPr>
        <w:spacing w:before="100" w:beforeAutospacing="1" w:after="100" w:afterAutospacing="1"/>
        <w:rPr>
          <w:rFonts w:ascii="Arial" w:eastAsia="Times New Roman" w:hAnsi="Arial" w:cs="Arial"/>
          <w:color w:val="000000"/>
        </w:rPr>
      </w:pPr>
      <w:r>
        <w:rPr>
          <w:rFonts w:asciiTheme="minorHAnsi" w:eastAsia="Times New Roman" w:hAnsiTheme="minorHAnsi" w:cstheme="minorHAnsi"/>
          <w:color w:val="C00000"/>
          <w:lang w:val="en"/>
        </w:rPr>
        <w:t>Sketching a diagram to represent the structure/flow of a text/process</w:t>
      </w:r>
      <w:r>
        <w:rPr>
          <w:rFonts w:ascii="Arial" w:eastAsia="Times New Roman" w:hAnsi="Arial" w:cs="Arial"/>
          <w:color w:val="000000"/>
        </w:rPr>
        <w:br/>
      </w:r>
      <w:r>
        <w:rPr>
          <w:rFonts w:ascii="Arial" w:eastAsia="Times New Roman" w:hAnsi="Arial" w:cs="Arial"/>
          <w:color w:val="000000"/>
        </w:rPr>
        <w:br/>
      </w:r>
      <w:proofErr w:type="gramStart"/>
      <w:r>
        <w:rPr>
          <w:rFonts w:asciiTheme="minorHAnsi" w:eastAsia="Times New Roman" w:hAnsiTheme="minorHAnsi" w:cstheme="minorHAnsi"/>
          <w:color w:val="C00000"/>
          <w:lang w:val="en"/>
        </w:rPr>
        <w:t>You</w:t>
      </w:r>
      <w:proofErr w:type="gramEnd"/>
      <w:r>
        <w:rPr>
          <w:rFonts w:asciiTheme="minorHAnsi" w:eastAsia="Times New Roman" w:hAnsiTheme="minorHAnsi" w:cstheme="minorHAnsi"/>
          <w:color w:val="C00000"/>
          <w:lang w:val="en"/>
        </w:rPr>
        <w:t xml:space="preserve"> will have many more uses for them. Please discuss how you use them at departmental level and let me know of any further ways in which they can be </w:t>
      </w:r>
      <w:proofErr w:type="spellStart"/>
      <w:r>
        <w:rPr>
          <w:rFonts w:asciiTheme="minorHAnsi" w:eastAsia="Times New Roman" w:hAnsiTheme="minorHAnsi" w:cstheme="minorHAnsi"/>
          <w:color w:val="C00000"/>
          <w:lang w:val="en"/>
        </w:rPr>
        <w:t>utilised</w:t>
      </w:r>
      <w:proofErr w:type="spellEnd"/>
      <w:r>
        <w:rPr>
          <w:rFonts w:asciiTheme="minorHAnsi" w:eastAsia="Times New Roman" w:hAnsiTheme="minorHAnsi" w:cstheme="minorHAnsi"/>
          <w:color w:val="C00000"/>
          <w:lang w:val="en"/>
        </w:rPr>
        <w:t xml:space="preserve"> before half term. </w:t>
      </w:r>
    </w:p>
    <w:p>
      <w:pPr>
        <w:pStyle w:val="Heading1"/>
        <w:rPr>
          <w:rFonts w:ascii="Arial" w:eastAsia="Times New Roman" w:hAnsi="Arial" w:cs="Arial"/>
          <w:color w:val="000000"/>
        </w:rPr>
      </w:pPr>
      <w:r>
        <w:rPr>
          <w:rFonts w:ascii="Arial" w:eastAsia="Times New Roman" w:hAnsi="Arial" w:cs="Arial"/>
          <w:bCs w:val="0"/>
          <w:color w:val="7030A0"/>
          <w:sz w:val="28"/>
          <w:szCs w:val="28"/>
          <w:shd w:val="clear" w:color="auto" w:fill="FFFFFF"/>
        </w:rPr>
        <w:t xml:space="preserve">Top Tips in </w:t>
      </w:r>
      <w:proofErr w:type="gramStart"/>
      <w:r>
        <w:rPr>
          <w:rFonts w:ascii="Arial" w:eastAsia="Times New Roman" w:hAnsi="Arial" w:cs="Arial"/>
          <w:bCs w:val="0"/>
          <w:color w:val="7030A0"/>
          <w:sz w:val="28"/>
          <w:szCs w:val="28"/>
          <w:shd w:val="clear" w:color="auto" w:fill="FFFFFF"/>
        </w:rPr>
        <w:t>Two</w:t>
      </w:r>
      <w:proofErr w:type="gramEnd"/>
      <w:r>
        <w:rPr>
          <w:rFonts w:ascii="Arial" w:eastAsia="Times New Roman" w:hAnsi="Arial" w:cs="Arial"/>
          <w:bCs w:val="0"/>
          <w:color w:val="7030A0"/>
          <w:sz w:val="28"/>
          <w:szCs w:val="28"/>
          <w:shd w:val="clear" w:color="auto" w:fill="FFFFFF"/>
        </w:rPr>
        <w:t xml:space="preserve"> this Half-Term     </w:t>
      </w:r>
      <w:r>
        <w:rPr>
          <w:rFonts w:ascii="Arial" w:eastAsia="Times New Roman" w:hAnsi="Arial" w:cs="Arial"/>
          <w:bCs w:val="0"/>
          <w:color w:val="7030A0"/>
          <w:sz w:val="28"/>
          <w:szCs w:val="28"/>
          <w:shd w:val="clear" w:color="auto" w:fill="FFFF00"/>
        </w:rPr>
        <w:t>changes</w:t>
      </w:r>
    </w:p>
    <w:tbl>
      <w:tblPr>
        <w:tblpPr w:leftFromText="180" w:rightFromText="180" w:vertAnchor="text" w:horzAnchor="margin" w:tblpXSpec="center" w:tblpY="120"/>
        <w:tblW w:w="0" w:type="dxa"/>
        <w:tblBorders>
          <w:top w:val="single" w:sz="2" w:space="0" w:color="8EAADB" w:themeColor="accent5" w:themeTint="99"/>
          <w:bottom w:val="single" w:sz="2" w:space="0" w:color="8EAADB" w:themeColor="accent5" w:themeTint="99"/>
        </w:tblBorders>
        <w:tblLayout w:type="fixed"/>
        <w:tblLook w:val="04A0" w:firstRow="1" w:lastRow="0" w:firstColumn="1" w:lastColumn="0" w:noHBand="0" w:noVBand="1"/>
      </w:tblPr>
      <w:tblGrid>
        <w:gridCol w:w="897"/>
        <w:gridCol w:w="1298"/>
        <w:gridCol w:w="924"/>
        <w:gridCol w:w="2410"/>
      </w:tblGrid>
      <w:tr>
        <w:tc>
          <w:tcPr>
            <w:tcW w:w="897" w:type="dxa"/>
            <w:tcBorders>
              <w:top w:val="nil"/>
              <w:left w:val="nil"/>
              <w:bottom w:val="single" w:sz="12" w:space="0" w:color="8EAADB" w:themeColor="accent5" w:themeTint="99"/>
              <w:right w:val="nil"/>
            </w:tcBorders>
            <w:shd w:val="clear" w:color="auto" w:fill="FFFFFF" w:themeFill="background1"/>
            <w:hideMark/>
          </w:tcPr>
          <w:p>
            <w:pPr>
              <w:spacing w:before="100" w:beforeAutospacing="1"/>
            </w:pPr>
            <w:r>
              <w:rPr>
                <w:rFonts w:cstheme="minorHAnsi"/>
                <w:b/>
                <w:bCs/>
              </w:rPr>
              <w:t>17</w:t>
            </w:r>
          </w:p>
        </w:tc>
        <w:tc>
          <w:tcPr>
            <w:tcW w:w="1298" w:type="dxa"/>
            <w:tcBorders>
              <w:top w:val="nil"/>
              <w:left w:val="nil"/>
              <w:bottom w:val="single" w:sz="12" w:space="0" w:color="8EAADB" w:themeColor="accent5" w:themeTint="99"/>
              <w:right w:val="nil"/>
            </w:tcBorders>
            <w:shd w:val="clear" w:color="auto" w:fill="FFFFFF" w:themeFill="background1"/>
            <w:hideMark/>
          </w:tcPr>
          <w:p>
            <w:pPr>
              <w:spacing w:before="100" w:beforeAutospacing="1"/>
              <w:jc w:val="right"/>
            </w:pPr>
            <w:r>
              <w:rPr>
                <w:rFonts w:cstheme="minorHAnsi"/>
                <w:b/>
                <w:bCs/>
                <w:color w:val="000000"/>
              </w:rPr>
              <w:t>14/01/19</w:t>
            </w:r>
          </w:p>
        </w:tc>
        <w:tc>
          <w:tcPr>
            <w:tcW w:w="924" w:type="dxa"/>
            <w:tcBorders>
              <w:top w:val="nil"/>
              <w:left w:val="nil"/>
              <w:bottom w:val="single" w:sz="12" w:space="0" w:color="8EAADB" w:themeColor="accent5" w:themeTint="99"/>
              <w:right w:val="nil"/>
            </w:tcBorders>
            <w:shd w:val="clear" w:color="auto" w:fill="FFFFFF" w:themeFill="background1"/>
            <w:hideMark/>
          </w:tcPr>
          <w:p>
            <w:pPr>
              <w:spacing w:before="100" w:beforeAutospacing="1"/>
            </w:pPr>
            <w:r>
              <w:rPr>
                <w:rFonts w:cstheme="minorHAnsi"/>
                <w:b/>
                <w:bCs/>
                <w:color w:val="000000"/>
              </w:rPr>
              <w:t>WEDS</w:t>
            </w:r>
          </w:p>
        </w:tc>
        <w:tc>
          <w:tcPr>
            <w:tcW w:w="2410" w:type="dxa"/>
            <w:tcBorders>
              <w:top w:val="nil"/>
              <w:left w:val="nil"/>
              <w:bottom w:val="single" w:sz="12" w:space="0" w:color="8EAADB" w:themeColor="accent5" w:themeTint="99"/>
              <w:right w:val="nil"/>
            </w:tcBorders>
            <w:shd w:val="clear" w:color="auto" w:fill="FFFFFF" w:themeFill="background1"/>
            <w:hideMark/>
          </w:tcPr>
          <w:p>
            <w:pPr>
              <w:spacing w:before="100" w:beforeAutospacing="1"/>
            </w:pPr>
            <w:r>
              <w:rPr>
                <w:rFonts w:cstheme="minorHAnsi"/>
                <w:b/>
                <w:bCs/>
                <w:strike/>
                <w:color w:val="000000"/>
              </w:rPr>
              <w:t>MY</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b/>
                <w:bCs/>
                <w:highlight w:val="yellow"/>
              </w:rPr>
              <w:t>18</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highlight w:val="yellow"/>
              </w:rPr>
              <w:t>21/01/19</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color w:val="000000"/>
                <w:highlight w:val="yellow"/>
              </w:rPr>
              <w:t>WEDS</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shd w:val="clear" w:color="auto" w:fill="D9E2F3" w:themeFill="accent5" w:themeFillTint="33"/>
            <w:hideMark/>
          </w:tcPr>
          <w:p>
            <w:pPr>
              <w:spacing w:before="100" w:beforeAutospacing="1"/>
            </w:pPr>
            <w:r>
              <w:rPr>
                <w:rFonts w:cstheme="minorHAnsi"/>
                <w:b/>
                <w:color w:val="7030A0"/>
                <w:highlight w:val="yellow"/>
              </w:rPr>
              <w:t>Pastries and Progress</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pPr>
              <w:spacing w:before="100" w:beforeAutospacing="1"/>
            </w:pPr>
            <w:r>
              <w:rPr>
                <w:rFonts w:cstheme="minorHAnsi"/>
                <w:b/>
                <w:bCs/>
                <w:color w:val="FF0000"/>
              </w:rPr>
              <w:t>19</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jc w:val="right"/>
            </w:pPr>
            <w:r>
              <w:rPr>
                <w:rFonts w:cstheme="minorHAnsi"/>
                <w:b/>
                <w:bCs/>
                <w:color w:val="FF0000"/>
              </w:rPr>
              <w:t>28/01/19</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pPr>
            <w:r>
              <w:rPr>
                <w:rFonts w:cstheme="minorHAnsi"/>
                <w:color w:val="FF0000"/>
              </w:rPr>
              <w:t>MON</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pPr>
              <w:spacing w:before="100" w:beforeAutospacing="1"/>
            </w:pPr>
            <w:r>
              <w:rPr>
                <w:rFonts w:cstheme="minorHAnsi"/>
                <w:b/>
                <w:color w:val="FF0000"/>
              </w:rPr>
              <w:t>HL and SZ</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b/>
                <w:bCs/>
                <w:color w:val="FF0000"/>
              </w:rPr>
              <w:t> </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jc w:val="right"/>
            </w:pPr>
            <w:r>
              <w:rPr>
                <w:rFonts w:cstheme="minorHAnsi"/>
                <w:b/>
                <w:bCs/>
                <w:color w:val="FF0000"/>
                <w:highlight w:val="yellow"/>
              </w:rPr>
              <w:t>30/01/19</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color w:val="FF0000"/>
                <w:highlight w:val="yellow"/>
              </w:rPr>
              <w:t>WEDS</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shd w:val="clear" w:color="auto" w:fill="D9E2F3" w:themeFill="accent5" w:themeFillTint="33"/>
            <w:hideMark/>
          </w:tcPr>
          <w:p>
            <w:pPr>
              <w:spacing w:before="100" w:beforeAutospacing="1"/>
            </w:pPr>
            <w:r>
              <w:rPr>
                <w:rFonts w:cstheme="minorHAnsi"/>
                <w:b/>
                <w:color w:val="FF0000"/>
                <w:highlight w:val="yellow"/>
              </w:rPr>
              <w:t>TU</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pPr>
              <w:spacing w:before="100" w:beforeAutospacing="1"/>
            </w:pPr>
            <w:r>
              <w:rPr>
                <w:rFonts w:cstheme="minorHAnsi"/>
                <w:b/>
                <w:bCs/>
              </w:rPr>
              <w:t> </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jc w:val="right"/>
            </w:pPr>
            <w:r>
              <w:rPr>
                <w:rFonts w:cstheme="minorHAnsi"/>
                <w:b/>
                <w:bCs/>
                <w:color w:val="000000"/>
              </w:rPr>
              <w:t> </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pPr>
            <w:r>
              <w:rPr>
                <w:rFonts w:cstheme="minorHAnsi"/>
                <w:color w:val="000000"/>
              </w:rPr>
              <w:t>FRI</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pPr>
              <w:spacing w:before="100" w:beforeAutospacing="1"/>
            </w:pPr>
            <w:r>
              <w:rPr>
                <w:rFonts w:cstheme="minorHAnsi"/>
                <w:b/>
                <w:color w:val="000000"/>
              </w:rPr>
              <w:t>HD and TU</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b/>
                <w:bCs/>
              </w:rPr>
              <w:t>20</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rPr>
              <w:t>4/02/19</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color w:val="000000"/>
              </w:rPr>
              <w:t>WEDS</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shd w:val="clear" w:color="auto" w:fill="D9E2F3" w:themeFill="accent5" w:themeFillTint="33"/>
            <w:hideMark/>
          </w:tcPr>
          <w:p>
            <w:pPr>
              <w:spacing w:before="100" w:beforeAutospacing="1"/>
            </w:pPr>
            <w:r>
              <w:rPr>
                <w:rFonts w:cstheme="minorHAnsi"/>
                <w:b/>
                <w:color w:val="000000"/>
              </w:rPr>
              <w:t>HS and MY</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hideMark/>
          </w:tcPr>
          <w:p>
            <w:pPr>
              <w:spacing w:before="100" w:beforeAutospacing="1"/>
            </w:pPr>
            <w:r>
              <w:rPr>
                <w:rFonts w:cstheme="minorHAnsi"/>
                <w:b/>
                <w:bCs/>
              </w:rPr>
              <w:t> </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jc w:val="right"/>
            </w:pPr>
            <w:r>
              <w:rPr>
                <w:rFonts w:cstheme="minorHAnsi"/>
                <w:b/>
                <w:bCs/>
                <w:color w:val="000000"/>
              </w:rPr>
              <w:t> </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hideMark/>
          </w:tcPr>
          <w:p>
            <w:pPr>
              <w:spacing w:before="100" w:beforeAutospacing="1"/>
            </w:pPr>
            <w:r>
              <w:rPr>
                <w:rFonts w:cstheme="minorHAnsi"/>
                <w:color w:val="000000"/>
              </w:rPr>
              <w:t>FRI</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hideMark/>
          </w:tcPr>
          <w:p>
            <w:pPr>
              <w:spacing w:before="100" w:beforeAutospacing="1"/>
            </w:pPr>
            <w:r>
              <w:rPr>
                <w:rFonts w:cstheme="minorHAnsi"/>
                <w:b/>
                <w:color w:val="000000"/>
              </w:rPr>
              <w:t>CN and LY</w:t>
            </w:r>
          </w:p>
        </w:tc>
      </w:tr>
      <w:tr>
        <w:tc>
          <w:tcPr>
            <w:tcW w:w="897" w:type="dxa"/>
            <w:tcBorders>
              <w:top w:val="single" w:sz="2" w:space="0" w:color="8EAADB" w:themeColor="accent5" w:themeTint="99"/>
              <w:left w:val="nil"/>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b/>
                <w:bCs/>
              </w:rPr>
              <w:t>21</w:t>
            </w:r>
          </w:p>
        </w:tc>
        <w:tc>
          <w:tcPr>
            <w:tcW w:w="1298"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jc w:val="right"/>
            </w:pPr>
            <w:r>
              <w:rPr>
                <w:rFonts w:cstheme="minorHAnsi"/>
                <w:b/>
                <w:bCs/>
                <w:color w:val="000000"/>
              </w:rPr>
              <w:t>11/02/19</w:t>
            </w:r>
          </w:p>
        </w:tc>
        <w:tc>
          <w:tcPr>
            <w:tcW w:w="924" w:type="dxa"/>
            <w:tcBorders>
              <w:top w:val="single" w:sz="2" w:space="0" w:color="8EAADB" w:themeColor="accent5" w:themeTint="99"/>
              <w:left w:val="single" w:sz="2" w:space="0" w:color="8EAADB" w:themeColor="accent5" w:themeTint="99"/>
              <w:bottom w:val="single" w:sz="2" w:space="0" w:color="8EAADB" w:themeColor="accent5" w:themeTint="99"/>
              <w:right w:val="single" w:sz="2" w:space="0" w:color="8EAADB" w:themeColor="accent5" w:themeTint="99"/>
            </w:tcBorders>
            <w:shd w:val="clear" w:color="auto" w:fill="D9E2F3" w:themeFill="accent5" w:themeFillTint="33"/>
            <w:hideMark/>
          </w:tcPr>
          <w:p>
            <w:pPr>
              <w:spacing w:before="100" w:beforeAutospacing="1"/>
            </w:pPr>
            <w:r>
              <w:rPr>
                <w:rFonts w:cstheme="minorHAnsi"/>
                <w:color w:val="000000"/>
              </w:rPr>
              <w:t>WEDS</w:t>
            </w:r>
          </w:p>
        </w:tc>
        <w:tc>
          <w:tcPr>
            <w:tcW w:w="2410" w:type="dxa"/>
            <w:tcBorders>
              <w:top w:val="single" w:sz="2" w:space="0" w:color="8EAADB" w:themeColor="accent5" w:themeTint="99"/>
              <w:left w:val="single" w:sz="2" w:space="0" w:color="8EAADB" w:themeColor="accent5" w:themeTint="99"/>
              <w:bottom w:val="single" w:sz="2" w:space="0" w:color="8EAADB" w:themeColor="accent5" w:themeTint="99"/>
              <w:right w:val="nil"/>
            </w:tcBorders>
            <w:shd w:val="clear" w:color="auto" w:fill="D9E2F3" w:themeFill="accent5" w:themeFillTint="33"/>
            <w:hideMark/>
          </w:tcPr>
          <w:p>
            <w:pPr>
              <w:spacing w:before="100" w:beforeAutospacing="1"/>
            </w:pPr>
            <w:r>
              <w:rPr>
                <w:rFonts w:cstheme="minorHAnsi"/>
                <w:b/>
                <w:color w:val="000000"/>
              </w:rPr>
              <w:t>HC and MO</w:t>
            </w:r>
          </w:p>
        </w:tc>
      </w:tr>
    </w:tbl>
    <w:p>
      <w:pPr>
        <w:shd w:val="clear" w:color="auto" w:fill="FFFFFF"/>
        <w:spacing w:before="100" w:beforeAutospacing="1"/>
        <w:rPr>
          <w:rFonts w:ascii="Arial" w:hAnsi="Arial" w:cs="Arial"/>
          <w:color w:val="000000"/>
        </w:rPr>
      </w:pPr>
      <w:r>
        <w:rPr>
          <w:rFonts w:ascii="Arial" w:eastAsia="Times New Roman" w:hAnsi="Arial" w:cstheme="minorHAnsi"/>
          <w:b/>
          <w:bCs/>
          <w:color w:val="7030A0"/>
          <w:shd w:val="clear" w:color="auto" w:fill="FFFFFF"/>
        </w:rPr>
        <w:t> </w:t>
      </w:r>
    </w:p>
    <w:p>
      <w:pPr>
        <w:shd w:val="clear" w:color="auto" w:fill="FFFFFF"/>
        <w:spacing w:before="100" w:beforeAutospacing="1"/>
        <w:rPr>
          <w:rFonts w:ascii="Arial" w:hAnsi="Arial" w:cs="Arial"/>
          <w:color w:val="000000"/>
        </w:rPr>
      </w:pPr>
      <w:r>
        <w:rPr>
          <w:rFonts w:ascii="Arial" w:eastAsia="Times New Roman" w:hAnsi="Arial" w:cstheme="minorHAnsi"/>
          <w:color w:val="00000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00B0F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00B0F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00B0F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00B0F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00B0F0"/>
          <w:shd w:val="clear" w:color="auto" w:fill="FFFFFF"/>
        </w:rPr>
        <w:t> </w:t>
      </w:r>
      <w:bookmarkStart w:id="0" w:name="_GoBack"/>
      <w:bookmarkEnd w:id="0"/>
    </w:p>
    <w:p>
      <w:pPr>
        <w:shd w:val="clear" w:color="auto" w:fill="FFFFFF"/>
        <w:spacing w:before="100" w:beforeAutospacing="1"/>
        <w:rPr>
          <w:rFonts w:ascii="Arial" w:hAnsi="Arial" w:cs="Arial"/>
          <w:color w:val="000000"/>
        </w:rPr>
      </w:pPr>
      <w:r>
        <w:rPr>
          <w:rFonts w:ascii="Arial" w:hAnsi="Arial" w:cs="Arial"/>
          <w:b/>
          <w:color w:val="808080"/>
          <w:sz w:val="28"/>
          <w:szCs w:val="28"/>
          <w:u w:val="single"/>
          <w:shd w:val="clear" w:color="auto" w:fill="FFFFFF"/>
        </w:rPr>
        <w:t>CPD Cascade</w:t>
      </w:r>
    </w:p>
    <w:p>
      <w:pPr>
        <w:shd w:val="clear" w:color="auto" w:fill="FFFFFF"/>
        <w:spacing w:before="100" w:beforeAutospacing="1"/>
        <w:jc w:val="both"/>
        <w:rPr>
          <w:rFonts w:ascii="Arial" w:hAnsi="Arial" w:cs="Arial"/>
          <w:color w:val="000000"/>
        </w:rPr>
      </w:pPr>
      <w:r>
        <w:rPr>
          <w:rFonts w:ascii="Arial" w:eastAsia="Times New Roman" w:hAnsi="Arial" w:cstheme="minorHAnsi"/>
          <w:color w:val="808080" w:themeColor="background1" w:themeShade="80"/>
          <w:shd w:val="clear" w:color="auto" w:fill="FFFFFF"/>
        </w:rPr>
        <w:t xml:space="preserve">Reminder – if you have attended any CPD recently </w:t>
      </w:r>
      <w:proofErr w:type="gramStart"/>
      <w:r>
        <w:rPr>
          <w:rFonts w:ascii="Arial" w:eastAsia="Times New Roman" w:hAnsi="Arial" w:cstheme="minorHAnsi"/>
          <w:color w:val="808080" w:themeColor="background1" w:themeShade="80"/>
          <w:shd w:val="clear" w:color="auto" w:fill="FFFFFF"/>
        </w:rPr>
        <w:t>(I know several of you have attended Twilights)</w:t>
      </w:r>
      <w:proofErr w:type="gramEnd"/>
      <w:r>
        <w:rPr>
          <w:rFonts w:ascii="Arial" w:eastAsia="Times New Roman" w:hAnsi="Arial" w:cstheme="minorHAnsi"/>
          <w:color w:val="808080" w:themeColor="background1" w:themeShade="80"/>
          <w:shd w:val="clear" w:color="auto" w:fill="FFFFFF"/>
        </w:rPr>
        <w:t xml:space="preserve">, </w:t>
      </w:r>
      <w:proofErr w:type="gramStart"/>
      <w:r>
        <w:rPr>
          <w:rFonts w:ascii="Arial" w:eastAsia="Times New Roman" w:hAnsi="Arial" w:cstheme="minorHAnsi"/>
          <w:color w:val="808080" w:themeColor="background1" w:themeShade="80"/>
          <w:shd w:val="clear" w:color="auto" w:fill="FFFFFF"/>
        </w:rPr>
        <w:t>I would appreciate any one-liners</w:t>
      </w:r>
      <w:proofErr w:type="gramEnd"/>
      <w:r>
        <w:rPr>
          <w:rFonts w:ascii="Arial" w:eastAsia="Times New Roman" w:hAnsi="Arial" w:cstheme="minorHAnsi"/>
          <w:color w:val="808080" w:themeColor="background1" w:themeShade="80"/>
          <w:shd w:val="clear" w:color="auto" w:fill="FFFFFF"/>
        </w:rPr>
        <w:t xml:space="preserve">.  </w:t>
      </w:r>
    </w:p>
    <w:p>
      <w:pPr>
        <w:shd w:val="clear" w:color="auto" w:fill="FFFFFF"/>
        <w:spacing w:before="100" w:beforeAutospacing="1"/>
        <w:jc w:val="both"/>
        <w:rPr>
          <w:rFonts w:ascii="Arial" w:hAnsi="Arial" w:cs="Arial"/>
          <w:color w:val="000000"/>
        </w:rPr>
      </w:pPr>
      <w:r>
        <w:rPr>
          <w:rFonts w:ascii="Arial" w:eastAsia="Times New Roman" w:hAnsi="Arial" w:cstheme="minorHAnsi"/>
          <w:color w:val="808080" w:themeColor="background1" w:themeShade="8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color w:val="808080" w:themeColor="background1" w:themeShade="80"/>
          <w:shd w:val="clear" w:color="auto" w:fill="FFFFFF"/>
        </w:rPr>
        <w:t>It would also be useful to know ONE key thing that you learned and are going to try (or re-try) following Friday’s conference.</w:t>
      </w:r>
    </w:p>
    <w:p>
      <w:pPr>
        <w:shd w:val="clear" w:color="auto" w:fill="FFFFFF"/>
        <w:spacing w:before="100" w:beforeAutospacing="1"/>
        <w:jc w:val="both"/>
        <w:rPr>
          <w:rFonts w:ascii="Arial" w:hAnsi="Arial" w:cs="Arial"/>
          <w:color w:val="000000"/>
        </w:rPr>
      </w:pPr>
      <w:r>
        <w:rPr>
          <w:rFonts w:ascii="Arial" w:eastAsia="Times New Roman" w:hAnsi="Arial" w:cstheme="minorHAnsi"/>
          <w:color w:val="808080" w:themeColor="background1" w:themeShade="80"/>
          <w:shd w:val="clear" w:color="auto" w:fill="FFFFFF"/>
        </w:rPr>
        <w:t> </w:t>
      </w:r>
    </w:p>
    <w:p>
      <w:pPr>
        <w:shd w:val="clear" w:color="auto" w:fill="FFFFFF"/>
        <w:spacing w:before="100" w:beforeAutospacing="1"/>
        <w:jc w:val="both"/>
        <w:rPr>
          <w:rFonts w:ascii="Arial" w:hAnsi="Arial" w:cs="Arial"/>
          <w:color w:val="000000"/>
        </w:rPr>
      </w:pPr>
      <w:r>
        <w:rPr>
          <w:rFonts w:ascii="Arial" w:hAnsi="Arial" w:cs="Arial"/>
          <w:b/>
          <w:color w:val="808080"/>
          <w:sz w:val="28"/>
          <w:szCs w:val="28"/>
          <w:shd w:val="clear" w:color="auto" w:fill="FFFFFF"/>
        </w:rPr>
        <w:t>Open Door Week</w:t>
      </w:r>
    </w:p>
    <w:p>
      <w:pPr>
        <w:shd w:val="clear" w:color="auto" w:fill="FFFFFF"/>
        <w:spacing w:before="100" w:beforeAutospacing="1"/>
        <w:jc w:val="both"/>
        <w:rPr>
          <w:rFonts w:ascii="Arial" w:hAnsi="Arial" w:cs="Arial"/>
          <w:color w:val="000000"/>
        </w:rPr>
      </w:pPr>
      <w:r>
        <w:rPr>
          <w:rFonts w:ascii="Arial" w:eastAsia="Times New Roman" w:hAnsi="Arial" w:cstheme="minorHAnsi"/>
          <w:color w:val="808080" w:themeColor="background1" w:themeShade="80"/>
          <w:shd w:val="clear" w:color="auto" w:fill="FFFFFF"/>
        </w:rPr>
        <w:t>Thanks to those of you who took advantage of this.  Even if one person wanders, I think it is useful.  If you could reply to this email, if you did wander (even a blank message), that would be useful.  Just to give me an idea.  I know of a number already – thanks for this.</w:t>
      </w:r>
    </w:p>
    <w:p>
      <w:pPr>
        <w:shd w:val="clear" w:color="auto" w:fill="FFFFFF"/>
        <w:spacing w:before="100" w:beforeAutospacing="1"/>
        <w:jc w:val="both"/>
        <w:rPr>
          <w:rFonts w:ascii="Arial" w:hAnsi="Arial" w:cs="Arial"/>
          <w:color w:val="000000"/>
        </w:rPr>
      </w:pPr>
      <w:r>
        <w:rPr>
          <w:rFonts w:ascii="Arial" w:eastAsia="Times New Roman" w:hAnsi="Arial" w:cstheme="minorHAnsi"/>
          <w:color w:val="808080" w:themeColor="background1" w:themeShade="80"/>
          <w:shd w:val="clear" w:color="auto" w:fill="FFFFFF"/>
        </w:rPr>
        <w:t> </w:t>
      </w:r>
    </w:p>
    <w:p>
      <w:pPr>
        <w:shd w:val="clear" w:color="auto" w:fill="FFFFFF"/>
        <w:spacing w:before="100" w:beforeAutospacing="1"/>
        <w:jc w:val="both"/>
        <w:rPr>
          <w:rFonts w:ascii="Arial" w:hAnsi="Arial" w:cs="Arial"/>
          <w:color w:val="000000"/>
        </w:rPr>
      </w:pPr>
      <w:r>
        <w:rPr>
          <w:rFonts w:ascii="Arial" w:eastAsia="Times New Roman" w:hAnsi="Arial" w:cstheme="minorHAnsi"/>
          <w:b/>
          <w:color w:val="808080" w:themeColor="background1" w:themeShade="80"/>
          <w:highlight w:val="yellow"/>
          <w:shd w:val="clear" w:color="auto" w:fill="FFFFFF"/>
        </w:rPr>
        <w:t>Date for next ODW: 11</w:t>
      </w:r>
      <w:r>
        <w:rPr>
          <w:rFonts w:ascii="Arial" w:eastAsia="Times New Roman" w:hAnsi="Arial" w:cstheme="minorHAnsi"/>
          <w:b/>
          <w:color w:val="808080" w:themeColor="background1" w:themeShade="80"/>
          <w:highlight w:val="yellow"/>
          <w:shd w:val="clear" w:color="auto" w:fill="FFFFFF"/>
          <w:vertAlign w:val="superscript"/>
        </w:rPr>
        <w:t>th</w:t>
      </w:r>
      <w:r>
        <w:rPr>
          <w:rFonts w:ascii="Arial" w:eastAsia="Times New Roman" w:hAnsi="Arial" w:cstheme="minorHAnsi"/>
          <w:b/>
          <w:color w:val="808080" w:themeColor="background1" w:themeShade="80"/>
          <w:highlight w:val="yellow"/>
          <w:shd w:val="clear" w:color="auto" w:fill="FFFFFF"/>
        </w:rPr>
        <w:t xml:space="preserve"> March 2019</w:t>
      </w:r>
    </w:p>
    <w:p>
      <w:pPr>
        <w:shd w:val="clear" w:color="auto" w:fill="FFFFFF"/>
        <w:spacing w:before="100" w:beforeAutospacing="1"/>
        <w:rPr>
          <w:rFonts w:ascii="Arial" w:hAnsi="Arial" w:cs="Arial"/>
          <w:color w:val="000000"/>
        </w:rPr>
      </w:pPr>
      <w:r>
        <w:rPr>
          <w:rFonts w:ascii="Arial" w:eastAsia="Times New Roman" w:hAnsi="Arial" w:cstheme="minorHAnsi"/>
          <w:color w:val="A6A6A6" w:themeColor="background1" w:themeShade="A6"/>
          <w:shd w:val="clear" w:color="auto" w:fill="FFFFFF"/>
        </w:rPr>
        <w:t>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900B7"/>
    <w:multiLevelType w:val="multilevel"/>
    <w:tmpl w:val="14FEB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64A6C"/>
    <w:multiLevelType w:val="multilevel"/>
    <w:tmpl w:val="BDB0A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1B04D5"/>
    <w:multiLevelType w:val="multilevel"/>
    <w:tmpl w:val="32EE3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7A582-030B-4888-86A0-310C34BD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Pr>
      <w:rFonts w:ascii="Times New Roman" w:hAnsi="Times New Roman" w:cs="Times New Roman"/>
      <w:b/>
      <w:bCs/>
      <w:sz w:val="36"/>
      <w:szCs w:val="36"/>
      <w:lang w:eastAsia="en-GB"/>
    </w:rPr>
  </w:style>
  <w:style w:type="paragraph" w:styleId="NormalWeb">
    <w:name w:val="Normal (Web)"/>
    <w:basedOn w:val="Normal"/>
    <w:uiPriority w:val="99"/>
    <w:semiHidden/>
    <w:unhideWhenUsed/>
  </w:style>
  <w:style w:type="paragraph" w:styleId="ListParagraph">
    <w:name w:val="List Paragraph"/>
    <w:basedOn w:val="Normal"/>
    <w:uiPriority w:val="34"/>
    <w:qFormat/>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de34a4c-f4d2-4d01-9a09-3faabc1fd4b4"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8655f977-57ff-4c0c-9bf6-e2f97829ca6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2019-01-28T08:09:00Z</dcterms:created>
  <dcterms:modified xsi:type="dcterms:W3CDTF">2019-01-28T08:12:00Z</dcterms:modified>
</cp:coreProperties>
</file>