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29</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April 2019</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9062" w:type="dxa"/>
        <w:shd w:val="clear" w:color="auto" w:fill="F7CAAC"/>
        <w:tblCellMar>
          <w:left w:w="0" w:type="dxa"/>
          <w:right w:w="0" w:type="dxa"/>
        </w:tblCellMar>
        <w:tblLook w:val="04A0" w:firstRow="1" w:lastRow="0" w:firstColumn="1" w:lastColumn="0" w:noHBand="0" w:noVBand="1"/>
      </w:tblPr>
      <w:tblGrid>
        <w:gridCol w:w="3959"/>
        <w:gridCol w:w="5103"/>
      </w:tblGrid>
      <w:tr>
        <w:tc>
          <w:tcPr>
            <w:tcW w:w="3959"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b/>
                <w:color w:val="0070C0"/>
                <w:sz w:val="20"/>
                <w:szCs w:val="20"/>
              </w:rPr>
              <w:t xml:space="preserve">Ask students to open exercise books at a longer answer (or even a question for Maths)…something wordy.  Ask them to talk about the language they (another) has used using the stems: </w:t>
            </w:r>
            <w:r>
              <w:rPr>
                <w:rFonts w:eastAsia="Times New Roman" w:cstheme="minorHAnsi"/>
                <w:b/>
                <w:i/>
                <w:color w:val="FF0000"/>
                <w:sz w:val="20"/>
                <w:szCs w:val="20"/>
              </w:rPr>
              <w:t>‘I have chosen to use the word…here because…If I had chosen [synonym for word] then the effect would have been different because…’</w:t>
            </w:r>
          </w:p>
        </w:tc>
        <w:tc>
          <w:tcPr>
            <w:tcW w:w="5103"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FF0000"/>
              </w:rPr>
              <w:t xml:space="preserve">Use structures to organise </w:t>
            </w:r>
            <w:r>
              <w:rPr>
                <w:rFonts w:eastAsia="Times New Roman" w:cstheme="minorHAnsi"/>
                <w:color w:val="FF0000"/>
                <w:u w:val="single"/>
              </w:rPr>
              <w:t>all</w:t>
            </w:r>
            <w:r>
              <w:rPr>
                <w:rFonts w:eastAsia="Times New Roman" w:cstheme="minorHAnsi"/>
                <w:color w:val="FF0000"/>
              </w:rPr>
              <w:t xml:space="preserve"> talk in your lessons.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‘wisdom and learning’. </w:t>
      </w:r>
      <w:r>
        <w:rPr>
          <w:rFonts w:ascii="Calibri" w:eastAsia="Times New Roman" w:hAnsi="Calibri" w:cs="Calibri"/>
          <w:bCs/>
          <w:color w:val="D05C12"/>
          <w:shd w:val="clear" w:color="auto" w:fill="FFFFFF"/>
        </w:rPr>
        <w:t xml:space="preserve">Please use the PPT </w:t>
      </w:r>
      <w:proofErr w:type="gramStart"/>
      <w:r>
        <w:rPr>
          <w:rFonts w:ascii="Calibri" w:eastAsia="Times New Roman" w:hAnsi="Calibri" w:cs="Calibri"/>
          <w:bCs/>
          <w:color w:val="D05C12"/>
          <w:shd w:val="clear" w:color="auto" w:fill="FFFFFF"/>
        </w:rPr>
        <w:t>circulated</w:t>
      </w:r>
      <w:proofErr w:type="gramEnd"/>
      <w:r>
        <w:rPr>
          <w:rFonts w:ascii="Calibri" w:eastAsia="Times New Roman" w:hAnsi="Calibri" w:cs="Calibri"/>
          <w:bCs/>
          <w:color w:val="D05C12"/>
          <w:shd w:val="clear" w:color="auto" w:fill="FFFFFF"/>
        </w:rPr>
        <w:t xml:space="preserve"> during form times this week.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w:t>
      </w:r>
      <w:r>
        <w:rPr>
          <w:rFonts w:ascii="Calibri" w:eastAsia="Times New Roman" w:hAnsi="Calibri" w:cs="Calibri"/>
          <w:color w:val="FF0000"/>
        </w:rPr>
        <w:t xml:space="preserve"> </w:t>
      </w:r>
      <w:r>
        <w:rPr>
          <w:rFonts w:ascii="Calibri" w:eastAsia="Times New Roman" w:hAnsi="Calibri" w:cs="Calibri"/>
          <w:color w:val="C45911" w:themeColor="accent2" w:themeShade="BF"/>
        </w:rPr>
        <w:t xml:space="preserve">– Meetings resume as usual this week.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 xml:space="preserve">PTSA Trainee </w:t>
      </w:r>
      <w:r>
        <w:rPr>
          <w:rFonts w:ascii="Calibri" w:eastAsia="Times New Roman" w:hAnsi="Calibri" w:cs="Calibri"/>
          <w:color w:val="C45911" w:themeColor="accent2" w:themeShade="BF"/>
        </w:rPr>
        <w:t>– Weds 5 – assessment and feedback with Lg.</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REMINDER – STUDY GROUPS:</w:t>
      </w:r>
      <w:r>
        <w:rPr>
          <w:rFonts w:ascii="Calibri" w:eastAsia="Times New Roman" w:hAnsi="Calibri" w:cs="Calibri"/>
          <w:color w:val="C45911" w:themeColor="accent2" w:themeShade="BF"/>
        </w:rPr>
        <w:t xml:space="preserve"> Just a gentle nudge that this research and development needs to be happening…see previous email regarding celebration date.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Wednesday –</w:t>
      </w:r>
      <w:r>
        <w:rPr>
          <w:rFonts w:ascii="Calibri" w:eastAsia="Times New Roman" w:hAnsi="Calibri" w:cs="Calibri"/>
          <w:color w:val="C45911" w:themeColor="accent2" w:themeShade="BF"/>
        </w:rPr>
        <w:t xml:space="preserve"> Pastries and Progress! Use of structures for organising group talk.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Literacy Policy –</w:t>
      </w:r>
      <w:r>
        <w:rPr>
          <w:rFonts w:ascii="Calibri" w:eastAsia="Times New Roman" w:hAnsi="Calibri" w:cs="Calibri"/>
          <w:color w:val="C45911" w:themeColor="accent2" w:themeShade="BF"/>
        </w:rPr>
        <w:t xml:space="preserve"> Please make sure that you are referring to this policy in your feedback (i.e. np, p, c, U </w:t>
      </w:r>
      <w:proofErr w:type="spellStart"/>
      <w:r>
        <w:rPr>
          <w:rFonts w:ascii="Calibri" w:eastAsia="Times New Roman" w:hAnsi="Calibri" w:cs="Calibri"/>
          <w:color w:val="C45911" w:themeColor="accent2" w:themeShade="BF"/>
        </w:rPr>
        <w:t>etc</w:t>
      </w:r>
      <w:proofErr w:type="spellEnd"/>
      <w:r>
        <w:rPr>
          <w:rFonts w:ascii="Calibri" w:eastAsia="Times New Roman" w:hAnsi="Calibri" w:cs="Calibri"/>
          <w:color w:val="C45911" w:themeColor="accent2" w:themeShade="BF"/>
        </w:rPr>
        <w:t xml:space="preserve">).  It needs to </w:t>
      </w:r>
      <w:proofErr w:type="gramStart"/>
      <w:r>
        <w:rPr>
          <w:rFonts w:ascii="Calibri" w:eastAsia="Times New Roman" w:hAnsi="Calibri" w:cs="Calibri"/>
          <w:color w:val="C45911" w:themeColor="accent2" w:themeShade="BF"/>
        </w:rPr>
        <w:t>be used</w:t>
      </w:r>
      <w:proofErr w:type="gramEnd"/>
      <w:r>
        <w:rPr>
          <w:rFonts w:ascii="Calibri" w:eastAsia="Times New Roman" w:hAnsi="Calibri" w:cs="Calibri"/>
          <w:color w:val="C45911" w:themeColor="accent2" w:themeShade="BF"/>
        </w:rPr>
        <w:t xml:space="preserve"> consistently by all please. </w:t>
      </w:r>
    </w:p>
    <w:p>
      <w:pPr>
        <w:pStyle w:val="Heading1"/>
        <w:rPr>
          <w:rFonts w:ascii="Arial" w:eastAsia="Times New Roman" w:hAnsi="Arial" w:cs="Arial"/>
          <w:color w:val="000000"/>
        </w:rPr>
      </w:pPr>
      <w:r>
        <w:rPr>
          <w:rFonts w:ascii="Arial" w:eastAsia="Times New Roman" w:hAnsi="Arial" w:cs="Arial"/>
          <w:bCs w:val="0"/>
          <w:color w:val="538135"/>
          <w:sz w:val="28"/>
          <w:szCs w:val="28"/>
        </w:rPr>
        <w:t>Our T&amp;L Targets:</w:t>
      </w:r>
    </w:p>
    <w:p>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b/>
          <w:color w:val="538135" w:themeColor="accent6" w:themeShade="BF"/>
          <w:szCs w:val="22"/>
        </w:rPr>
        <w:t>Brilliant teaching and learning</w:t>
      </w:r>
      <w:r>
        <w:rPr>
          <w:rFonts w:ascii="Arial" w:eastAsia="Times New Roman" w:hAnsi="Arial" w:cs="Arial"/>
          <w:noProof/>
          <w:color w:val="538135" w:themeColor="accent6" w:themeShade="BF"/>
        </w:rPr>
        <w:t xml:space="preserve">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 xml:space="preserve">Literacy – book looks will look at how well the literacy marking policy is implemented (i.e. </w:t>
      </w:r>
      <w:proofErr w:type="spellStart"/>
      <w:r>
        <w:rPr>
          <w:rFonts w:ascii="Arial" w:eastAsia="Times New Roman" w:hAnsi="Arial" w:cs="Arial"/>
          <w:color w:val="538135" w:themeColor="accent6" w:themeShade="BF"/>
          <w:szCs w:val="22"/>
        </w:rPr>
        <w:t>sp</w:t>
      </w:r>
      <w:proofErr w:type="spellEnd"/>
      <w:r>
        <w:rPr>
          <w:rFonts w:ascii="Arial" w:eastAsia="Times New Roman" w:hAnsi="Arial" w:cs="Arial"/>
          <w:color w:val="538135" w:themeColor="accent6" w:themeShade="BF"/>
          <w:szCs w:val="22"/>
        </w:rPr>
        <w:t xml:space="preserve">, u, p, np, </w:t>
      </w:r>
      <w:proofErr w:type="spellStart"/>
      <w:r>
        <w:rPr>
          <w:rFonts w:ascii="Arial" w:eastAsia="Times New Roman" w:hAnsi="Arial" w:cs="Arial"/>
          <w:color w:val="538135" w:themeColor="accent6" w:themeShade="BF"/>
          <w:szCs w:val="22"/>
        </w:rPr>
        <w:t>etc</w:t>
      </w:r>
      <w:proofErr w:type="spellEnd"/>
      <w:r>
        <w:rPr>
          <w:rFonts w:ascii="Arial" w:eastAsia="Times New Roman" w:hAnsi="Arial" w:cs="Arial"/>
          <w:color w:val="538135" w:themeColor="accent6" w:themeShade="BF"/>
          <w:szCs w:val="22"/>
        </w:rPr>
        <w:t xml:space="preserve">).                     </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Challenge for all</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Progress for students with low starting points</w:t>
      </w:r>
    </w:p>
    <w:p>
      <w:pPr>
        <w:numPr>
          <w:ilvl w:val="1"/>
          <w:numId w:val="2"/>
        </w:numPr>
        <w:spacing w:before="100" w:beforeAutospacing="1" w:after="100" w:afterAutospacing="1"/>
        <w:rPr>
          <w:rFonts w:ascii="Arial" w:eastAsia="Times New Roman" w:hAnsi="Arial" w:cs="Arial"/>
          <w:color w:val="000000"/>
        </w:rPr>
      </w:pPr>
      <w:r>
        <w:rPr>
          <w:rFonts w:ascii="Arial" w:eastAsia="Times New Roman" w:hAnsi="Arial" w:cs="Arial"/>
          <w:color w:val="538135" w:themeColor="accent6" w:themeShade="BF"/>
          <w:szCs w:val="22"/>
        </w:rPr>
        <w:t>OM CLIPs – cross-curricular</w:t>
      </w:r>
    </w:p>
    <w:p>
      <w:pPr>
        <w:pStyle w:val="Heading1"/>
        <w:rPr>
          <w:rFonts w:ascii="Arial" w:eastAsia="Times New Roman" w:hAnsi="Arial" w:cs="Arial"/>
          <w:color w:val="000000"/>
        </w:rPr>
      </w:pPr>
      <w:r>
        <w:rPr>
          <w:rFonts w:ascii="Arial" w:eastAsia="Times New Roman" w:hAnsi="Arial" w:cs="Arial"/>
          <w:bCs w:val="0"/>
          <w:color w:val="006FC9"/>
          <w:sz w:val="28"/>
          <w:szCs w:val="28"/>
          <w:shd w:val="clear" w:color="auto" w:fill="FFFFFF"/>
        </w:rPr>
        <w:t>Try this…</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Ask students to collect MWB pens/rubbers on their way into your room.</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Pose a question on the board.</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 xml:space="preserve">Ask them to answer this question </w:t>
      </w:r>
      <w:r>
        <w:rPr>
          <w:rFonts w:ascii="Arial" w:eastAsia="Times New Roman" w:hAnsi="Arial" w:cs="Arial"/>
          <w:b/>
          <w:color w:val="006FC9"/>
        </w:rPr>
        <w:t>in silence</w:t>
      </w:r>
      <w:r>
        <w:rPr>
          <w:rFonts w:ascii="Arial" w:eastAsia="Times New Roman" w:hAnsi="Arial" w:cs="Arial"/>
          <w:color w:val="006FC9"/>
        </w:rPr>
        <w:t>.</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 xml:space="preserve">Swap their boards with a partner – still </w:t>
      </w:r>
      <w:r>
        <w:rPr>
          <w:rFonts w:ascii="Arial" w:eastAsia="Times New Roman" w:hAnsi="Arial" w:cs="Arial"/>
          <w:b/>
          <w:color w:val="006FC9"/>
        </w:rPr>
        <w:t>in silence</w:t>
      </w:r>
      <w:r>
        <w:rPr>
          <w:rFonts w:ascii="Arial" w:eastAsia="Times New Roman" w:hAnsi="Arial" w:cs="Arial"/>
          <w:color w:val="006FC9"/>
        </w:rPr>
        <w:t>.</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 xml:space="preserve">Add to their partner’s ideas – still </w:t>
      </w:r>
      <w:r>
        <w:rPr>
          <w:rFonts w:ascii="Arial" w:eastAsia="Times New Roman" w:hAnsi="Arial" w:cs="Arial"/>
          <w:b/>
          <w:color w:val="006FC9"/>
        </w:rPr>
        <w:t>in silence</w:t>
      </w:r>
      <w:r>
        <w:rPr>
          <w:rFonts w:ascii="Arial" w:eastAsia="Times New Roman" w:hAnsi="Arial" w:cs="Arial"/>
          <w:color w:val="006FC9"/>
        </w:rPr>
        <w:t>.</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Continue to do this for a set amount of time.</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Now provide some conversation stems on the board.</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 xml:space="preserve">Pairs – allow students a further two minutes to discuss the question, using their answers on their boards </w:t>
      </w:r>
      <w:r>
        <w:rPr>
          <w:rFonts w:ascii="Arial" w:eastAsia="Times New Roman" w:hAnsi="Arial" w:cs="Arial"/>
          <w:b/>
          <w:color w:val="006FC9"/>
        </w:rPr>
        <w:t xml:space="preserve">and </w:t>
      </w:r>
      <w:r>
        <w:rPr>
          <w:rFonts w:ascii="Arial" w:eastAsia="Times New Roman" w:hAnsi="Arial" w:cs="Arial"/>
          <w:color w:val="006FC9"/>
        </w:rPr>
        <w:t>your conversation stems.</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Class feedback – you have been listening to the class and have selected a couple of groups to feedback their conversations.</w:t>
      </w:r>
    </w:p>
    <w:p>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6FC9"/>
        </w:rPr>
        <w:t xml:space="preserve">Optional – ask them </w:t>
      </w:r>
      <w:proofErr w:type="gramStart"/>
      <w:r>
        <w:rPr>
          <w:rFonts w:ascii="Arial" w:eastAsia="Times New Roman" w:hAnsi="Arial" w:cs="Arial"/>
          <w:color w:val="006FC9"/>
        </w:rPr>
        <w:t>to now write</w:t>
      </w:r>
      <w:proofErr w:type="gramEnd"/>
      <w:r>
        <w:rPr>
          <w:rFonts w:ascii="Arial" w:eastAsia="Times New Roman" w:hAnsi="Arial" w:cs="Arial"/>
          <w:color w:val="006FC9"/>
        </w:rPr>
        <w:t xml:space="preserve"> their answers into a coherent response.</w:t>
      </w:r>
    </w:p>
    <w:p>
      <w:pPr>
        <w:spacing w:before="100" w:beforeAutospacing="1" w:after="100" w:afterAutospacing="1"/>
        <w:jc w:val="both"/>
        <w:rPr>
          <w:rFonts w:ascii="Arial" w:hAnsi="Arial" w:cs="Arial"/>
          <w:color w:val="000000"/>
        </w:rPr>
      </w:pPr>
      <w:r>
        <w:rPr>
          <w:rFonts w:ascii="Arial" w:hAnsi="Arial" w:cs="Arial"/>
          <w:color w:val="006FC9"/>
        </w:rPr>
        <w:lastRenderedPageBreak/>
        <w:t xml:space="preserve">This could also work with subjects that </w:t>
      </w:r>
      <w:proofErr w:type="gramStart"/>
      <w:r>
        <w:rPr>
          <w:rFonts w:ascii="Arial" w:hAnsi="Arial" w:cs="Arial"/>
          <w:color w:val="006FC9"/>
        </w:rPr>
        <w:t>don’t</w:t>
      </w:r>
      <w:proofErr w:type="gramEnd"/>
      <w:r>
        <w:rPr>
          <w:rFonts w:ascii="Arial" w:hAnsi="Arial" w:cs="Arial"/>
          <w:color w:val="006FC9"/>
        </w:rPr>
        <w:t xml:space="preserve"> require longer written prose.  For example, for Maths, you could:</w:t>
      </w:r>
    </w:p>
    <w:p>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6FC9"/>
        </w:rPr>
        <w:t>Write a challenging problem on the board and ask them to solve it with detailed working out</w:t>
      </w:r>
    </w:p>
    <w:p>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6FC9"/>
        </w:rPr>
        <w:t>Swap the boards several times between partners (in silence, as above)</w:t>
      </w:r>
    </w:p>
    <w:p>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6FC9"/>
        </w:rPr>
        <w:t>Partners basically correct/add to the working out</w:t>
      </w:r>
      <w:r>
        <w:rPr>
          <w:rFonts w:ascii="Arial" w:eastAsia="Times New Roman" w:hAnsi="Arial" w:cs="Arial"/>
          <w:color w:val="000000"/>
        </w:rPr>
        <w:t> </w:t>
      </w:r>
    </w:p>
    <w:p>
      <w:pPr>
        <w:pStyle w:val="Heading1"/>
        <w:rPr>
          <w:rFonts w:ascii="Arial" w:eastAsia="Times New Roman" w:hAnsi="Arial" w:cs="Arial"/>
          <w:color w:val="000000"/>
        </w:rPr>
      </w:pPr>
      <w:r>
        <w:rPr>
          <w:rFonts w:ascii="Arial" w:eastAsia="Times New Roman" w:hAnsi="Arial" w:cs="Arial"/>
          <w:bCs w:val="0"/>
          <w:color w:val="C00000"/>
          <w:sz w:val="28"/>
          <w:szCs w:val="28"/>
          <w:shd w:val="clear" w:color="auto" w:fill="FFFFFF"/>
        </w:rPr>
        <w:t>Talk-Talk!  Three Structures</w:t>
      </w:r>
    </w:p>
    <w:p>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C00000"/>
        </w:rPr>
        <w:t xml:space="preserve">In Monday’s </w:t>
      </w:r>
      <w:r>
        <w:rPr>
          <w:rFonts w:ascii="Calibri" w:eastAsia="Times New Roman" w:hAnsi="Calibri" w:cs="Calibri"/>
          <w:b/>
          <w:i/>
          <w:color w:val="C00000"/>
        </w:rPr>
        <w:t>Top Tip in Two Minutes</w:t>
      </w:r>
      <w:r>
        <w:rPr>
          <w:rFonts w:ascii="Calibri" w:eastAsia="Times New Roman" w:hAnsi="Calibri" w:cs="Calibri"/>
          <w:color w:val="C00000"/>
        </w:rPr>
        <w:t xml:space="preserve">, three members of staff will share three approaches that </w:t>
      </w:r>
      <w:proofErr w:type="gramStart"/>
      <w:r>
        <w:rPr>
          <w:rFonts w:ascii="Calibri" w:eastAsia="Times New Roman" w:hAnsi="Calibri" w:cs="Calibri"/>
          <w:color w:val="C00000"/>
        </w:rPr>
        <w:t>may then be discussed</w:t>
      </w:r>
      <w:proofErr w:type="gramEnd"/>
      <w:r>
        <w:rPr>
          <w:rFonts w:ascii="Calibri" w:eastAsia="Times New Roman" w:hAnsi="Calibri" w:cs="Calibri"/>
          <w:color w:val="C00000"/>
        </w:rPr>
        <w:t xml:space="preserve"> in Wednesday’s Pastries and Progress:</w:t>
      </w:r>
    </w:p>
    <w:p>
      <w:pPr>
        <w:numPr>
          <w:ilvl w:val="0"/>
          <w:numId w:val="5"/>
        </w:numPr>
        <w:spacing w:before="100" w:beforeAutospacing="1" w:after="100" w:afterAutospacing="1"/>
        <w:rPr>
          <w:rFonts w:ascii="Arial" w:eastAsia="Times New Roman" w:hAnsi="Arial" w:cs="Arial"/>
          <w:color w:val="000000"/>
        </w:rPr>
      </w:pPr>
      <w:r>
        <w:rPr>
          <w:rFonts w:ascii="Calibri" w:eastAsia="Times New Roman" w:hAnsi="Calibri" w:cs="Calibri"/>
          <w:color w:val="C00000"/>
        </w:rPr>
        <w:t>Think-pair-share</w:t>
      </w:r>
    </w:p>
    <w:p>
      <w:pPr>
        <w:numPr>
          <w:ilvl w:val="0"/>
          <w:numId w:val="5"/>
        </w:numPr>
        <w:spacing w:before="100" w:beforeAutospacing="1" w:after="100" w:afterAutospacing="1"/>
        <w:rPr>
          <w:rFonts w:ascii="Arial" w:eastAsia="Times New Roman" w:hAnsi="Arial" w:cs="Arial"/>
          <w:color w:val="000000"/>
        </w:rPr>
      </w:pPr>
      <w:r>
        <w:rPr>
          <w:rFonts w:ascii="Calibri" w:eastAsia="Times New Roman" w:hAnsi="Calibri" w:cs="Calibri"/>
          <w:color w:val="C00000"/>
        </w:rPr>
        <w:t>Continuous rally robin (silent conversation)</w:t>
      </w:r>
    </w:p>
    <w:p>
      <w:pPr>
        <w:numPr>
          <w:ilvl w:val="0"/>
          <w:numId w:val="5"/>
        </w:numPr>
        <w:spacing w:before="100" w:beforeAutospacing="1" w:after="100" w:afterAutospacing="1"/>
        <w:rPr>
          <w:rFonts w:ascii="Arial" w:eastAsia="Times New Roman" w:hAnsi="Arial" w:cs="Arial"/>
          <w:color w:val="000000"/>
        </w:rPr>
      </w:pPr>
      <w:r>
        <w:rPr>
          <w:rFonts w:ascii="Calibri" w:eastAsia="Times New Roman" w:hAnsi="Calibri" w:cs="Calibri"/>
          <w:color w:val="C00000"/>
        </w:rPr>
        <w:t>Jigsaw</w:t>
      </w:r>
    </w:p>
    <w:p>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C00000"/>
        </w:rPr>
        <w:t xml:space="preserve">All are outlined on your </w:t>
      </w:r>
      <w:proofErr w:type="spellStart"/>
      <w:r>
        <w:rPr>
          <w:rFonts w:ascii="Calibri" w:eastAsia="Times New Roman" w:hAnsi="Calibri" w:cs="Calibri"/>
          <w:color w:val="C00000"/>
        </w:rPr>
        <w:t>Kagan</w:t>
      </w:r>
      <w:proofErr w:type="spellEnd"/>
      <w:r>
        <w:rPr>
          <w:rFonts w:ascii="Calibri" w:eastAsia="Times New Roman" w:hAnsi="Calibri" w:cs="Calibri"/>
          <w:color w:val="C00000"/>
        </w:rPr>
        <w:t xml:space="preserve"> card – </w:t>
      </w:r>
      <w:proofErr w:type="gramStart"/>
      <w:r>
        <w:rPr>
          <w:rFonts w:ascii="Calibri" w:eastAsia="Times New Roman" w:hAnsi="Calibri" w:cs="Calibri"/>
          <w:color w:val="C00000"/>
        </w:rPr>
        <w:t>give them a try</w:t>
      </w:r>
      <w:proofErr w:type="gramEnd"/>
      <w:r>
        <w:rPr>
          <w:rFonts w:ascii="Calibri" w:eastAsia="Times New Roman" w:hAnsi="Calibri" w:cs="Calibri"/>
          <w:color w:val="C00000"/>
        </w:rPr>
        <w:t>!</w:t>
      </w:r>
    </w:p>
    <w:p>
      <w:pPr>
        <w:pStyle w:val="Heading1"/>
        <w:rPr>
          <w:rFonts w:ascii="Arial" w:eastAsia="Times New Roman" w:hAnsi="Arial" w:cs="Arial"/>
          <w:color w:val="000000"/>
        </w:rPr>
      </w:pPr>
      <w:r>
        <w:rPr>
          <w:rFonts w:ascii="Arial" w:eastAsia="Times New Roman" w:hAnsi="Arial" w:cs="Arial"/>
          <w:bCs w:val="0"/>
          <w:color w:val="7030A0"/>
          <w:sz w:val="28"/>
          <w:szCs w:val="28"/>
          <w:shd w:val="clear" w:color="auto" w:fill="FFFFFF"/>
        </w:rPr>
        <w:t>Top Tips in Two this Half-Term    </w:t>
      </w:r>
    </w:p>
    <w:p>
      <w:pPr>
        <w:spacing w:before="100" w:beforeAutospacing="1" w:after="100" w:afterAutospacing="1"/>
        <w:jc w:val="both"/>
        <w:rPr>
          <w:rFonts w:ascii="Arial" w:hAnsi="Arial" w:cs="Arial"/>
          <w:color w:val="000000"/>
        </w:rPr>
      </w:pPr>
      <w:r>
        <w:rPr>
          <w:rFonts w:ascii="Arial" w:hAnsi="Arial" w:cs="Arial"/>
          <w:color w:val="7030A0"/>
        </w:rPr>
        <w:t xml:space="preserve">I have attached the Top Tip schedule for this </w:t>
      </w:r>
      <w:proofErr w:type="gramStart"/>
      <w:r>
        <w:rPr>
          <w:rFonts w:ascii="Arial" w:hAnsi="Arial" w:cs="Arial"/>
          <w:color w:val="7030A0"/>
        </w:rPr>
        <w:t>half-term</w:t>
      </w:r>
      <w:proofErr w:type="gramEnd"/>
      <w:r>
        <w:rPr>
          <w:rFonts w:ascii="Arial" w:hAnsi="Arial" w:cs="Arial"/>
          <w:color w:val="7030A0"/>
        </w:rPr>
        <w:t xml:space="preserve">.  </w:t>
      </w:r>
      <w:r>
        <w:rPr>
          <w:rFonts w:ascii="Arial" w:hAnsi="Arial" w:cs="Arial"/>
          <w:color w:val="FF0000"/>
        </w:rPr>
        <w:t>Amendments in red.</w:t>
      </w:r>
    </w:p>
    <w:tbl>
      <w:tblPr>
        <w:tblW w:w="0" w:type="dxa"/>
        <w:tblInd w:w="562"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blBorders>
        <w:tblLayout w:type="fixed"/>
        <w:tblLook w:val="04A0" w:firstRow="1" w:lastRow="0" w:firstColumn="1" w:lastColumn="0" w:noHBand="0" w:noVBand="1"/>
      </w:tblPr>
      <w:tblGrid>
        <w:gridCol w:w="1349"/>
        <w:gridCol w:w="1061"/>
        <w:gridCol w:w="2693"/>
        <w:gridCol w:w="3828"/>
      </w:tblGrid>
      <w:tr>
        <w:tc>
          <w:tcPr>
            <w:tcW w:w="1349" w:type="dxa"/>
            <w:tcBorders>
              <w:top w:val="single" w:sz="4" w:space="0" w:color="4472C4" w:themeColor="accent5"/>
              <w:left w:val="single" w:sz="4" w:space="0" w:color="4472C4" w:themeColor="accent5"/>
              <w:bottom w:val="single" w:sz="4" w:space="0" w:color="4472C4" w:themeColor="accent5"/>
              <w:right w:val="nil"/>
            </w:tcBorders>
            <w:shd w:val="clear" w:color="auto" w:fill="4472C4" w:themeFill="accent5"/>
            <w:hideMark/>
          </w:tcPr>
          <w:p>
            <w:pPr>
              <w:spacing w:before="100" w:beforeAutospacing="1"/>
              <w:jc w:val="right"/>
            </w:pPr>
            <w:r>
              <w:rPr>
                <w:rFonts w:cstheme="minorHAnsi"/>
                <w:b/>
                <w:bCs/>
                <w:color w:val="FF0000"/>
                <w:highlight w:val="yellow"/>
              </w:rPr>
              <w:t>W/C</w:t>
            </w:r>
          </w:p>
        </w:tc>
        <w:tc>
          <w:tcPr>
            <w:tcW w:w="1061" w:type="dxa"/>
            <w:tcBorders>
              <w:top w:val="single" w:sz="4" w:space="0" w:color="4472C4" w:themeColor="accent5"/>
              <w:left w:val="nil"/>
              <w:bottom w:val="single" w:sz="4" w:space="0" w:color="4472C4" w:themeColor="accent5"/>
              <w:right w:val="nil"/>
            </w:tcBorders>
            <w:shd w:val="clear" w:color="auto" w:fill="4472C4" w:themeFill="accent5"/>
            <w:hideMark/>
          </w:tcPr>
          <w:p>
            <w:pPr>
              <w:spacing w:before="100" w:beforeAutospacing="1"/>
            </w:pPr>
            <w:r>
              <w:rPr>
                <w:rFonts w:cstheme="minorHAnsi"/>
                <w:b/>
                <w:bCs/>
                <w:color w:val="000000"/>
              </w:rPr>
              <w:t> </w:t>
            </w:r>
          </w:p>
        </w:tc>
        <w:tc>
          <w:tcPr>
            <w:tcW w:w="2693" w:type="dxa"/>
            <w:tcBorders>
              <w:top w:val="single" w:sz="4" w:space="0" w:color="4472C4" w:themeColor="accent5"/>
              <w:left w:val="nil"/>
              <w:bottom w:val="single" w:sz="4" w:space="0" w:color="4472C4" w:themeColor="accent5"/>
              <w:right w:val="nil"/>
            </w:tcBorders>
            <w:shd w:val="clear" w:color="auto" w:fill="4472C4" w:themeFill="accent5"/>
            <w:hideMark/>
          </w:tcPr>
          <w:p>
            <w:pPr>
              <w:spacing w:before="100" w:beforeAutospacing="1"/>
            </w:pPr>
            <w:r>
              <w:rPr>
                <w:rFonts w:cstheme="minorHAnsi"/>
                <w:bCs/>
                <w:color w:val="000000"/>
              </w:rPr>
              <w:t> </w:t>
            </w:r>
          </w:p>
        </w:tc>
        <w:tc>
          <w:tcPr>
            <w:tcW w:w="3828" w:type="dxa"/>
            <w:tcBorders>
              <w:top w:val="single" w:sz="4" w:space="0" w:color="4472C4" w:themeColor="accent5"/>
              <w:left w:val="nil"/>
              <w:bottom w:val="single" w:sz="4" w:space="0" w:color="4472C4" w:themeColor="accent5"/>
              <w:right w:val="single" w:sz="4" w:space="0" w:color="4472C4" w:themeColor="accent5"/>
            </w:tcBorders>
            <w:shd w:val="clear" w:color="auto" w:fill="4472C4" w:themeFill="accent5"/>
            <w:hideMark/>
          </w:tcPr>
          <w:p>
            <w:pPr>
              <w:spacing w:before="100" w:beforeAutospacing="1"/>
            </w:pPr>
            <w:r>
              <w:rPr>
                <w:rFonts w:cstheme="minorHAnsi"/>
                <w:b/>
                <w:bCs/>
                <w:color w:val="FFFFFF" w:themeColor="background1"/>
              </w:rPr>
              <w:t> </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23/04/2019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TUES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Whole-School</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LG – Priorities/Progress this year</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color w:val="000000"/>
              </w:rPr>
              <w:t> </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FRI</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Humanities</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HS - interleaving</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29/04/2019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MON</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Cooperative Learning</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CN, WL, LG</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 </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WEDS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Pastries and Progress</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KAGAN – Implementing ideas</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07/05/2019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000000"/>
              </w:rPr>
              <w:t>WEDS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000000"/>
              </w:rPr>
              <w:t>Opening Minds</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rPr>
              <w:t>Cross-curricular links</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color w:val="000000"/>
              </w:rPr>
              <w:t> </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FRI</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Inclusion</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Learning Support</w:t>
            </w:r>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jc w:val="right"/>
            </w:pPr>
            <w:r>
              <w:rPr>
                <w:rFonts w:cstheme="minorHAnsi"/>
                <w:b/>
                <w:bCs/>
                <w:color w:val="FF0000"/>
              </w:rPr>
              <w:t>13/05/2019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FF0000"/>
              </w:rPr>
              <w:t>MON</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b/>
                <w:color w:val="FF0000"/>
              </w:rPr>
              <w:t>Music</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hideMark/>
          </w:tcPr>
          <w:p>
            <w:pPr>
              <w:spacing w:before="100" w:beforeAutospacing="1"/>
            </w:pPr>
            <w:r>
              <w:rPr>
                <w:rFonts w:cstheme="minorHAnsi"/>
                <w:color w:val="FF0000"/>
              </w:rPr>
              <w:t xml:space="preserve">F. Rawson - </w:t>
            </w:r>
            <w:proofErr w:type="spellStart"/>
            <w:r>
              <w:rPr>
                <w:rFonts w:cstheme="minorHAnsi"/>
                <w:color w:val="FF0000"/>
              </w:rPr>
              <w:t>Thunks</w:t>
            </w:r>
            <w:proofErr w:type="spellEnd"/>
          </w:p>
        </w:tc>
      </w:tr>
      <w:tr>
        <w:tc>
          <w:tcPr>
            <w:tcW w:w="134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jc w:val="right"/>
            </w:pPr>
            <w:r>
              <w:rPr>
                <w:rFonts w:cstheme="minorHAnsi"/>
                <w:b/>
                <w:bCs/>
                <w:color w:val="000000"/>
              </w:rPr>
              <w:t>20/05/2019</w:t>
            </w:r>
          </w:p>
        </w:tc>
        <w:tc>
          <w:tcPr>
            <w:tcW w:w="106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color w:val="000000"/>
              </w:rPr>
              <w:t>WEDS</w:t>
            </w:r>
          </w:p>
        </w:tc>
        <w:tc>
          <w:tcPr>
            <w:tcW w:w="269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b/>
                <w:color w:val="000000"/>
              </w:rPr>
              <w:t>Computing</w:t>
            </w:r>
          </w:p>
        </w:tc>
        <w:tc>
          <w:tcPr>
            <w:tcW w:w="382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pPr>
              <w:spacing w:before="100" w:beforeAutospacing="1"/>
            </w:pPr>
            <w:r>
              <w:rPr>
                <w:rFonts w:cstheme="minorHAnsi"/>
              </w:rPr>
              <w:t> </w:t>
            </w:r>
          </w:p>
        </w:tc>
      </w:tr>
    </w:tbl>
    <w:p>
      <w:pPr>
        <w:shd w:val="clear" w:color="auto" w:fill="FFFFFF"/>
        <w:spacing w:before="100" w:beforeAutospacing="1"/>
        <w:rPr>
          <w:rFonts w:ascii="Arial" w:hAnsi="Arial" w:cs="Arial"/>
          <w:color w:val="000000"/>
        </w:rPr>
      </w:pPr>
      <w:r>
        <w:rPr>
          <w:rFonts w:ascii="Arial" w:eastAsia="Times New Roman" w:hAnsi="Arial" w:cstheme="minorHAnsi"/>
          <w:color w:val="A6A6A6" w:themeColor="background1" w:themeShade="A6"/>
          <w:shd w:val="clear" w:color="auto" w:fill="FFFFFF"/>
        </w:rPr>
        <w:t> </w:t>
      </w:r>
    </w:p>
    <w:p>
      <w:pPr>
        <w:shd w:val="clear" w:color="auto" w:fill="FFFFFF"/>
        <w:spacing w:before="100" w:beforeAutospacing="1"/>
        <w:rPr>
          <w:rFonts w:ascii="Arial" w:hAnsi="Arial" w:cs="Arial"/>
          <w:color w:val="000000"/>
        </w:rPr>
      </w:pPr>
      <w:r>
        <w:rPr>
          <w:rFonts w:ascii="Arial" w:hAnsi="Arial" w:cs="Arial"/>
          <w:color w:val="000000"/>
        </w:rPr>
        <w:t> </w:t>
      </w:r>
    </w:p>
    <w:p>
      <w:pPr>
        <w:spacing w:before="100" w:beforeAutospacing="1" w:after="100" w:afterAutospacing="1"/>
        <w:rPr>
          <w:rFonts w:ascii="Arial" w:hAnsi="Arial" w:cs="Arial"/>
          <w:color w:val="000000"/>
        </w:rPr>
      </w:pPr>
      <w:r>
        <w:rPr>
          <w:rFonts w:ascii="Arial" w:hAnsi="Arial" w:cstheme="minorHAnsi"/>
          <w:b/>
          <w:color w:val="767171" w:themeColor="background2" w:themeShade="80"/>
          <w:sz w:val="32"/>
          <w:szCs w:val="22"/>
        </w:rPr>
        <w:t>CPD Cascade</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xml:space="preserve">Sarah sent me this last week to support our thought for last week: ‘resilience’.  Resilience is “not just your ability to bounce back, but also your capacity to adapt in the face of challenging circumstances, whilst maintaining </w:t>
      </w:r>
      <w:r>
        <w:rPr>
          <w:rFonts w:ascii="Arial" w:eastAsia="Times New Roman" w:hAnsi="Arial" w:cstheme="minorHAnsi"/>
          <w:color w:val="767171" w:themeColor="background2" w:themeShade="80"/>
          <w:u w:val="single"/>
        </w:rPr>
        <w:t>a stable mental wellbeing</w:t>
      </w:r>
      <w:r>
        <w:rPr>
          <w:rFonts w:ascii="Arial" w:eastAsia="Times New Roman" w:hAnsi="Arial" w:cstheme="minorHAnsi"/>
          <w:color w:val="767171" w:themeColor="background2" w:themeShade="80"/>
        </w:rPr>
        <w:t>.”</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In everyday life, one way of doing this is to focus on The Circle of Breath: </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xml:space="preserve">Taking a few moments just observing the breath gives us time and space to deal with or adapt to </w:t>
      </w:r>
      <w:proofErr w:type="gramStart"/>
      <w:r>
        <w:rPr>
          <w:rFonts w:ascii="Arial" w:eastAsia="Times New Roman" w:hAnsi="Arial" w:cstheme="minorHAnsi"/>
          <w:color w:val="767171" w:themeColor="background2" w:themeShade="80"/>
        </w:rPr>
        <w:t>situations which</w:t>
      </w:r>
      <w:proofErr w:type="gramEnd"/>
      <w:r>
        <w:rPr>
          <w:rFonts w:ascii="Arial" w:eastAsia="Times New Roman" w:hAnsi="Arial" w:cstheme="minorHAnsi"/>
          <w:color w:val="767171" w:themeColor="background2" w:themeShade="80"/>
        </w:rPr>
        <w:t xml:space="preserve"> may be challenging.</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lastRenderedPageBreak/>
        <w:t>1. Start with breathing easily, without force or changing anything, in through the nose and out through nose.</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xml:space="preserve">2. Notice the breath coming in (length, depth, maybe where you can feel it </w:t>
      </w:r>
      <w:proofErr w:type="gramStart"/>
      <w:r>
        <w:rPr>
          <w:rFonts w:ascii="Arial" w:eastAsia="Times New Roman" w:hAnsi="Arial" w:cstheme="minorHAnsi"/>
          <w:color w:val="767171" w:themeColor="background2" w:themeShade="80"/>
        </w:rPr>
        <w:t>more  in</w:t>
      </w:r>
      <w:proofErr w:type="gramEnd"/>
      <w:r>
        <w:rPr>
          <w:rFonts w:ascii="Arial" w:eastAsia="Times New Roman" w:hAnsi="Arial" w:cstheme="minorHAnsi"/>
          <w:color w:val="767171" w:themeColor="background2" w:themeShade="80"/>
        </w:rPr>
        <w:t xml:space="preserve"> the body); then do the same with the exhale. Notice how this </w:t>
      </w:r>
      <w:proofErr w:type="gramStart"/>
      <w:r>
        <w:rPr>
          <w:rFonts w:ascii="Arial" w:eastAsia="Times New Roman" w:hAnsi="Arial" w:cstheme="minorHAnsi"/>
          <w:color w:val="767171" w:themeColor="background2" w:themeShade="80"/>
        </w:rPr>
        <w:t>2 part</w:t>
      </w:r>
      <w:proofErr w:type="gramEnd"/>
      <w:r>
        <w:rPr>
          <w:rFonts w:ascii="Arial" w:eastAsia="Times New Roman" w:hAnsi="Arial" w:cstheme="minorHAnsi"/>
          <w:color w:val="767171" w:themeColor="background2" w:themeShade="80"/>
        </w:rPr>
        <w:t xml:space="preserve"> cycle makes one full circle of breath.</w:t>
      </w:r>
    </w:p>
    <w:p>
      <w:pPr>
        <w:shd w:val="clear" w:color="auto" w:fill="FFFFFF"/>
        <w:spacing w:before="100" w:beforeAutospacing="1"/>
        <w:rPr>
          <w:rFonts w:ascii="Arial" w:hAnsi="Arial" w:cs="Arial"/>
          <w:color w:val="000000"/>
        </w:rPr>
      </w:pPr>
      <w:r>
        <w:rPr>
          <w:rFonts w:ascii="Arial" w:eastAsia="Times New Roman" w:hAnsi="Arial" w:cstheme="minorHAnsi"/>
          <w:color w:val="767171" w:themeColor="background2" w:themeShade="80"/>
        </w:rPr>
        <w:t xml:space="preserve">3. Once this pattern is established, notice that there are pauses/spaces at the end of the inhale before it becomes the exhale and then another at the end of the exhale before the next inhale. Now the cycle appears to consist of </w:t>
      </w:r>
      <w:proofErr w:type="gramStart"/>
      <w:r>
        <w:rPr>
          <w:rFonts w:ascii="Arial" w:eastAsia="Times New Roman" w:hAnsi="Arial" w:cstheme="minorHAnsi"/>
          <w:color w:val="767171" w:themeColor="background2" w:themeShade="80"/>
        </w:rPr>
        <w:t>4</w:t>
      </w:r>
      <w:proofErr w:type="gramEnd"/>
      <w:r>
        <w:rPr>
          <w:rFonts w:ascii="Arial" w:eastAsia="Times New Roman" w:hAnsi="Arial" w:cstheme="minorHAnsi"/>
          <w:color w:val="767171" w:themeColor="background2" w:themeShade="80"/>
        </w:rPr>
        <w:t xml:space="preserve"> parts, which make up each full circle of breath. </w:t>
      </w:r>
    </w:p>
    <w:p>
      <w:pPr>
        <w:spacing w:before="100" w:beforeAutospacing="1" w:after="100" w:afterAutospacing="1"/>
        <w:rPr>
          <w:rFonts w:ascii="Arial" w:hAnsi="Arial" w:cs="Arial"/>
          <w:color w:val="000000"/>
        </w:rPr>
      </w:pPr>
      <w:r>
        <w:rPr>
          <w:rFonts w:ascii="Arial" w:hAnsi="Arial" w:cstheme="minorHAnsi"/>
          <w:color w:val="767171" w:themeColor="background2" w:themeShade="80"/>
        </w:rPr>
        <w:t> </w:t>
      </w:r>
    </w:p>
    <w:p>
      <w:pPr>
        <w:spacing w:before="100" w:beforeAutospacing="1" w:after="100" w:afterAutospacing="1"/>
        <w:rPr>
          <w:rFonts w:ascii="Arial" w:hAnsi="Arial" w:cs="Arial"/>
          <w:color w:val="000000"/>
        </w:rPr>
      </w:pPr>
      <w:r>
        <w:rPr>
          <w:rFonts w:ascii="Arial" w:hAnsi="Arial" w:cstheme="minorHAnsi"/>
          <w:color w:val="767171" w:themeColor="background2" w:themeShade="80"/>
        </w:rPr>
        <w:t>This is a useful strategy to try with students, as well as trying it yourself.  Many thanks to Sarah for this.</w:t>
      </w:r>
    </w:p>
    <w:p>
      <w:pPr>
        <w:rPr>
          <w:rFonts w:ascii="Arial" w:eastAsia="Times New Roman" w:hAnsi="Arial" w:cs="Arial"/>
          <w:color w:val="000000"/>
        </w:rPr>
      </w:pPr>
    </w:p>
    <w:p>
      <w:pPr>
        <w:spacing w:before="100" w:beforeAutospacing="1"/>
        <w:rPr>
          <w:rFonts w:ascii="Arial" w:hAnsi="Arial" w:cs="Arial"/>
          <w:color w:val="000000"/>
          <w:sz w:val="20"/>
          <w:szCs w:val="20"/>
        </w:rPr>
      </w:pPr>
      <w:r>
        <w:rPr>
          <w:rFonts w:ascii="Arial" w:hAnsi="Arial" w:cs="Arial"/>
          <w:color w:val="000000"/>
        </w:rPr>
        <w:t>Thanks for reading</w:t>
      </w:r>
      <w:bookmarkStart w:id="0" w:name="_GoBack"/>
      <w:bookmarkEnd w:id="0"/>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0E2"/>
    <w:multiLevelType w:val="multilevel"/>
    <w:tmpl w:val="2A8ED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A6C92"/>
    <w:multiLevelType w:val="multilevel"/>
    <w:tmpl w:val="C5FE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F701D"/>
    <w:multiLevelType w:val="multilevel"/>
    <w:tmpl w:val="BE28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53FFB"/>
    <w:multiLevelType w:val="multilevel"/>
    <w:tmpl w:val="9B7AF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4752B"/>
    <w:multiLevelType w:val="multilevel"/>
    <w:tmpl w:val="8F005C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61205-5907-44BC-BFEA-14D8A211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2019-04-29T06:36:00Z</dcterms:created>
  <dcterms:modified xsi:type="dcterms:W3CDTF">2019-04-29T06:38:00Z</dcterms:modified>
</cp:coreProperties>
</file>