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before="100" w:beforeAutospacing="1"/>
        <w:jc w:val="center"/>
        <w:rPr>
          <w:rFonts w:ascii="Arial" w:hAnsi="Arial" w:cs="Arial"/>
          <w:color w:val="000000"/>
        </w:rPr>
      </w:pPr>
      <w:r>
        <w:rPr>
          <w:rFonts w:ascii="Arial" w:eastAsia="Times New Roman" w:hAnsi="Arial" w:cs="Arial"/>
          <w:b/>
          <w:bCs/>
          <w:color w:val="00B0F0"/>
          <w:sz w:val="28"/>
          <w:szCs w:val="32"/>
          <w:shd w:val="clear" w:color="auto" w:fill="FFFFFF"/>
        </w:rPr>
        <w:t>WLD Teaching and Learning Digest – w/c 4</w:t>
      </w:r>
      <w:r>
        <w:rPr>
          <w:rFonts w:ascii="Arial" w:eastAsia="Times New Roman" w:hAnsi="Arial" w:cs="Arial"/>
          <w:b/>
          <w:bCs/>
          <w:color w:val="00B0F0"/>
          <w:sz w:val="28"/>
          <w:szCs w:val="32"/>
          <w:shd w:val="clear" w:color="auto" w:fill="FFFFFF"/>
          <w:vertAlign w:val="superscript"/>
        </w:rPr>
        <w:t>th</w:t>
      </w:r>
      <w:r>
        <w:rPr>
          <w:rFonts w:ascii="Arial" w:eastAsia="Times New Roman" w:hAnsi="Arial" w:cs="Arial"/>
          <w:b/>
          <w:bCs/>
          <w:color w:val="00B0F0"/>
          <w:sz w:val="28"/>
          <w:szCs w:val="32"/>
          <w:shd w:val="clear" w:color="auto" w:fill="FFFFFF"/>
        </w:rPr>
        <w:t xml:space="preserve"> February 2019</w:t>
      </w:r>
    </w:p>
    <w:p>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p>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tbl>
      <w:tblPr>
        <w:tblW w:w="0" w:type="auto"/>
        <w:jc w:val="center"/>
        <w:shd w:val="clear" w:color="auto" w:fill="F7CAAC"/>
        <w:tblCellMar>
          <w:left w:w="0" w:type="dxa"/>
          <w:right w:w="0" w:type="dxa"/>
        </w:tblCellMar>
        <w:tblLook w:val="04A0" w:firstRow="1" w:lastRow="0" w:firstColumn="1" w:lastColumn="0" w:noHBand="0" w:noVBand="1"/>
      </w:tblPr>
      <w:tblGrid>
        <w:gridCol w:w="4810"/>
        <w:gridCol w:w="3846"/>
      </w:tblGrid>
      <w:tr>
        <w:trPr>
          <w:jc w:val="center"/>
        </w:trPr>
        <w:tc>
          <w:tcPr>
            <w:tcW w:w="4810" w:type="dxa"/>
            <w:tcBorders>
              <w:top w:val="single" w:sz="8" w:space="0" w:color="FFFFFF"/>
              <w:left w:val="single" w:sz="8" w:space="0" w:color="FFFFFF"/>
              <w:bottom w:val="single" w:sz="8" w:space="0" w:color="FFFFFF"/>
              <w:right w:val="single" w:sz="8" w:space="0" w:color="FFFFFF"/>
            </w:tcBorders>
            <w:shd w:val="clear" w:color="auto" w:fill="F7CAAC"/>
            <w:tcMar>
              <w:top w:w="0" w:type="dxa"/>
              <w:left w:w="108" w:type="dxa"/>
              <w:bottom w:w="0" w:type="dxa"/>
              <w:right w:w="108" w:type="dxa"/>
            </w:tcMar>
            <w:hideMark/>
          </w:tcPr>
          <w:p>
            <w:pPr>
              <w:spacing w:before="100" w:beforeAutospacing="1"/>
              <w:jc w:val="center"/>
            </w:pPr>
            <w:r>
              <w:rPr>
                <w:rFonts w:eastAsia="Times New Roman" w:cstheme="minorHAnsi"/>
                <w:b/>
                <w:bCs/>
                <w:color w:val="0070C0"/>
                <w:sz w:val="20"/>
                <w:szCs w:val="20"/>
                <w:u w:val="single"/>
              </w:rPr>
              <w:t>COMMUNICATION FOCUSES</w:t>
            </w:r>
          </w:p>
          <w:p>
            <w:pPr>
              <w:spacing w:before="100" w:beforeAutospacing="1"/>
              <w:jc w:val="center"/>
            </w:pPr>
            <w:r>
              <w:rPr>
                <w:rFonts w:eastAsia="Times New Roman" w:cstheme="minorHAnsi"/>
                <w:sz w:val="20"/>
              </w:rPr>
              <w:t> </w:t>
            </w:r>
          </w:p>
          <w:p>
            <w:pPr>
              <w:spacing w:before="100" w:beforeAutospacing="1"/>
              <w:jc w:val="center"/>
            </w:pPr>
            <w:r>
              <w:rPr>
                <w:rFonts w:eastAsia="Times New Roman" w:cstheme="minorHAnsi"/>
                <w:color w:val="0070C0"/>
                <w:sz w:val="20"/>
                <w:szCs w:val="20"/>
              </w:rPr>
              <w:t xml:space="preserve">Ask students to define key words for the lesson on mini-whiteboards as a silent starter.  </w:t>
            </w:r>
          </w:p>
          <w:p>
            <w:pPr>
              <w:spacing w:before="100" w:beforeAutospacing="1"/>
              <w:jc w:val="center"/>
            </w:pPr>
            <w:r>
              <w:rPr>
                <w:rFonts w:eastAsia="Times New Roman" w:cstheme="minorHAnsi"/>
                <w:color w:val="0070C0"/>
                <w:sz w:val="20"/>
                <w:szCs w:val="20"/>
              </w:rPr>
              <w:t> </w:t>
            </w:r>
          </w:p>
        </w:tc>
        <w:tc>
          <w:tcPr>
            <w:tcW w:w="3846" w:type="dxa"/>
            <w:tcBorders>
              <w:top w:val="single" w:sz="8" w:space="0" w:color="FFFFFF"/>
              <w:left w:val="nil"/>
              <w:bottom w:val="single" w:sz="8" w:space="0" w:color="FFFFFF"/>
              <w:right w:val="single" w:sz="8" w:space="0" w:color="FFFFFF"/>
            </w:tcBorders>
            <w:shd w:val="clear" w:color="auto" w:fill="F7CAAC"/>
            <w:tcMar>
              <w:top w:w="0" w:type="dxa"/>
              <w:left w:w="108" w:type="dxa"/>
              <w:bottom w:w="0" w:type="dxa"/>
              <w:right w:w="108" w:type="dxa"/>
            </w:tcMar>
            <w:hideMark/>
          </w:tcPr>
          <w:p>
            <w:pPr>
              <w:spacing w:before="100" w:beforeAutospacing="1"/>
              <w:jc w:val="center"/>
            </w:pPr>
            <w:r>
              <w:rPr>
                <w:rFonts w:eastAsia="Times New Roman" w:cstheme="minorHAnsi"/>
                <w:b/>
                <w:bCs/>
                <w:color w:val="0070C0"/>
                <w:sz w:val="20"/>
                <w:szCs w:val="20"/>
                <w:u w:val="single"/>
              </w:rPr>
              <w:t>INCLUSION FOR ALL</w:t>
            </w:r>
          </w:p>
          <w:p>
            <w:pPr>
              <w:spacing w:before="100" w:beforeAutospacing="1"/>
            </w:pPr>
            <w:r>
              <w:rPr>
                <w:rFonts w:eastAsia="Times New Roman" w:cstheme="minorHAnsi"/>
                <w:color w:val="0070C0"/>
                <w:sz w:val="20"/>
                <w:szCs w:val="20"/>
              </w:rPr>
              <w:t> </w:t>
            </w:r>
          </w:p>
          <w:p>
            <w:pPr>
              <w:spacing w:before="100" w:beforeAutospacing="1"/>
              <w:jc w:val="center"/>
            </w:pPr>
            <w:r>
              <w:rPr>
                <w:rFonts w:eastAsia="Times New Roman" w:cstheme="minorHAnsi"/>
                <w:color w:val="0070C0"/>
                <w:sz w:val="20"/>
              </w:rPr>
              <w:t xml:space="preserve">Use your seating plan wisely to include everyone (KAGAN words well for this). </w:t>
            </w:r>
          </w:p>
        </w:tc>
      </w:tr>
    </w:tbl>
    <w:p>
      <w:pPr>
        <w:shd w:val="clear" w:color="auto" w:fill="FFFFFF"/>
        <w:spacing w:before="100" w:beforeAutospacing="1"/>
        <w:rPr>
          <w:rFonts w:ascii="Arial" w:hAnsi="Arial" w:cs="Arial"/>
          <w:color w:val="000000"/>
        </w:rPr>
      </w:pPr>
      <w:r>
        <w:rPr>
          <w:rFonts w:ascii="Arial" w:eastAsia="Times New Roman" w:hAnsi="Arial" w:cs="Arial"/>
          <w:color w:val="000000"/>
          <w:shd w:val="clear" w:color="auto" w:fill="FFFFFF"/>
        </w:rPr>
        <w:t> </w:t>
      </w:r>
    </w:p>
    <w:p>
      <w:pPr>
        <w:shd w:val="clear" w:color="auto" w:fill="FFFFFF"/>
        <w:spacing w:before="100" w:beforeAutospacing="1"/>
        <w:rPr>
          <w:rFonts w:ascii="Arial" w:hAnsi="Arial" w:cs="Arial"/>
          <w:color w:val="000000"/>
        </w:rPr>
      </w:pPr>
      <w:r>
        <w:rPr>
          <w:rFonts w:ascii="Arial" w:eastAsia="Times New Roman" w:hAnsi="Arial" w:cstheme="minorHAnsi"/>
          <w:b/>
          <w:bCs/>
          <w:color w:val="C45911"/>
          <w:shd w:val="clear" w:color="auto" w:fill="FFFFFF"/>
        </w:rPr>
        <w:t> </w:t>
      </w:r>
    </w:p>
    <w:p>
      <w:pPr>
        <w:shd w:val="clear" w:color="auto" w:fill="FFFFFF"/>
        <w:spacing w:before="100" w:beforeAutospacing="1"/>
        <w:rPr>
          <w:rFonts w:ascii="Arial" w:hAnsi="Arial" w:cs="Arial"/>
          <w:color w:val="000000"/>
        </w:rPr>
      </w:pPr>
      <w:r>
        <w:rPr>
          <w:rFonts w:ascii="Arial" w:eastAsia="Times New Roman" w:hAnsi="Arial" w:cstheme="minorHAnsi"/>
          <w:b/>
          <w:bCs/>
          <w:color w:val="C45911"/>
          <w:u w:val="single"/>
          <w:shd w:val="clear" w:color="auto" w:fill="FFFFFF"/>
        </w:rPr>
        <w:t>This week:</w:t>
      </w:r>
    </w:p>
    <w:p>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 xml:space="preserve">‘Internet Safety’.  </w:t>
      </w:r>
      <w:r>
        <w:rPr>
          <w:rFonts w:ascii="Calibri" w:eastAsia="Times New Roman" w:hAnsi="Calibri" w:cs="Calibri"/>
          <w:bCs/>
          <w:color w:val="D05C12"/>
          <w:shd w:val="clear" w:color="auto" w:fill="FFFFFF"/>
        </w:rPr>
        <w:t xml:space="preserve">Please use the PPT and mini-video in form time; it would even work in the background whilst you are signing planners.  </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NQTs</w:t>
      </w:r>
      <w:r>
        <w:rPr>
          <w:rFonts w:ascii="Calibri" w:eastAsia="Times New Roman" w:hAnsi="Calibri" w:cs="Calibri"/>
          <w:color w:val="FF0000"/>
        </w:rPr>
        <w:t xml:space="preserve"> </w:t>
      </w:r>
      <w:r>
        <w:rPr>
          <w:rFonts w:ascii="Calibri" w:eastAsia="Times New Roman" w:hAnsi="Calibri" w:cs="Calibri"/>
          <w:color w:val="C45911" w:themeColor="accent2" w:themeShade="BF"/>
        </w:rPr>
        <w:t>– Meetings this week as usual.</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PTSA</w:t>
      </w:r>
      <w:r>
        <w:rPr>
          <w:rFonts w:ascii="Calibri" w:eastAsia="Times New Roman" w:hAnsi="Calibri" w:cs="Calibri"/>
          <w:color w:val="FF0000"/>
        </w:rPr>
        <w:t xml:space="preserve"> </w:t>
      </w:r>
      <w:r>
        <w:rPr>
          <w:rFonts w:ascii="Calibri" w:eastAsia="Times New Roman" w:hAnsi="Calibri" w:cs="Calibri"/>
          <w:color w:val="C45911" w:themeColor="accent2" w:themeShade="BF"/>
        </w:rPr>
        <w:t>– JM is now in school Monday to Thursday.</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color w:val="C45911" w:themeColor="accent2" w:themeShade="BF"/>
        </w:rPr>
        <w:t xml:space="preserve">Presents! Reminder – please collect your mini-whiteboard pens and rubbers from reception if you </w:t>
      </w:r>
      <w:proofErr w:type="gramStart"/>
      <w:r>
        <w:rPr>
          <w:rFonts w:ascii="Calibri" w:eastAsia="Times New Roman" w:hAnsi="Calibri" w:cs="Calibri"/>
          <w:color w:val="C45911" w:themeColor="accent2" w:themeShade="BF"/>
        </w:rPr>
        <w:t>haven’t</w:t>
      </w:r>
      <w:proofErr w:type="gramEnd"/>
      <w:r>
        <w:rPr>
          <w:rFonts w:ascii="Calibri" w:eastAsia="Times New Roman" w:hAnsi="Calibri" w:cs="Calibri"/>
          <w:color w:val="C45911" w:themeColor="accent2" w:themeShade="BF"/>
        </w:rPr>
        <w:t xml:space="preserve"> already as you need to be using them.  </w:t>
      </w:r>
    </w:p>
    <w:p>
      <w:pPr>
        <w:pStyle w:val="Heading1"/>
        <w:rPr>
          <w:rFonts w:ascii="Arial" w:eastAsia="Times New Roman" w:hAnsi="Arial" w:cs="Arial"/>
          <w:color w:val="000000"/>
        </w:rPr>
      </w:pPr>
      <w:r>
        <w:rPr>
          <w:rFonts w:ascii="Arial" w:eastAsia="Times New Roman" w:hAnsi="Arial" w:cs="Arial"/>
          <w:bCs w:val="0"/>
          <w:color w:val="538135"/>
          <w:sz w:val="24"/>
          <w:szCs w:val="24"/>
        </w:rPr>
        <w:t>Our T&amp;L Targets:  </w:t>
      </w:r>
    </w:p>
    <w:p>
      <w:pPr>
        <w:jc w:val="center"/>
        <w:rPr>
          <w:rFonts w:ascii="Arial" w:eastAsia="Times New Roman" w:hAnsi="Arial" w:cs="Arial"/>
          <w:color w:val="000000"/>
        </w:rPr>
      </w:pPr>
      <w:r>
        <w:rPr>
          <w:rFonts w:ascii="Arial" w:eastAsia="Times New Roman" w:hAnsi="Arial" w:cs="Arial"/>
          <w:b/>
          <w:noProof/>
          <w:color w:val="538135" w:themeColor="accent6" w:themeShade="BF"/>
        </w:rPr>
        <w:drawing>
          <wp:inline distT="0" distB="0" distL="0" distR="0">
            <wp:extent cx="2687320" cy="1955800"/>
            <wp:effectExtent l="0" t="0" r="0" b="6350"/>
            <wp:docPr id="4" name="Picture 4" descr="cid:8be85fc6-10b5-4948-8cae-44bc5dc5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7631_rs|3" descr="cid:8be85fc6-10b5-4948-8cae-44bc5dc5770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87320" cy="1955800"/>
                    </a:xfrm>
                    <a:prstGeom prst="rect">
                      <a:avLst/>
                    </a:prstGeom>
                    <a:noFill/>
                    <a:ln>
                      <a:noFill/>
                    </a:ln>
                  </pic:spPr>
                </pic:pic>
              </a:graphicData>
            </a:graphic>
          </wp:inline>
        </w:drawing>
      </w:r>
    </w:p>
    <w:p>
      <w:pPr>
        <w:shd w:val="clear" w:color="auto" w:fill="FFFFFF"/>
        <w:spacing w:before="100" w:beforeAutospacing="1"/>
        <w:jc w:val="both"/>
        <w:rPr>
          <w:rFonts w:ascii="Arial" w:hAnsi="Arial" w:cs="Arial"/>
          <w:color w:val="000000"/>
        </w:rPr>
      </w:pPr>
      <w:r>
        <w:rPr>
          <w:rFonts w:ascii="Arial" w:hAnsi="Arial" w:cstheme="minorHAnsi"/>
          <w:color w:val="0070C0"/>
          <w:lang w:val="en"/>
        </w:rPr>
        <w:t> </w:t>
      </w:r>
    </w:p>
    <w:p>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b/>
          <w:color w:val="000000"/>
          <w:szCs w:val="22"/>
        </w:rPr>
        <w:t>Brilliant teaching and learning</w:t>
      </w:r>
      <w:r>
        <w:rPr>
          <w:rFonts w:ascii="Arial" w:eastAsia="Times New Roman" w:hAnsi="Arial" w:cs="Arial"/>
          <w:noProof/>
          <w:color w:val="000000"/>
        </w:rPr>
        <w:t xml:space="preserve"> </w:t>
      </w:r>
    </w:p>
    <w:p>
      <w:pPr>
        <w:numPr>
          <w:ilvl w:val="1"/>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szCs w:val="22"/>
        </w:rPr>
        <w:t xml:space="preserve">Literacy                     </w:t>
      </w:r>
    </w:p>
    <w:p>
      <w:pPr>
        <w:numPr>
          <w:ilvl w:val="1"/>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szCs w:val="22"/>
        </w:rPr>
        <w:t>Challenge for all</w:t>
      </w:r>
    </w:p>
    <w:p>
      <w:pPr>
        <w:numPr>
          <w:ilvl w:val="1"/>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szCs w:val="22"/>
        </w:rPr>
        <w:t>Progress for students with low starting points</w:t>
      </w:r>
    </w:p>
    <w:p>
      <w:pPr>
        <w:numPr>
          <w:ilvl w:val="1"/>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szCs w:val="22"/>
        </w:rPr>
        <w:t>OM CLIPs – cross-curricular</w:t>
      </w:r>
    </w:p>
    <w:p>
      <w:pPr>
        <w:pStyle w:val="Heading1"/>
        <w:rPr>
          <w:rFonts w:ascii="Arial" w:eastAsia="Times New Roman" w:hAnsi="Arial" w:cs="Arial"/>
          <w:color w:val="000000"/>
        </w:rPr>
      </w:pPr>
      <w:r>
        <w:rPr>
          <w:rFonts w:ascii="Arial" w:eastAsia="Times New Roman" w:hAnsi="Arial" w:cs="Arial"/>
          <w:bCs w:val="0"/>
          <w:color w:val="000000"/>
          <w:sz w:val="24"/>
          <w:szCs w:val="24"/>
        </w:rPr>
        <w:t xml:space="preserve">Try This! </w:t>
      </w:r>
      <w:r>
        <w:rPr>
          <w:rFonts w:ascii="Arial" w:eastAsia="Times New Roman" w:hAnsi="Arial" w:cs="Arial"/>
          <w:bCs w:val="0"/>
          <w:color w:val="0070C0"/>
          <w:sz w:val="24"/>
          <w:szCs w:val="24"/>
          <w:lang w:val="en"/>
        </w:rPr>
        <w:t xml:space="preserve">Mini-Whiteboards – Making </w:t>
      </w:r>
      <w:r>
        <w:rPr>
          <w:rFonts w:ascii="Arial" w:eastAsia="Times New Roman" w:hAnsi="Arial" w:cs="Arial"/>
          <w:bCs w:val="0"/>
          <w:color w:val="0070C0"/>
          <w:sz w:val="24"/>
          <w:szCs w:val="24"/>
          <w:u w:val="single"/>
          <w:lang w:val="en"/>
        </w:rPr>
        <w:t>your</w:t>
      </w:r>
      <w:r>
        <w:rPr>
          <w:rFonts w:ascii="Arial" w:eastAsia="Times New Roman" w:hAnsi="Arial" w:cs="Arial"/>
          <w:bCs w:val="0"/>
          <w:color w:val="0070C0"/>
          <w:sz w:val="24"/>
          <w:szCs w:val="24"/>
          <w:lang w:val="en"/>
        </w:rPr>
        <w:t xml:space="preserve"> rules clear</w:t>
      </w:r>
    </w:p>
    <w:p>
      <w:pPr>
        <w:pStyle w:val="NormalWeb"/>
        <w:shd w:val="clear" w:color="auto" w:fill="FFFFFF"/>
        <w:jc w:val="both"/>
        <w:rPr>
          <w:rFonts w:ascii="Arial" w:hAnsi="Arial" w:cs="Arial"/>
          <w:color w:val="000000"/>
        </w:rPr>
      </w:pPr>
      <w:proofErr w:type="gramStart"/>
      <w:r>
        <w:rPr>
          <w:rFonts w:asciiTheme="minorHAnsi" w:hAnsiTheme="minorHAnsi" w:cstheme="minorHAnsi"/>
          <w:color w:val="0070C0"/>
          <w:lang w:val="en"/>
        </w:rPr>
        <w:t>So</w:t>
      </w:r>
      <w:proofErr w:type="gramEnd"/>
      <w:r>
        <w:rPr>
          <w:rFonts w:asciiTheme="minorHAnsi" w:hAnsiTheme="minorHAnsi" w:cstheme="minorHAnsi"/>
          <w:color w:val="0070C0"/>
          <w:lang w:val="en"/>
        </w:rPr>
        <w:t xml:space="preserve"> last week, most of you collected your mini-whiteboard pens and it was great to see many of you using them around school.   As I said last week, they are a great way of promoting our current T&amp;L focus from the </w:t>
      </w:r>
      <w:r>
        <w:rPr>
          <w:rFonts w:asciiTheme="minorHAnsi" w:hAnsiTheme="minorHAnsi" w:cstheme="minorHAnsi"/>
          <w:color w:val="0070C0"/>
          <w:highlight w:val="yellow"/>
          <w:lang w:val="en"/>
        </w:rPr>
        <w:t>‘Brilliant T&amp;L Toolkit’: UNDERSTANDING FROM MEMORY</w:t>
      </w:r>
      <w:r>
        <w:rPr>
          <w:rFonts w:asciiTheme="minorHAnsi" w:hAnsiTheme="minorHAnsi" w:cstheme="minorHAnsi"/>
          <w:color w:val="0070C0"/>
          <w:lang w:val="en"/>
        </w:rPr>
        <w:t xml:space="preserve"> and you will, no doubt, discuss their uses before </w:t>
      </w:r>
      <w:proofErr w:type="gramStart"/>
      <w:r>
        <w:rPr>
          <w:rFonts w:asciiTheme="minorHAnsi" w:hAnsiTheme="minorHAnsi" w:cstheme="minorHAnsi"/>
          <w:color w:val="0070C0"/>
          <w:lang w:val="en"/>
        </w:rPr>
        <w:t>half-term</w:t>
      </w:r>
      <w:proofErr w:type="gramEnd"/>
      <w:r>
        <w:rPr>
          <w:rFonts w:asciiTheme="minorHAnsi" w:hAnsiTheme="minorHAnsi" w:cstheme="minorHAnsi"/>
          <w:color w:val="0070C0"/>
          <w:lang w:val="en"/>
        </w:rPr>
        <w:t xml:space="preserve"> within your departments.</w:t>
      </w:r>
    </w:p>
    <w:p>
      <w:pPr>
        <w:pStyle w:val="NormalWeb"/>
        <w:shd w:val="clear" w:color="auto" w:fill="FFFFFF"/>
        <w:jc w:val="both"/>
        <w:rPr>
          <w:rFonts w:ascii="Arial" w:hAnsi="Arial" w:cs="Arial"/>
          <w:color w:val="000000"/>
        </w:rPr>
      </w:pPr>
    </w:p>
    <w:p>
      <w:pPr>
        <w:pStyle w:val="NormalWeb"/>
        <w:shd w:val="clear" w:color="auto" w:fill="FFFFFF"/>
        <w:jc w:val="both"/>
        <w:rPr>
          <w:rFonts w:ascii="Arial" w:hAnsi="Arial" w:cs="Arial"/>
          <w:color w:val="000000"/>
        </w:rPr>
      </w:pPr>
      <w:r>
        <w:rPr>
          <w:rFonts w:asciiTheme="minorHAnsi" w:hAnsiTheme="minorHAnsi" w:cstheme="minorHAnsi"/>
          <w:color w:val="0070C0"/>
          <w:lang w:val="en"/>
        </w:rPr>
        <w:t xml:space="preserve">There are many approaches to using MWBs in lessons and much </w:t>
      </w:r>
      <w:proofErr w:type="gramStart"/>
      <w:r>
        <w:rPr>
          <w:rFonts w:asciiTheme="minorHAnsi" w:hAnsiTheme="minorHAnsi" w:cstheme="minorHAnsi"/>
          <w:color w:val="0070C0"/>
          <w:lang w:val="en"/>
        </w:rPr>
        <w:t>has been written</w:t>
      </w:r>
      <w:proofErr w:type="gramEnd"/>
      <w:r>
        <w:rPr>
          <w:rFonts w:asciiTheme="minorHAnsi" w:hAnsiTheme="minorHAnsi" w:cstheme="minorHAnsi"/>
          <w:color w:val="0070C0"/>
          <w:lang w:val="en"/>
        </w:rPr>
        <w:t xml:space="preserve"> the subject.  I have attached links to some useful blogs below and have </w:t>
      </w:r>
      <w:proofErr w:type="spellStart"/>
      <w:r>
        <w:rPr>
          <w:rFonts w:asciiTheme="minorHAnsi" w:hAnsiTheme="minorHAnsi" w:cstheme="minorHAnsi"/>
          <w:color w:val="0070C0"/>
          <w:lang w:val="en"/>
        </w:rPr>
        <w:t>summarised</w:t>
      </w:r>
      <w:proofErr w:type="spellEnd"/>
      <w:r>
        <w:rPr>
          <w:rFonts w:asciiTheme="minorHAnsi" w:hAnsiTheme="minorHAnsi" w:cstheme="minorHAnsi"/>
          <w:color w:val="0070C0"/>
          <w:lang w:val="en"/>
        </w:rPr>
        <w:t xml:space="preserve"> some of the useful practices:</w:t>
      </w:r>
    </w:p>
    <w:p>
      <w:pPr>
        <w:numPr>
          <w:ilvl w:val="0"/>
          <w:numId w:val="3"/>
        </w:numPr>
        <w:spacing w:before="100" w:beforeAutospacing="1" w:after="100" w:afterAutospacing="1"/>
        <w:rPr>
          <w:rFonts w:ascii="Arial" w:eastAsia="Times New Roman" w:hAnsi="Arial" w:cs="Arial"/>
          <w:color w:val="000000"/>
        </w:rPr>
      </w:pPr>
      <w:r>
        <w:rPr>
          <w:rFonts w:asciiTheme="minorHAnsi" w:eastAsia="Times New Roman" w:hAnsiTheme="minorHAnsi" w:cstheme="minorHAnsi"/>
          <w:color w:val="0070C0"/>
          <w:lang w:val="en"/>
        </w:rPr>
        <w:t>Formulate the questions in advance</w:t>
      </w:r>
    </w:p>
    <w:p>
      <w:pPr>
        <w:numPr>
          <w:ilvl w:val="0"/>
          <w:numId w:val="3"/>
        </w:numPr>
        <w:spacing w:before="100" w:beforeAutospacing="1" w:after="100" w:afterAutospacing="1"/>
        <w:rPr>
          <w:rFonts w:ascii="Arial" w:eastAsia="Times New Roman" w:hAnsi="Arial" w:cs="Arial"/>
          <w:color w:val="000000"/>
        </w:rPr>
      </w:pPr>
      <w:r>
        <w:rPr>
          <w:rFonts w:asciiTheme="minorHAnsi" w:eastAsia="Times New Roman" w:hAnsiTheme="minorHAnsi" w:cstheme="minorHAnsi"/>
          <w:color w:val="0070C0"/>
          <w:lang w:val="en"/>
        </w:rPr>
        <w:t>Make it clear that you want the answer to fill their board</w:t>
      </w:r>
    </w:p>
    <w:p>
      <w:pPr>
        <w:numPr>
          <w:ilvl w:val="0"/>
          <w:numId w:val="3"/>
        </w:numPr>
        <w:spacing w:before="100" w:beforeAutospacing="1" w:after="240"/>
        <w:rPr>
          <w:rFonts w:ascii="Arial" w:eastAsia="Times New Roman" w:hAnsi="Arial" w:cs="Arial"/>
          <w:color w:val="000000"/>
        </w:rPr>
      </w:pPr>
      <w:r>
        <w:rPr>
          <w:rFonts w:asciiTheme="minorHAnsi" w:eastAsia="Times New Roman" w:hAnsiTheme="minorHAnsi" w:cstheme="minorHAnsi"/>
          <w:color w:val="0070C0"/>
          <w:lang w:val="en"/>
        </w:rPr>
        <w:t>Decide on whether you will say ‘3-2-1 show me’ or whether students can show immediately</w:t>
      </w:r>
    </w:p>
    <w:p>
      <w:pPr>
        <w:spacing w:before="100" w:beforeAutospacing="1" w:after="100" w:afterAutospacing="1"/>
        <w:ind w:left="720"/>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80485" cy="1955800"/>
            <wp:effectExtent l="0" t="0" r="5715" b="6350"/>
            <wp:docPr id="3" name="Picture 3" descr="cid:8be4a9d0-250f-4554-9ad6-1fd9546c1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11157" descr="cid:8be4a9d0-250f-4554-9ad6-1fd9546c1d0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80485" cy="1955800"/>
                    </a:xfrm>
                    <a:prstGeom prst="rect">
                      <a:avLst/>
                    </a:prstGeom>
                    <a:noFill/>
                    <a:ln>
                      <a:noFill/>
                    </a:ln>
                  </pic:spPr>
                </pic:pic>
              </a:graphicData>
            </a:graphic>
          </wp:inline>
        </w:drawing>
      </w:r>
    </w:p>
    <w:p>
      <w:pPr>
        <w:spacing w:before="100" w:beforeAutospacing="1" w:after="100" w:afterAutospacing="1"/>
        <w:ind w:left="720"/>
        <w:rPr>
          <w:rFonts w:ascii="Arial" w:eastAsia="Times New Roman" w:hAnsi="Arial" w:cs="Arial"/>
          <w:color w:val="000000"/>
        </w:rPr>
      </w:pPr>
      <w:r>
        <w:rPr>
          <w:rFonts w:ascii="Arial" w:eastAsia="Times New Roman" w:hAnsi="Arial" w:cs="Arial"/>
          <w:color w:val="000000"/>
        </w:rPr>
        <w:br/>
      </w:r>
      <w:hyperlink r:id="rId9" w:history="1">
        <w:r>
          <w:rPr>
            <w:rStyle w:val="Hyperlink"/>
            <w:rFonts w:asciiTheme="minorHAnsi" w:eastAsia="Times New Roman" w:hAnsiTheme="minorHAnsi" w:cstheme="minorHAnsi"/>
            <w:color w:val="0070C0"/>
            <w:lang w:val="en"/>
          </w:rPr>
          <w:t>https://joeybagstock.wordpress.com/2017/10/21/show-me-maximising-the-use-of-mini-whiteboards-in-lessons/</w:t>
        </w:r>
      </w:hyperlink>
      <w:r>
        <w:rPr>
          <w:rFonts w:ascii="Arial" w:eastAsia="Times New Roman" w:hAnsi="Arial" w:cs="Arial"/>
          <w:color w:val="000000"/>
          <w:lang w:val="en"/>
        </w:rPr>
        <w:t xml:space="preserve"> </w:t>
      </w:r>
    </w:p>
    <w:tbl>
      <w:tblPr>
        <w:tblW w:w="4500" w:type="pct"/>
        <w:tblCellSpacing w:w="0" w:type="dxa"/>
        <w:tblInd w:w="72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4065"/>
        <w:gridCol w:w="5354"/>
      </w:tblGrid>
      <w:tr>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pPr>
              <w:shd w:val="clear" w:color="auto" w:fill="FFFFFF"/>
              <w:spacing w:before="300"/>
              <w:rPr>
                <w:rFonts w:eastAsia="Times New Roman"/>
              </w:rPr>
            </w:pPr>
            <w:r>
              <w:rPr>
                <w:rFonts w:eastAsia="Times New Roman"/>
                <w:noProof/>
                <w:color w:val="0000FF"/>
              </w:rPr>
              <w:drawing>
                <wp:inline distT="0" distB="0" distL="0" distR="0">
                  <wp:extent cx="2377440" cy="1987550"/>
                  <wp:effectExtent l="0" t="0" r="3810" b="0"/>
                  <wp:docPr id="2" name="Picture 2" descr="https://joeybagstock.files.wordpress.com/2017/10/screenshot-2017-10-21-10-57-33.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492309995140.792910750725426" descr="https://joeybagstock.files.wordpress.com/2017/10/screenshot-2017-10-21-10-57-3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7440" cy="198755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hideMark/>
          </w:tcPr>
          <w:p>
            <w:pPr>
              <w:spacing w:before="300" w:line="315" w:lineRule="atLeast"/>
              <w:rPr>
                <w:rFonts w:ascii="Segoe UI Light" w:eastAsia="Times New Roman" w:hAnsi="Segoe UI Light" w:cs="Segoe UI Light"/>
                <w:color w:val="5FBCA2"/>
                <w:sz w:val="32"/>
                <w:szCs w:val="32"/>
              </w:rPr>
            </w:pPr>
            <w:hyperlink r:id="rId11" w:tgtFrame="_blank" w:history="1">
              <w:r>
                <w:rPr>
                  <w:rStyle w:val="Hyperlink"/>
                  <w:rFonts w:ascii="Segoe UI Light" w:eastAsia="Times New Roman" w:hAnsi="Segoe UI Light" w:cs="Segoe UI Light"/>
                  <w:sz w:val="32"/>
                  <w:szCs w:val="32"/>
                </w:rPr>
                <w:t>Show Me: Maximising the Use of Mini Whiteboards in Lessons – must do better… - must do better… | thoughts about English teaching and education in general</w:t>
              </w:r>
            </w:hyperlink>
          </w:p>
          <w:p>
            <w:pPr>
              <w:spacing w:before="300" w:line="21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joeybagstock.wordpress.com</w:t>
            </w:r>
          </w:p>
          <w:p>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Mini whiteboards can be an excellent way to gather information about class ‘understanding’ quickly and efficiently. When used badly, however, they cease to be an effective responsive teaching tool, and they can get in the way of learning and become a distraction.</w:t>
            </w:r>
          </w:p>
        </w:tc>
      </w:tr>
    </w:tbl>
    <w:p>
      <w:pPr>
        <w:spacing w:before="100" w:beforeAutospacing="1" w:after="100" w:afterAutospacing="1"/>
        <w:ind w:left="720"/>
        <w:rPr>
          <w:rFonts w:ascii="Arial" w:eastAsia="Times New Roman" w:hAnsi="Arial" w:cs="Arial"/>
          <w:color w:val="000000"/>
        </w:rPr>
      </w:pPr>
      <w:r>
        <w:rPr>
          <w:rFonts w:asciiTheme="minorHAnsi" w:eastAsia="Times New Roman" w:hAnsiTheme="minorHAnsi" w:cstheme="minorHAnsi"/>
          <w:color w:val="0070C0"/>
          <w:lang w:val="en"/>
        </w:rPr>
        <w:t>This blog is also useful and uses a Science lesson to demonstrate.</w:t>
      </w:r>
    </w:p>
    <w:p>
      <w:pPr>
        <w:spacing w:before="100" w:beforeAutospacing="1" w:after="100" w:afterAutospacing="1"/>
        <w:rPr>
          <w:rFonts w:ascii="Arial" w:hAnsi="Arial" w:cs="Arial"/>
          <w:color w:val="000000"/>
        </w:rPr>
      </w:pPr>
      <w:hyperlink r:id="rId12" w:history="1">
        <w:r>
          <w:rPr>
            <w:rStyle w:val="Hyperlink"/>
            <w:rFonts w:ascii="Arial" w:hAnsi="Arial" w:cstheme="minorHAnsi"/>
            <w:lang w:val="en"/>
          </w:rPr>
          <w:t>https://ndhsblogspot.wordpress.com/2017/05/05/how-i-use-mwbs/</w:t>
        </w:r>
      </w:hyperlink>
    </w:p>
    <w:p>
      <w:pPr>
        <w:spacing w:before="100" w:beforeAutospacing="1" w:after="100" w:afterAutospacing="1"/>
        <w:rPr>
          <w:rFonts w:ascii="Arial" w:hAnsi="Arial" w:cs="Arial"/>
          <w:color w:val="000000"/>
        </w:rPr>
      </w:pPr>
    </w:p>
    <w:p>
      <w:pPr>
        <w:spacing w:after="160" w:line="259" w:lineRule="auto"/>
        <w:rPr>
          <w:rFonts w:ascii="Arial" w:eastAsia="Times New Roman" w:hAnsi="Arial" w:cs="Arial"/>
          <w:b/>
          <w:color w:val="006FC9"/>
          <w:sz w:val="28"/>
          <w:szCs w:val="28"/>
          <w:lang w:val="en-US"/>
        </w:rPr>
      </w:pPr>
      <w:r>
        <w:rPr>
          <w:rFonts w:ascii="Arial" w:eastAsia="Times New Roman" w:hAnsi="Arial" w:cs="Arial"/>
          <w:bCs/>
          <w:color w:val="006FC9"/>
          <w:sz w:val="28"/>
          <w:szCs w:val="28"/>
          <w:lang w:val="en-US"/>
        </w:rPr>
        <w:br w:type="page"/>
      </w:r>
    </w:p>
    <w:p>
      <w:pPr>
        <w:pStyle w:val="Heading2"/>
        <w:rPr>
          <w:rFonts w:ascii="Arial" w:eastAsia="Times New Roman" w:hAnsi="Arial" w:cs="Arial"/>
          <w:color w:val="000000"/>
        </w:rPr>
      </w:pPr>
      <w:r>
        <w:rPr>
          <w:rFonts w:ascii="Arial" w:eastAsia="Times New Roman" w:hAnsi="Arial" w:cs="Arial"/>
          <w:bCs w:val="0"/>
          <w:color w:val="006FC9"/>
          <w:sz w:val="28"/>
          <w:szCs w:val="28"/>
          <w:lang w:val="en-US"/>
        </w:rPr>
        <w:lastRenderedPageBreak/>
        <w:t>Open or Closed: That is the Question</w:t>
      </w:r>
    </w:p>
    <w:p>
      <w:pPr>
        <w:spacing w:before="100" w:beforeAutospacing="1" w:after="100" w:afterAutospacing="1"/>
        <w:jc w:val="both"/>
        <w:rPr>
          <w:rFonts w:ascii="Arial" w:hAnsi="Arial" w:cs="Arial"/>
          <w:color w:val="000000"/>
        </w:rPr>
      </w:pPr>
      <w:r>
        <w:rPr>
          <w:rFonts w:ascii="Arial" w:hAnsi="Arial" w:cs="Arial"/>
          <w:color w:val="0070C0"/>
          <w:lang w:val="en-US"/>
        </w:rPr>
        <w:t> </w:t>
      </w:r>
    </w:p>
    <w:p>
      <w:pPr>
        <w:spacing w:before="100" w:beforeAutospacing="1" w:after="100" w:afterAutospacing="1"/>
        <w:jc w:val="both"/>
        <w:rPr>
          <w:rFonts w:ascii="Arial" w:hAnsi="Arial" w:cs="Arial"/>
          <w:color w:val="000000"/>
        </w:rPr>
      </w:pPr>
      <w:r>
        <w:rPr>
          <w:rFonts w:ascii="Arial" w:hAnsi="Arial" w:cs="Arial"/>
          <w:color w:val="0070C0"/>
          <w:lang w:val="en-US"/>
        </w:rPr>
        <w:t xml:space="preserve">Educators have also spent years discussing the use of questioning techniques.  In recent times, it </w:t>
      </w:r>
      <w:proofErr w:type="gramStart"/>
      <w:r>
        <w:rPr>
          <w:rFonts w:ascii="Arial" w:hAnsi="Arial" w:cs="Arial"/>
          <w:color w:val="0070C0"/>
          <w:lang w:val="en-US"/>
        </w:rPr>
        <w:t>has been deemed</w:t>
      </w:r>
      <w:proofErr w:type="gramEnd"/>
      <w:r>
        <w:rPr>
          <w:rFonts w:ascii="Arial" w:hAnsi="Arial" w:cs="Arial"/>
          <w:color w:val="0070C0"/>
          <w:lang w:val="en-US"/>
        </w:rPr>
        <w:t xml:space="preserve"> negative to use ‘closed questions’.  However, Barak </w:t>
      </w:r>
      <w:proofErr w:type="spellStart"/>
      <w:r>
        <w:rPr>
          <w:rFonts w:ascii="Arial" w:hAnsi="Arial" w:cs="Arial"/>
          <w:color w:val="0070C0"/>
          <w:lang w:val="en-US"/>
        </w:rPr>
        <w:t>Rosenshine</w:t>
      </w:r>
      <w:proofErr w:type="spellEnd"/>
      <w:r>
        <w:rPr>
          <w:rFonts w:ascii="Arial" w:hAnsi="Arial" w:cs="Arial"/>
          <w:color w:val="0070C0"/>
          <w:lang w:val="en-US"/>
        </w:rPr>
        <w:t xml:space="preserve"> says that </w:t>
      </w:r>
      <w:r>
        <w:rPr>
          <w:rFonts w:ascii="Arial" w:hAnsi="Arial" w:cs="Arial"/>
          <w:i/>
          <w:color w:val="0070C0"/>
          <w:lang w:val="en-US"/>
        </w:rPr>
        <w:t>‘questions help students to practice new information and connect new material to their learning</w:t>
      </w:r>
      <w:proofErr w:type="gramStart"/>
      <w:r>
        <w:rPr>
          <w:rFonts w:ascii="Arial" w:hAnsi="Arial" w:cs="Arial"/>
          <w:i/>
          <w:color w:val="0070C0"/>
          <w:lang w:val="en-US"/>
        </w:rPr>
        <w:t>…[</w:t>
      </w:r>
      <w:proofErr w:type="gramEnd"/>
      <w:r>
        <w:rPr>
          <w:rFonts w:ascii="Arial" w:hAnsi="Arial" w:cs="Arial"/>
          <w:i/>
          <w:color w:val="0070C0"/>
          <w:lang w:val="en-US"/>
        </w:rPr>
        <w:t>and] allows a teacher to determine how well the material has been learned and whether there is a need for further instruction.’</w:t>
      </w:r>
      <w:r>
        <w:rPr>
          <w:rFonts w:ascii="Arial" w:hAnsi="Arial" w:cs="Arial"/>
          <w:color w:val="0070C0"/>
          <w:lang w:val="en-US"/>
        </w:rPr>
        <w:t xml:space="preserve">  </w:t>
      </w:r>
    </w:p>
    <w:p>
      <w:pPr>
        <w:spacing w:before="100" w:beforeAutospacing="1" w:after="100" w:afterAutospacing="1"/>
        <w:rPr>
          <w:rFonts w:ascii="Arial" w:hAnsi="Arial" w:cs="Arial"/>
          <w:color w:val="000000"/>
        </w:rPr>
      </w:pPr>
      <w:bookmarkStart w:id="0" w:name="_GoBack"/>
      <w:bookmarkEnd w:id="0"/>
      <w:r>
        <w:rPr>
          <w:rFonts w:ascii="Arial" w:hAnsi="Arial" w:cs="Arial"/>
          <w:color w:val="0070C0"/>
          <w:lang w:val="en-US"/>
        </w:rPr>
        <w:t>Clearly, this links to MWB usage.  Think about how you use closed questions to determine the level of UNDERSTANDING FROM MEMORY.</w:t>
      </w:r>
    </w:p>
    <w:p>
      <w:pPr>
        <w:pStyle w:val="Heading1"/>
        <w:rPr>
          <w:rFonts w:ascii="Arial" w:eastAsia="Times New Roman" w:hAnsi="Arial" w:cs="Arial"/>
          <w:color w:val="000000"/>
        </w:rPr>
      </w:pPr>
      <w:r>
        <w:rPr>
          <w:rFonts w:ascii="Arial" w:eastAsia="Times New Roman" w:hAnsi="Arial" w:cs="Arial"/>
          <w:color w:val="C00000"/>
          <w:sz w:val="24"/>
          <w:szCs w:val="24"/>
          <w:shd w:val="clear" w:color="auto" w:fill="FFFFFF"/>
        </w:rPr>
        <w:t>Talk-Talk!  KAGAN Card</w:t>
      </w:r>
    </w:p>
    <w:p>
      <w:pPr>
        <w:shd w:val="clear" w:color="auto" w:fill="FFFFFF"/>
        <w:spacing w:before="100" w:beforeAutospacing="1" w:after="100" w:afterAutospacing="1"/>
        <w:jc w:val="both"/>
        <w:rPr>
          <w:rFonts w:ascii="Arial" w:hAnsi="Arial" w:cs="Arial"/>
          <w:color w:val="000000"/>
        </w:rPr>
      </w:pPr>
      <w:r>
        <w:rPr>
          <w:rFonts w:ascii="Calibri" w:eastAsia="Times New Roman" w:hAnsi="Calibri" w:cs="Calibri"/>
          <w:b/>
          <w:color w:val="FF0000"/>
        </w:rPr>
        <w:t xml:space="preserve">Another present! </w:t>
      </w:r>
      <w:r>
        <w:rPr>
          <w:rFonts w:ascii="Calibri" w:eastAsia="Times New Roman" w:hAnsi="Calibri" w:cs="Calibri"/>
          <w:color w:val="C45911" w:themeColor="accent2" w:themeShade="BF"/>
        </w:rPr>
        <w:t xml:space="preserve">In your pigeonhole this week, you will find a KAGAN structures card to remind you of how to use them.  As organising group talk so that it is purposeful is clearly a focus (as it counteracts off-task chat), this should be useful.  </w:t>
      </w:r>
      <w:r>
        <w:rPr>
          <w:rFonts w:ascii="Calibri" w:eastAsia="Times New Roman" w:hAnsi="Calibri" w:cs="Calibri"/>
          <w:i/>
          <w:color w:val="FF0000"/>
        </w:rPr>
        <w:t>Middle Leaders, you may wish to discuss this at department level and select three to push within their areas</w:t>
      </w:r>
      <w:r>
        <w:rPr>
          <w:rFonts w:ascii="Calibri" w:eastAsia="Times New Roman" w:hAnsi="Calibri" w:cs="Calibri"/>
          <w:color w:val="C45911" w:themeColor="accent2" w:themeShade="BF"/>
        </w:rPr>
        <w:t xml:space="preserve">.  This will be discussed </w:t>
      </w:r>
      <w:proofErr w:type="gramStart"/>
      <w:r>
        <w:rPr>
          <w:rFonts w:ascii="Calibri" w:eastAsia="Times New Roman" w:hAnsi="Calibri" w:cs="Calibri"/>
          <w:color w:val="C45911" w:themeColor="accent2" w:themeShade="BF"/>
        </w:rPr>
        <w:t>at a later date</w:t>
      </w:r>
      <w:proofErr w:type="gramEnd"/>
      <w:r>
        <w:rPr>
          <w:rFonts w:ascii="Calibri" w:eastAsia="Times New Roman" w:hAnsi="Calibri" w:cs="Calibri"/>
          <w:color w:val="C45911" w:themeColor="accent2" w:themeShade="BF"/>
        </w:rPr>
        <w:t>.</w:t>
      </w:r>
    </w:p>
    <w:p>
      <w:pPr>
        <w:shd w:val="clear" w:color="auto" w:fill="FFFFFF"/>
        <w:spacing w:before="100" w:beforeAutospacing="1" w:after="100" w:afterAutospacing="1"/>
        <w:jc w:val="center"/>
        <w:rPr>
          <w:rFonts w:ascii="Arial" w:hAnsi="Arial" w:cs="Arial"/>
          <w:color w:val="000000"/>
        </w:rPr>
      </w:pPr>
      <w:r>
        <w:rPr>
          <w:rFonts w:ascii="Calibri" w:eastAsia="Times New Roman" w:hAnsi="Calibri" w:cs="Calibri"/>
          <w:color w:val="C45911" w:themeColor="accent2" w:themeShade="BF"/>
        </w:rPr>
        <w:t> </w:t>
      </w:r>
      <w:r>
        <w:rPr>
          <w:rFonts w:ascii="Calibri" w:eastAsia="Times New Roman" w:hAnsi="Calibri" w:cs="Calibri"/>
          <w:noProof/>
          <w:color w:val="C45911" w:themeColor="accent2" w:themeShade="BF"/>
        </w:rPr>
        <w:drawing>
          <wp:inline distT="0" distB="0" distL="0" distR="0">
            <wp:extent cx="2799080" cy="3617595"/>
            <wp:effectExtent l="0" t="0" r="1270" b="1905"/>
            <wp:docPr id="1" name="Picture 1" descr="cid:071ce900-d0b7-4119-b3bd-e9d9658ee6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16656" descr="cid:071ce900-d0b7-4119-b3bd-e9d9658ee6ba"/>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99080" cy="3617595"/>
                    </a:xfrm>
                    <a:prstGeom prst="rect">
                      <a:avLst/>
                    </a:prstGeom>
                    <a:noFill/>
                    <a:ln>
                      <a:noFill/>
                    </a:ln>
                  </pic:spPr>
                </pic:pic>
              </a:graphicData>
            </a:graphic>
          </wp:inline>
        </w:drawing>
      </w:r>
    </w:p>
    <w:p>
      <w:pPr>
        <w:pStyle w:val="Heading1"/>
        <w:rPr>
          <w:rFonts w:ascii="Arial" w:eastAsia="Times New Roman" w:hAnsi="Arial" w:cs="Arial"/>
          <w:color w:val="000000"/>
        </w:rPr>
      </w:pPr>
      <w:r>
        <w:rPr>
          <w:rFonts w:ascii="Arial" w:eastAsia="Times New Roman" w:hAnsi="Arial" w:cs="Arial"/>
          <w:bCs w:val="0"/>
          <w:color w:val="7030A0"/>
          <w:sz w:val="24"/>
          <w:szCs w:val="24"/>
          <w:shd w:val="clear" w:color="auto" w:fill="FFFFFF"/>
        </w:rPr>
        <w:t xml:space="preserve">Top Tips in </w:t>
      </w:r>
      <w:proofErr w:type="gramStart"/>
      <w:r>
        <w:rPr>
          <w:rFonts w:ascii="Arial" w:eastAsia="Times New Roman" w:hAnsi="Arial" w:cs="Arial"/>
          <w:bCs w:val="0"/>
          <w:color w:val="7030A0"/>
          <w:sz w:val="24"/>
          <w:szCs w:val="24"/>
          <w:shd w:val="clear" w:color="auto" w:fill="FFFFFF"/>
        </w:rPr>
        <w:t>Two</w:t>
      </w:r>
      <w:proofErr w:type="gramEnd"/>
      <w:r>
        <w:rPr>
          <w:rFonts w:ascii="Arial" w:eastAsia="Times New Roman" w:hAnsi="Arial" w:cs="Arial"/>
          <w:bCs w:val="0"/>
          <w:color w:val="7030A0"/>
          <w:sz w:val="24"/>
          <w:szCs w:val="24"/>
          <w:shd w:val="clear" w:color="auto" w:fill="FFFFFF"/>
        </w:rPr>
        <w:t xml:space="preserve"> this Half-Term     </w:t>
      </w:r>
      <w:r>
        <w:rPr>
          <w:rFonts w:ascii="Arial" w:eastAsia="Times New Roman" w:hAnsi="Arial" w:cs="Arial"/>
          <w:bCs w:val="0"/>
          <w:color w:val="7030A0"/>
          <w:sz w:val="24"/>
          <w:szCs w:val="32"/>
          <w:highlight w:val="yellow"/>
          <w:shd w:val="clear" w:color="auto" w:fill="FFFFFF"/>
        </w:rPr>
        <w:t>changes</w:t>
      </w:r>
    </w:p>
    <w:tbl>
      <w:tblPr>
        <w:tblpPr w:leftFromText="180" w:rightFromText="180" w:vertAnchor="text" w:horzAnchor="margin" w:tblpXSpec="center" w:tblpY="120"/>
        <w:tblW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897"/>
        <w:gridCol w:w="1298"/>
        <w:gridCol w:w="924"/>
        <w:gridCol w:w="2410"/>
      </w:tblGrid>
      <w:tr>
        <w:tc>
          <w:tcPr>
            <w:tcW w:w="897" w:type="dxa"/>
            <w:tcBorders>
              <w:top w:val="nil"/>
              <w:left w:val="nil"/>
              <w:bottom w:val="single" w:sz="12" w:space="0" w:color="8EAADB" w:themeColor="accent5" w:themeTint="99"/>
              <w:right w:val="nil"/>
            </w:tcBorders>
            <w:shd w:val="clear" w:color="auto" w:fill="FFFFFF" w:themeFill="background1"/>
            <w:hideMark/>
          </w:tcPr>
          <w:p>
            <w:pPr>
              <w:spacing w:before="100" w:beforeAutospacing="1"/>
            </w:pPr>
            <w:r>
              <w:rPr>
                <w:rFonts w:cstheme="minorHAnsi"/>
                <w:b/>
                <w:bCs/>
              </w:rPr>
              <w:t>20</w:t>
            </w:r>
          </w:p>
        </w:tc>
        <w:tc>
          <w:tcPr>
            <w:tcW w:w="1298" w:type="dxa"/>
            <w:tcBorders>
              <w:top w:val="nil"/>
              <w:left w:val="nil"/>
              <w:bottom w:val="single" w:sz="12" w:space="0" w:color="8EAADB" w:themeColor="accent5" w:themeTint="99"/>
              <w:right w:val="nil"/>
            </w:tcBorders>
            <w:shd w:val="clear" w:color="auto" w:fill="FFFFFF" w:themeFill="background1"/>
            <w:hideMark/>
          </w:tcPr>
          <w:p>
            <w:pPr>
              <w:spacing w:before="100" w:beforeAutospacing="1"/>
              <w:jc w:val="right"/>
            </w:pPr>
            <w:r>
              <w:rPr>
                <w:rFonts w:cstheme="minorHAnsi"/>
                <w:b/>
                <w:bCs/>
                <w:color w:val="000000"/>
              </w:rPr>
              <w:t>4/02/19</w:t>
            </w:r>
          </w:p>
        </w:tc>
        <w:tc>
          <w:tcPr>
            <w:tcW w:w="924" w:type="dxa"/>
            <w:tcBorders>
              <w:top w:val="nil"/>
              <w:left w:val="nil"/>
              <w:bottom w:val="single" w:sz="12" w:space="0" w:color="8EAADB" w:themeColor="accent5" w:themeTint="99"/>
              <w:right w:val="nil"/>
            </w:tcBorders>
            <w:shd w:val="clear" w:color="auto" w:fill="FFFFFF" w:themeFill="background1"/>
            <w:hideMark/>
          </w:tcPr>
          <w:p>
            <w:pPr>
              <w:spacing w:before="100" w:beforeAutospacing="1"/>
            </w:pPr>
            <w:r>
              <w:rPr>
                <w:rFonts w:cstheme="minorHAnsi"/>
                <w:b/>
                <w:bCs/>
                <w:color w:val="000000"/>
              </w:rPr>
              <w:t>WEDS</w:t>
            </w:r>
          </w:p>
        </w:tc>
        <w:tc>
          <w:tcPr>
            <w:tcW w:w="2410" w:type="dxa"/>
            <w:tcBorders>
              <w:top w:val="nil"/>
              <w:left w:val="nil"/>
              <w:bottom w:val="single" w:sz="12" w:space="0" w:color="8EAADB" w:themeColor="accent5" w:themeTint="99"/>
              <w:right w:val="nil"/>
            </w:tcBorders>
            <w:shd w:val="clear" w:color="auto" w:fill="FFFFFF" w:themeFill="background1"/>
            <w:hideMark/>
          </w:tcPr>
          <w:p>
            <w:pPr>
              <w:spacing w:before="100" w:beforeAutospacing="1"/>
            </w:pPr>
            <w:r>
              <w:rPr>
                <w:rFonts w:cstheme="minorHAnsi"/>
                <w:b/>
                <w:bCs/>
                <w:color w:val="000000"/>
              </w:rPr>
              <w:t>HS and MY</w:t>
            </w:r>
          </w:p>
        </w:tc>
      </w:tr>
      <w:tr>
        <w:tc>
          <w:tcPr>
            <w:tcW w:w="897" w:type="dxa"/>
            <w:tcBorders>
              <w:top w:val="single" w:sz="2" w:space="0" w:color="8EAADB" w:themeColor="accent5" w:themeTint="99"/>
              <w:left w:val="nil"/>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pPr>
            <w:r>
              <w:rPr>
                <w:rFonts w:cstheme="minorHAnsi"/>
                <w:b/>
                <w:bCs/>
                <w:color w:val="FF0000"/>
              </w:rPr>
              <w:t> </w:t>
            </w:r>
          </w:p>
        </w:tc>
        <w:tc>
          <w:tcPr>
            <w:tcW w:w="1298"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jc w:val="right"/>
            </w:pPr>
            <w:r>
              <w:rPr>
                <w:rFonts w:cstheme="minorHAnsi"/>
                <w:b/>
                <w:bCs/>
                <w:color w:val="FF0000"/>
              </w:rPr>
              <w:t> </w:t>
            </w:r>
          </w:p>
        </w:tc>
        <w:tc>
          <w:tcPr>
            <w:tcW w:w="924"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pPr>
            <w:r>
              <w:rPr>
                <w:rFonts w:cstheme="minorHAnsi"/>
                <w:color w:val="000000"/>
              </w:rPr>
              <w:t>FRI</w:t>
            </w:r>
          </w:p>
        </w:tc>
        <w:tc>
          <w:tcPr>
            <w:tcW w:w="2410" w:type="dxa"/>
            <w:tcBorders>
              <w:top w:val="single" w:sz="2" w:space="0" w:color="8EAADB" w:themeColor="accent5" w:themeTint="99"/>
              <w:left w:val="single" w:sz="2" w:space="0" w:color="8EAADB" w:themeColor="accent5" w:themeTint="99"/>
              <w:bottom w:val="single" w:sz="2" w:space="0" w:color="8EAADB" w:themeColor="accent5" w:themeTint="99"/>
              <w:right w:val="nil"/>
            </w:tcBorders>
            <w:shd w:val="clear" w:color="auto" w:fill="D9E2F3" w:themeFill="accent5" w:themeFillTint="33"/>
            <w:hideMark/>
          </w:tcPr>
          <w:p>
            <w:pPr>
              <w:spacing w:before="100" w:beforeAutospacing="1"/>
            </w:pPr>
            <w:r>
              <w:rPr>
                <w:rFonts w:cstheme="minorHAnsi"/>
                <w:b/>
                <w:color w:val="000000"/>
              </w:rPr>
              <w:t>CN and LY</w:t>
            </w:r>
          </w:p>
        </w:tc>
      </w:tr>
      <w:tr>
        <w:tc>
          <w:tcPr>
            <w:tcW w:w="897"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pPr>
              <w:spacing w:before="100" w:beforeAutospacing="1"/>
            </w:pPr>
            <w:r>
              <w:rPr>
                <w:rFonts w:cstheme="minorHAnsi"/>
                <w:b/>
                <w:bCs/>
              </w:rPr>
              <w:t>21</w:t>
            </w:r>
          </w:p>
        </w:tc>
        <w:tc>
          <w:tcPr>
            <w:tcW w:w="1298"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hideMark/>
          </w:tcPr>
          <w:p>
            <w:pPr>
              <w:spacing w:before="100" w:beforeAutospacing="1"/>
              <w:jc w:val="right"/>
            </w:pPr>
            <w:r>
              <w:rPr>
                <w:rFonts w:cstheme="minorHAnsi"/>
                <w:b/>
                <w:bCs/>
                <w:color w:val="000000"/>
              </w:rPr>
              <w:t>11/02/19</w:t>
            </w:r>
          </w:p>
        </w:tc>
        <w:tc>
          <w:tcPr>
            <w:tcW w:w="924"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hideMark/>
          </w:tcPr>
          <w:p>
            <w:pPr>
              <w:spacing w:before="100" w:beforeAutospacing="1"/>
            </w:pPr>
            <w:r>
              <w:rPr>
                <w:rFonts w:cstheme="minorHAnsi"/>
                <w:color w:val="000000" w:themeColor="text1"/>
              </w:rPr>
              <w:t>MON</w:t>
            </w:r>
          </w:p>
        </w:tc>
        <w:tc>
          <w:tcPr>
            <w:tcW w:w="2410" w:type="dxa"/>
            <w:tcBorders>
              <w:top w:val="single" w:sz="2" w:space="0" w:color="8EAADB" w:themeColor="accent5" w:themeTint="99"/>
              <w:left w:val="single" w:sz="2" w:space="0" w:color="8EAADB" w:themeColor="accent5" w:themeTint="99"/>
              <w:bottom w:val="single" w:sz="2" w:space="0" w:color="8EAADB" w:themeColor="accent5" w:themeTint="99"/>
              <w:right w:val="nil"/>
            </w:tcBorders>
            <w:hideMark/>
          </w:tcPr>
          <w:p>
            <w:pPr>
              <w:spacing w:before="100" w:beforeAutospacing="1"/>
            </w:pPr>
            <w:r>
              <w:rPr>
                <w:rFonts w:cstheme="minorHAnsi"/>
                <w:b/>
                <w:color w:val="000000" w:themeColor="text1"/>
                <w:highlight w:val="yellow"/>
              </w:rPr>
              <w:t>CS</w:t>
            </w:r>
          </w:p>
        </w:tc>
      </w:tr>
      <w:tr>
        <w:tc>
          <w:tcPr>
            <w:tcW w:w="897" w:type="dxa"/>
            <w:tcBorders>
              <w:top w:val="single" w:sz="2" w:space="0" w:color="8EAADB" w:themeColor="accent5" w:themeTint="99"/>
              <w:left w:val="nil"/>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pPr>
            <w:r>
              <w:rPr>
                <w:rFonts w:cstheme="minorHAnsi"/>
                <w:b/>
                <w:bCs/>
              </w:rPr>
              <w:t> </w:t>
            </w:r>
          </w:p>
        </w:tc>
        <w:tc>
          <w:tcPr>
            <w:tcW w:w="1298"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jc w:val="right"/>
            </w:pPr>
            <w:r>
              <w:rPr>
                <w:rFonts w:cstheme="minorHAnsi"/>
                <w:b/>
                <w:bCs/>
                <w:color w:val="000000"/>
              </w:rPr>
              <w:t> </w:t>
            </w:r>
          </w:p>
        </w:tc>
        <w:tc>
          <w:tcPr>
            <w:tcW w:w="924"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pPr>
            <w:r>
              <w:rPr>
                <w:rFonts w:cstheme="minorHAnsi"/>
                <w:color w:val="000000"/>
              </w:rPr>
              <w:t>WEDS</w:t>
            </w:r>
          </w:p>
        </w:tc>
        <w:tc>
          <w:tcPr>
            <w:tcW w:w="2410" w:type="dxa"/>
            <w:tcBorders>
              <w:top w:val="single" w:sz="2" w:space="0" w:color="8EAADB" w:themeColor="accent5" w:themeTint="99"/>
              <w:left w:val="single" w:sz="2" w:space="0" w:color="8EAADB" w:themeColor="accent5" w:themeTint="99"/>
              <w:bottom w:val="single" w:sz="2" w:space="0" w:color="8EAADB" w:themeColor="accent5" w:themeTint="99"/>
              <w:right w:val="nil"/>
            </w:tcBorders>
            <w:shd w:val="clear" w:color="auto" w:fill="D9E2F3" w:themeFill="accent5" w:themeFillTint="33"/>
            <w:hideMark/>
          </w:tcPr>
          <w:p>
            <w:pPr>
              <w:spacing w:before="100" w:beforeAutospacing="1"/>
            </w:pPr>
            <w:r>
              <w:rPr>
                <w:rFonts w:cstheme="minorHAnsi"/>
                <w:b/>
                <w:color w:val="000000"/>
              </w:rPr>
              <w:t>HC and MO</w:t>
            </w:r>
          </w:p>
        </w:tc>
      </w:tr>
      <w:tr>
        <w:tc>
          <w:tcPr>
            <w:tcW w:w="897"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pPr>
              <w:spacing w:before="100" w:beforeAutospacing="1"/>
            </w:pPr>
            <w:r>
              <w:rPr>
                <w:rFonts w:cstheme="minorHAnsi"/>
                <w:b/>
                <w:bCs/>
              </w:rPr>
              <w:t> </w:t>
            </w:r>
          </w:p>
        </w:tc>
        <w:tc>
          <w:tcPr>
            <w:tcW w:w="1298"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hideMark/>
          </w:tcPr>
          <w:p>
            <w:pPr>
              <w:spacing w:before="100" w:beforeAutospacing="1"/>
              <w:jc w:val="right"/>
            </w:pPr>
            <w:r>
              <w:rPr>
                <w:rFonts w:cstheme="minorHAnsi"/>
                <w:b/>
                <w:bCs/>
                <w:color w:val="000000"/>
              </w:rPr>
              <w:t> </w:t>
            </w:r>
          </w:p>
        </w:tc>
        <w:tc>
          <w:tcPr>
            <w:tcW w:w="924"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hideMark/>
          </w:tcPr>
          <w:p>
            <w:pPr>
              <w:spacing w:before="100" w:beforeAutospacing="1"/>
            </w:pPr>
            <w:r>
              <w:rPr>
                <w:rFonts w:cstheme="minorHAnsi"/>
                <w:color w:val="000000"/>
              </w:rPr>
              <w:t> </w:t>
            </w:r>
          </w:p>
        </w:tc>
        <w:tc>
          <w:tcPr>
            <w:tcW w:w="2410" w:type="dxa"/>
            <w:tcBorders>
              <w:top w:val="single" w:sz="2" w:space="0" w:color="8EAADB" w:themeColor="accent5" w:themeTint="99"/>
              <w:left w:val="single" w:sz="2" w:space="0" w:color="8EAADB" w:themeColor="accent5" w:themeTint="99"/>
              <w:bottom w:val="single" w:sz="2" w:space="0" w:color="8EAADB" w:themeColor="accent5" w:themeTint="99"/>
              <w:right w:val="nil"/>
            </w:tcBorders>
            <w:hideMark/>
          </w:tcPr>
          <w:p>
            <w:pPr>
              <w:spacing w:before="100" w:beforeAutospacing="1"/>
            </w:pPr>
            <w:r>
              <w:rPr>
                <w:rFonts w:cstheme="minorHAnsi"/>
                <w:b/>
                <w:color w:val="000000"/>
              </w:rPr>
              <w:t> </w:t>
            </w:r>
          </w:p>
        </w:tc>
      </w:tr>
      <w:tr>
        <w:tc>
          <w:tcPr>
            <w:tcW w:w="897" w:type="dxa"/>
            <w:tcBorders>
              <w:top w:val="single" w:sz="2" w:space="0" w:color="8EAADB" w:themeColor="accent5" w:themeTint="99"/>
              <w:left w:val="nil"/>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pPr>
            <w:r>
              <w:rPr>
                <w:rFonts w:cstheme="minorHAnsi"/>
                <w:b/>
                <w:bCs/>
              </w:rPr>
              <w:t> </w:t>
            </w:r>
          </w:p>
        </w:tc>
        <w:tc>
          <w:tcPr>
            <w:tcW w:w="1298"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jc w:val="right"/>
            </w:pPr>
            <w:r>
              <w:rPr>
                <w:rFonts w:cstheme="minorHAnsi"/>
                <w:b/>
                <w:bCs/>
                <w:color w:val="000000"/>
              </w:rPr>
              <w:t> </w:t>
            </w:r>
          </w:p>
        </w:tc>
        <w:tc>
          <w:tcPr>
            <w:tcW w:w="924"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pPr>
            <w:r>
              <w:rPr>
                <w:rFonts w:cstheme="minorHAnsi"/>
                <w:color w:val="000000"/>
              </w:rPr>
              <w:t> </w:t>
            </w:r>
          </w:p>
        </w:tc>
        <w:tc>
          <w:tcPr>
            <w:tcW w:w="2410" w:type="dxa"/>
            <w:tcBorders>
              <w:top w:val="single" w:sz="2" w:space="0" w:color="8EAADB" w:themeColor="accent5" w:themeTint="99"/>
              <w:left w:val="single" w:sz="2" w:space="0" w:color="8EAADB" w:themeColor="accent5" w:themeTint="99"/>
              <w:bottom w:val="single" w:sz="2" w:space="0" w:color="8EAADB" w:themeColor="accent5" w:themeTint="99"/>
              <w:right w:val="nil"/>
            </w:tcBorders>
            <w:shd w:val="clear" w:color="auto" w:fill="D9E2F3" w:themeFill="accent5" w:themeFillTint="33"/>
            <w:hideMark/>
          </w:tcPr>
          <w:p>
            <w:pPr>
              <w:spacing w:before="100" w:beforeAutospacing="1"/>
            </w:pPr>
            <w:r>
              <w:rPr>
                <w:rFonts w:cstheme="minorHAnsi"/>
                <w:b/>
                <w:color w:val="000000"/>
              </w:rPr>
              <w:t> </w:t>
            </w:r>
          </w:p>
        </w:tc>
      </w:tr>
      <w:tr>
        <w:tc>
          <w:tcPr>
            <w:tcW w:w="897"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pPr>
              <w:spacing w:before="100" w:beforeAutospacing="1"/>
            </w:pPr>
            <w:r>
              <w:rPr>
                <w:rFonts w:cstheme="minorHAnsi"/>
                <w:b/>
                <w:bCs/>
              </w:rPr>
              <w:t> </w:t>
            </w:r>
          </w:p>
        </w:tc>
        <w:tc>
          <w:tcPr>
            <w:tcW w:w="1298"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hideMark/>
          </w:tcPr>
          <w:p>
            <w:pPr>
              <w:spacing w:before="100" w:beforeAutospacing="1"/>
              <w:jc w:val="right"/>
            </w:pPr>
            <w:r>
              <w:rPr>
                <w:rFonts w:cstheme="minorHAnsi"/>
                <w:b/>
                <w:bCs/>
                <w:color w:val="000000"/>
              </w:rPr>
              <w:t> </w:t>
            </w:r>
          </w:p>
        </w:tc>
        <w:tc>
          <w:tcPr>
            <w:tcW w:w="924"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hideMark/>
          </w:tcPr>
          <w:p>
            <w:pPr>
              <w:spacing w:before="100" w:beforeAutospacing="1"/>
            </w:pPr>
            <w:r>
              <w:rPr>
                <w:rFonts w:cstheme="minorHAnsi"/>
                <w:color w:val="000000"/>
              </w:rPr>
              <w:t> </w:t>
            </w:r>
          </w:p>
        </w:tc>
        <w:tc>
          <w:tcPr>
            <w:tcW w:w="2410" w:type="dxa"/>
            <w:tcBorders>
              <w:top w:val="single" w:sz="2" w:space="0" w:color="8EAADB" w:themeColor="accent5" w:themeTint="99"/>
              <w:left w:val="single" w:sz="2" w:space="0" w:color="8EAADB" w:themeColor="accent5" w:themeTint="99"/>
              <w:bottom w:val="single" w:sz="2" w:space="0" w:color="8EAADB" w:themeColor="accent5" w:themeTint="99"/>
              <w:right w:val="nil"/>
            </w:tcBorders>
            <w:hideMark/>
          </w:tcPr>
          <w:p>
            <w:pPr>
              <w:spacing w:before="100" w:beforeAutospacing="1"/>
            </w:pPr>
            <w:r>
              <w:rPr>
                <w:rFonts w:cstheme="minorHAnsi"/>
                <w:b/>
                <w:color w:val="000000"/>
              </w:rPr>
              <w:t> </w:t>
            </w:r>
          </w:p>
        </w:tc>
      </w:tr>
    </w:tbl>
    <w:p>
      <w:pPr>
        <w:shd w:val="clear" w:color="auto" w:fill="FFFFFF"/>
        <w:spacing w:before="100" w:beforeAutospacing="1"/>
        <w:rPr>
          <w:rFonts w:ascii="Arial" w:hAnsi="Arial" w:cs="Arial"/>
          <w:color w:val="000000"/>
        </w:rPr>
      </w:pPr>
      <w:r>
        <w:rPr>
          <w:rFonts w:ascii="Arial" w:eastAsia="Times New Roman" w:hAnsi="Arial" w:cstheme="minorHAnsi"/>
          <w:b/>
          <w:bCs/>
          <w:color w:val="7030A0"/>
          <w:shd w:val="clear" w:color="auto" w:fill="FFFFFF"/>
        </w:rPr>
        <w:t> </w:t>
      </w:r>
    </w:p>
    <w:p>
      <w:pPr>
        <w:shd w:val="clear" w:color="auto" w:fill="FFFFFF"/>
        <w:spacing w:before="100" w:beforeAutospacing="1"/>
        <w:rPr>
          <w:rFonts w:ascii="Arial" w:hAnsi="Arial" w:cs="Arial"/>
          <w:color w:val="000000"/>
        </w:rPr>
      </w:pPr>
      <w:r>
        <w:rPr>
          <w:rFonts w:ascii="Arial" w:eastAsia="Times New Roman" w:hAnsi="Arial" w:cstheme="minorHAnsi"/>
          <w:color w:val="000000"/>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color w:val="00B0F0"/>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color w:val="00B0F0"/>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color w:val="00B0F0"/>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color w:val="7030A0"/>
          <w:shd w:val="clear" w:color="auto" w:fill="FFFFFF"/>
        </w:rPr>
        <w:lastRenderedPageBreak/>
        <w:t xml:space="preserve">I am currently creating our Top Tip schedule for the next half term.  Please let me know if there is any particular </w:t>
      </w:r>
      <w:proofErr w:type="gramStart"/>
      <w:r>
        <w:rPr>
          <w:rFonts w:ascii="Arial" w:eastAsia="Times New Roman" w:hAnsi="Arial" w:cstheme="minorHAnsi"/>
          <w:color w:val="7030A0"/>
          <w:shd w:val="clear" w:color="auto" w:fill="FFFFFF"/>
        </w:rPr>
        <w:t>area</w:t>
      </w:r>
      <w:proofErr w:type="gramEnd"/>
      <w:r>
        <w:rPr>
          <w:rFonts w:ascii="Arial" w:eastAsia="Times New Roman" w:hAnsi="Arial" w:cstheme="minorHAnsi"/>
          <w:color w:val="7030A0"/>
          <w:shd w:val="clear" w:color="auto" w:fill="FFFFFF"/>
        </w:rPr>
        <w:t xml:space="preserve"> you would like tips on and I will try to accommodate.  Alternatively, if you have anything that you would like to share, please let me know.</w:t>
      </w:r>
    </w:p>
    <w:p>
      <w:pPr>
        <w:shd w:val="clear" w:color="auto" w:fill="FFFFFF"/>
        <w:spacing w:before="100" w:beforeAutospacing="1"/>
        <w:rPr>
          <w:rFonts w:ascii="Arial" w:hAnsi="Arial" w:cs="Arial"/>
          <w:color w:val="000000"/>
        </w:rPr>
      </w:pPr>
      <w:r>
        <w:rPr>
          <w:rFonts w:ascii="Arial" w:eastAsia="Times New Roman" w:hAnsi="Arial" w:cstheme="minorHAnsi"/>
          <w:b/>
          <w:color w:val="808080" w:themeColor="background1" w:themeShade="80"/>
          <w:u w:val="single"/>
          <w:shd w:val="clear" w:color="auto" w:fill="FFFFFF"/>
        </w:rPr>
        <w:t>CPD Cascade</w:t>
      </w:r>
    </w:p>
    <w:p>
      <w:pPr>
        <w:shd w:val="clear" w:color="auto" w:fill="FFFFFF"/>
        <w:spacing w:before="100" w:beforeAutospacing="1"/>
        <w:jc w:val="both"/>
        <w:rPr>
          <w:rFonts w:ascii="Arial" w:hAnsi="Arial" w:cs="Arial"/>
          <w:color w:val="000000"/>
        </w:rPr>
      </w:pPr>
      <w:r>
        <w:rPr>
          <w:rFonts w:ascii="Arial" w:eastAsia="Times New Roman" w:hAnsi="Arial" w:cstheme="minorHAnsi"/>
          <w:color w:val="808080" w:themeColor="background1" w:themeShade="80"/>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b/>
          <w:color w:val="808080" w:themeColor="background1" w:themeShade="80"/>
          <w:highlight w:val="yellow"/>
          <w:shd w:val="clear" w:color="auto" w:fill="FFFFFF"/>
        </w:rPr>
        <w:t>Date for next ODW: 11</w:t>
      </w:r>
      <w:r>
        <w:rPr>
          <w:rFonts w:ascii="Arial" w:eastAsia="Times New Roman" w:hAnsi="Arial" w:cstheme="minorHAnsi"/>
          <w:b/>
          <w:color w:val="808080" w:themeColor="background1" w:themeShade="80"/>
          <w:highlight w:val="yellow"/>
          <w:shd w:val="clear" w:color="auto" w:fill="FFFFFF"/>
          <w:vertAlign w:val="superscript"/>
        </w:rPr>
        <w:t>th</w:t>
      </w:r>
      <w:r>
        <w:rPr>
          <w:rFonts w:ascii="Arial" w:eastAsia="Times New Roman" w:hAnsi="Arial" w:cstheme="minorHAnsi"/>
          <w:b/>
          <w:color w:val="808080" w:themeColor="background1" w:themeShade="80"/>
          <w:highlight w:val="yellow"/>
          <w:shd w:val="clear" w:color="auto" w:fill="FFFFFF"/>
        </w:rPr>
        <w:t xml:space="preserve"> March 2019</w:t>
      </w:r>
    </w:p>
    <w:p>
      <w:pPr>
        <w:shd w:val="clear" w:color="auto" w:fill="FFFFFF"/>
        <w:spacing w:before="100" w:beforeAutospacing="1"/>
        <w:rPr>
          <w:rFonts w:ascii="Arial" w:hAnsi="Arial" w:cs="Arial"/>
          <w:color w:val="000000"/>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6BB"/>
    <w:multiLevelType w:val="multilevel"/>
    <w:tmpl w:val="C456B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03BB6"/>
    <w:multiLevelType w:val="multilevel"/>
    <w:tmpl w:val="EE1A1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14A6F"/>
    <w:multiLevelType w:val="multilevel"/>
    <w:tmpl w:val="98D48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7CCB9-2757-4E48-A614-337E5435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be4a9d0-250f-4554-9ad6-1fd9546c1d03"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ndhsblogspot.wordpress.com/2017/05/05/how-i-use-mwb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8be85fc6-10b5-4948-8cae-44bc5dc57707" TargetMode="External"/><Relationship Id="rId11" Type="http://schemas.openxmlformats.org/officeDocument/2006/relationships/hyperlink" Target="https://joeybagstock.wordpress.com/2017/10/21/show-me-maximising-the-use-of-mini-whiteboards-in-lesson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joeybagstock.wordpress.com/2017/10/21/show-me-maximising-the-use-of-mini-whiteboards-in-lessons/" TargetMode="External"/><Relationship Id="rId14" Type="http://schemas.openxmlformats.org/officeDocument/2006/relationships/image" Target="cid:071ce900-d0b7-4119-b3bd-e9d9658ee6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2019-02-04T09:21:00Z</dcterms:created>
  <dcterms:modified xsi:type="dcterms:W3CDTF">2019-02-04T09:23:00Z</dcterms:modified>
</cp:coreProperties>
</file>