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color w:val="00B0F0"/>
          <w:sz w:val="32"/>
          <w:szCs w:val="22"/>
        </w:rPr>
        <w:t>WLD Teaching and Learning Digest – w/c 5</w:t>
      </w:r>
      <w:r>
        <w:rPr>
          <w:rFonts w:ascii="Arial" w:hAnsi="Arial" w:cstheme="minorHAnsi"/>
          <w:b/>
          <w:color w:val="00B0F0"/>
          <w:sz w:val="32"/>
          <w:szCs w:val="22"/>
          <w:vertAlign w:val="superscript"/>
        </w:rPr>
        <w:t>th</w:t>
      </w:r>
      <w:r>
        <w:rPr>
          <w:rFonts w:ascii="Arial" w:hAnsi="Arial" w:cstheme="minorHAnsi"/>
          <w:b/>
          <w:color w:val="00B0F0"/>
          <w:sz w:val="32"/>
          <w:szCs w:val="22"/>
        </w:rPr>
        <w:t xml:space="preserve"> March 2018</w:t>
      </w: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240"/>
        <w:gridCol w:w="3402"/>
      </w:tblGrid>
      <w:tr>
        <w:trPr>
          <w:jc w:val="center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>
            <w:pPr>
              <w:spacing w:before="100" w:beforeAutospacing="1"/>
              <w:jc w:val="center"/>
            </w:pPr>
            <w:r>
              <w:rPr>
                <w:rFonts w:ascii="OpenDyslexicAlta" w:hAnsi="OpenDyslexicAlta" w:cstheme="minorHAnsi"/>
                <w:b/>
                <w:bCs/>
                <w:color w:val="0070C0"/>
                <w:sz w:val="20"/>
                <w:szCs w:val="22"/>
                <w:u w:val="single"/>
              </w:rPr>
              <w:t>COMMUNICATION FOCUSES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OpenDyslexicAlta" w:eastAsia="Times New Roman" w:hAnsi="OpenDyslexicAlta" w:cstheme="minorHAnsi"/>
                <w:bCs/>
                <w:color w:val="0070C0"/>
                <w:sz w:val="20"/>
                <w:szCs w:val="22"/>
              </w:rPr>
              <w:t>Make sure your word wall is up to date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OpenDyslexicAlta" w:eastAsia="Times New Roman" w:hAnsi="OpenDyslexicAlta" w:cstheme="minorHAnsi"/>
                <w:bCs/>
                <w:color w:val="0070C0"/>
                <w:sz w:val="20"/>
                <w:szCs w:val="22"/>
              </w:rPr>
              <w:t>Promote wider reading: could you advise students of what to read to further their enjoyment and understanding of a topic?</w:t>
            </w:r>
          </w:p>
          <w:p>
            <w:pPr>
              <w:spacing w:before="100" w:beforeAutospacing="1"/>
            </w:pPr>
            <w:r>
              <w:rPr>
                <w:rFonts w:ascii="OpenDyslexicAlta" w:hAnsi="OpenDyslexicAlta" w:cstheme="minorHAnsi"/>
                <w:b/>
                <w:bCs/>
                <w:color w:val="0070C0"/>
                <w:sz w:val="20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>
            <w:pPr>
              <w:spacing w:before="100" w:beforeAutospacing="1"/>
              <w:jc w:val="center"/>
            </w:pPr>
            <w:r>
              <w:rPr>
                <w:rFonts w:ascii="OpenDyslexicAlta" w:hAnsi="OpenDyslexicAlta" w:cstheme="minorHAnsi"/>
                <w:b/>
                <w:bCs/>
                <w:color w:val="0070C0"/>
                <w:sz w:val="20"/>
                <w:szCs w:val="22"/>
                <w:u w:val="single"/>
              </w:rPr>
              <w:t>DYSLEXIA-FRIENDLY STRATEGY</w:t>
            </w:r>
          </w:p>
          <w:p>
            <w:pPr>
              <w:spacing w:before="100" w:beforeAutospacing="1"/>
              <w:jc w:val="center"/>
            </w:pPr>
            <w:r>
              <w:rPr>
                <w:rFonts w:ascii="OpenDyslexicAlta" w:hAnsi="OpenDyslexicAlta" w:cstheme="minorHAnsi"/>
                <w:b/>
                <w:bCs/>
                <w:color w:val="0070C0"/>
                <w:sz w:val="20"/>
                <w:szCs w:val="22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ascii="OpenDyslexicAlta" w:eastAsia="Times New Roman" w:hAnsi="OpenDyslexicAlta" w:cs="Calibri"/>
                <w:bCs/>
                <w:color w:val="0070C0"/>
                <w:sz w:val="20"/>
                <w:szCs w:val="26"/>
              </w:rPr>
              <w:t>Avoid long lists of instructions, given orally. Short, sharp and snappy</w:t>
            </w:r>
          </w:p>
        </w:tc>
      </w:tr>
    </w:tbl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C45911" w:themeColor="accent2" w:themeShade="BF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C45911" w:themeColor="accent2" w:themeShade="BF"/>
          <w:u w:val="single"/>
        </w:rPr>
        <w:t>This week: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The </w:t>
      </w:r>
      <w:r>
        <w:rPr>
          <w:rFonts w:ascii="OpenDyslexicAlta" w:eastAsia="Times New Roman" w:hAnsi="OpenDyslexicAlta" w:cstheme="minorHAnsi"/>
          <w:b/>
          <w:color w:val="FF0000"/>
        </w:rPr>
        <w:t>thought for the week</w:t>
      </w:r>
      <w:r>
        <w:rPr>
          <w:rFonts w:ascii="OpenDyslexicAlta" w:eastAsia="Times New Roman" w:hAnsi="OpenDyslexicAlta" w:cstheme="minorHAnsi"/>
          <w:color w:val="FF0000"/>
        </w:rPr>
        <w:t xml:space="preserve"> 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this week is </w:t>
      </w:r>
      <w:r>
        <w:rPr>
          <w:rFonts w:ascii="OpenDyslexicAlta" w:eastAsia="Times New Roman" w:hAnsi="OpenDyslexicAlta" w:cstheme="minorHAnsi"/>
          <w:b/>
          <w:color w:val="C45911" w:themeColor="accent2" w:themeShade="BF"/>
        </w:rPr>
        <w:t>‘A Good Read’ –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 Please use the PPT and article emailed. There is also a nice article in registers to read which explores how reading can help you to become a footballer…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FF0000"/>
        </w:rPr>
        <w:t>Preston TSA</w:t>
      </w:r>
      <w:r>
        <w:rPr>
          <w:rFonts w:ascii="OpenDyslexicAlta" w:eastAsia="Times New Roman" w:hAnsi="OpenDyslexicAlta" w:cstheme="minorHAnsi"/>
          <w:color w:val="FF0000"/>
        </w:rPr>
        <w:t xml:space="preserve"> 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>– On Monday and Tuesday this week, Jeff and Esme will be in and observed by their mentor from University of Cumbria.  Lewis will be observed, on 14</w:t>
      </w:r>
      <w:r>
        <w:rPr>
          <w:rFonts w:ascii="OpenDyslexicAlta" w:eastAsia="Times New Roman" w:hAnsi="OpenDyslexicAlta" w:cstheme="minorHAnsi"/>
          <w:color w:val="C45911" w:themeColor="accent2" w:themeShade="BF"/>
          <w:vertAlign w:val="superscript"/>
        </w:rPr>
        <w:t>th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 March, by J. Williams from Broughton High School.  Good luck!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FF0000"/>
        </w:rPr>
        <w:t xml:space="preserve">Communication 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– as I wander, if you see me flicking through books, I am looking at literacy, not marking.    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FF0000"/>
        </w:rPr>
        <w:t xml:space="preserve">Year 9 WOW work </w:t>
      </w:r>
      <w:r>
        <w:rPr>
          <w:rFonts w:ascii="OpenDyslexicAlta" w:eastAsia="Times New Roman" w:hAnsi="OpenDyslexicAlta" w:cstheme="minorHAnsi"/>
          <w:color w:val="C45911" w:themeColor="accent2" w:themeShade="BF"/>
        </w:rPr>
        <w:t xml:space="preserve">– to LG by end of Wednesday in time for parents’ evening please. 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00B050"/>
          <w:u w:val="single"/>
        </w:rPr>
        <w:t>Teaching Approach of the Week – Try It!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00B050"/>
        </w:rPr>
        <w:t>Educators are currently interested in the principles of ‘direct instruction’.  You can read more here: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hyperlink r:id="rId5" w:history="1">
        <w:r>
          <w:rPr>
            <w:rStyle w:val="Hyperlink"/>
            <w:rFonts w:ascii="OpenDyslexicAlta" w:hAnsi="OpenDyslexicAlta" w:cstheme="minorHAnsi"/>
            <w:b/>
          </w:rPr>
          <w:t>https://www.aft.org/sites/default/files/periodicals/Rosenshine.pdf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8123"/>
      </w:tblGrid>
      <w:tr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Principles of Instruction - aft.org</w:t>
              </w:r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www.aft.org</w:t>
              </w:r>
            </w:hyperlink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AmERIcAN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EdUcATOR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| SPRING 2012 13 1. Begin a lesson with a short review of previous learning: Daily review can strengthen previous learning and can lead to fluent ...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00B050"/>
        </w:rPr>
        <w:t>Here are some of the basic principles for you to consider in your lessons this week (some, we will do without thinking about them):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bCs/>
          <w:noProof/>
          <w:color w:val="C00000"/>
        </w:rPr>
        <w:drawing>
          <wp:inline distT="0" distB="0" distL="0" distR="0">
            <wp:extent cx="4020185" cy="2286000"/>
            <wp:effectExtent l="0" t="0" r="0" b="0"/>
            <wp:docPr id="1" name="Picture 1" descr="cid:badfaf89-0dd4-4f05-94f3-1aafbc7e6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4198" descr="cid:badfaf89-0dd4-4f05-94f3-1aafbc7e6fa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bCs/>
          <w:color w:val="C00000"/>
          <w:u w:val="single"/>
        </w:rPr>
        <w:t>Recent Top Tips (abridged)… Keep using them if they worked!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Because, but, so – extend sentences and thinking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 xml:space="preserve">PIE FACES – Features of good writing 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‘Prepare to Teach’ and ‘Topic Ranking’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‘Just a Minute’ and ‘Exam Wrappers’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Retrieval Practice – questions from last lesson, last week and last term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Presentation as an indirect way of enhancing progress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Unlocking key words – discussing possible meanings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 xml:space="preserve">The ‘BIG Question’ 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3B4ME – promoting independence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>WAGOLLs (what a good one looks like – use of model work)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lastRenderedPageBreak/>
        <w:t>Pose, Pause, Pounce and Bounce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C00000"/>
        </w:rPr>
        <w:t xml:space="preserve">Reading for understanding – mini-whiteboards, quick quizzes, verbal questioning, think-pair-share etc.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7030A0"/>
          <w:u w:val="single"/>
        </w:rPr>
        <w:t>Top Tips in Two this Half-Term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color w:val="7030A0"/>
        </w:rPr>
        <w:t>Scheduled in this half-term, we have: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strike/>
          <w:color w:val="7030A0"/>
        </w:rPr>
        <w:t>Weds 21</w:t>
      </w:r>
      <w:r>
        <w:rPr>
          <w:rFonts w:ascii="OpenDyslexicAlta" w:eastAsia="Times New Roman" w:hAnsi="OpenDyslexicAlta" w:cstheme="minorHAnsi"/>
          <w:strike/>
          <w:color w:val="7030A0"/>
          <w:vertAlign w:val="superscript"/>
        </w:rPr>
        <w:t>st</w:t>
      </w:r>
      <w:r>
        <w:rPr>
          <w:rFonts w:ascii="OpenDyslexicAlta" w:eastAsia="Times New Roman" w:hAnsi="OpenDyslexicAlta" w:cstheme="minorHAnsi"/>
          <w:strike/>
          <w:color w:val="7030A0"/>
        </w:rPr>
        <w:t xml:space="preserve"> Feb – C. Rowson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strike/>
          <w:color w:val="7030A0"/>
        </w:rPr>
        <w:t>Thursday 1</w:t>
      </w:r>
      <w:r>
        <w:rPr>
          <w:rFonts w:ascii="OpenDyslexicAlta" w:eastAsia="Times New Roman" w:hAnsi="OpenDyslexicAlta" w:cstheme="minorHAnsi"/>
          <w:strike/>
          <w:color w:val="7030A0"/>
          <w:vertAlign w:val="superscript"/>
        </w:rPr>
        <w:t>st</w:t>
      </w:r>
      <w:r>
        <w:rPr>
          <w:rFonts w:ascii="OpenDyslexicAlta" w:eastAsia="Times New Roman" w:hAnsi="OpenDyslexicAlta" w:cstheme="minorHAnsi"/>
          <w:strike/>
          <w:color w:val="7030A0"/>
        </w:rPr>
        <w:t xml:space="preserve"> Mar – All staff – Year 11 revision strategies swap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FF0000"/>
        </w:rPr>
        <w:t>This Week:</w:t>
      </w:r>
      <w:r>
        <w:rPr>
          <w:rFonts w:ascii="OpenDyslexicAlta" w:eastAsia="Times New Roman" w:hAnsi="OpenDyslexicAlta" w:cstheme="minorHAnsi"/>
          <w:color w:val="FF0000"/>
        </w:rPr>
        <w:t xml:space="preserve"> </w:t>
      </w:r>
      <w:r>
        <w:rPr>
          <w:rFonts w:ascii="OpenDyslexicAlta" w:eastAsia="Times New Roman" w:hAnsi="OpenDyslexicAlta" w:cstheme="minorHAnsi"/>
          <w:color w:val="7030A0"/>
        </w:rPr>
        <w:t>Friday 9</w:t>
      </w:r>
      <w:r>
        <w:rPr>
          <w:rFonts w:ascii="OpenDyslexicAlta" w:eastAsia="Times New Roman" w:hAnsi="OpenDyslexicAlta" w:cstheme="minorHAnsi"/>
          <w:color w:val="7030A0"/>
          <w:vertAlign w:val="superscript"/>
        </w:rPr>
        <w:t>th</w:t>
      </w:r>
      <w:r>
        <w:rPr>
          <w:rFonts w:ascii="OpenDyslexicAlta" w:eastAsia="Times New Roman" w:hAnsi="OpenDyslexicAlta" w:cstheme="minorHAnsi"/>
          <w:color w:val="7030A0"/>
        </w:rPr>
        <w:t xml:space="preserve"> March – D. Turner (Teams and 365)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b/>
          <w:color w:val="FF0000"/>
        </w:rPr>
        <w:t>Next Week:</w:t>
      </w:r>
      <w:r>
        <w:rPr>
          <w:rFonts w:ascii="OpenDyslexicAlta" w:eastAsia="Times New Roman" w:hAnsi="OpenDyslexicAlta" w:cstheme="minorHAnsi"/>
          <w:color w:val="FF0000"/>
        </w:rPr>
        <w:t xml:space="preserve"> </w:t>
      </w:r>
      <w:r>
        <w:rPr>
          <w:rFonts w:ascii="OpenDyslexicAlta" w:eastAsia="Times New Roman" w:hAnsi="OpenDyslexicAlta" w:cstheme="minorHAnsi"/>
          <w:color w:val="7030A0"/>
        </w:rPr>
        <w:t>Friday 16</w:t>
      </w:r>
      <w:r>
        <w:rPr>
          <w:rFonts w:ascii="OpenDyslexicAlta" w:eastAsia="Times New Roman" w:hAnsi="OpenDyslexicAlta" w:cstheme="minorHAnsi"/>
          <w:color w:val="7030A0"/>
          <w:vertAlign w:val="superscript"/>
        </w:rPr>
        <w:t>th</w:t>
      </w:r>
      <w:r>
        <w:rPr>
          <w:rFonts w:ascii="OpenDyslexicAlta" w:eastAsia="Times New Roman" w:hAnsi="OpenDyslexicAlta" w:cstheme="minorHAnsi"/>
          <w:color w:val="7030A0"/>
        </w:rPr>
        <w:t xml:space="preserve"> March – S. Smith-Sergeant (mindfulness) 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color w:val="7030A0"/>
        </w:rPr>
        <w:t>Wednesday 21</w:t>
      </w:r>
      <w:r>
        <w:rPr>
          <w:rFonts w:ascii="OpenDyslexicAlta" w:eastAsia="Times New Roman" w:hAnsi="OpenDyslexicAlta" w:cstheme="minorHAnsi"/>
          <w:color w:val="7030A0"/>
          <w:vertAlign w:val="superscript"/>
        </w:rPr>
        <w:t>st</w:t>
      </w:r>
      <w:r>
        <w:rPr>
          <w:rFonts w:ascii="OpenDyslexicAlta" w:eastAsia="Times New Roman" w:hAnsi="OpenDyslexicAlta" w:cstheme="minorHAnsi"/>
          <w:color w:val="7030A0"/>
        </w:rPr>
        <w:t xml:space="preserve"> March – R. Long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OpenDyslexicAlta" w:hAnsi="OpenDyslexicAlta" w:cstheme="minorHAnsi"/>
          <w:b/>
          <w:color w:val="0070C0"/>
          <w:u w:val="single"/>
        </w:rPr>
        <w:t xml:space="preserve">CPD 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color w:val="FF0000"/>
        </w:rPr>
        <w:t xml:space="preserve">Reminder </w:t>
      </w:r>
      <w:r>
        <w:rPr>
          <w:rFonts w:ascii="OpenDyslexicAlta" w:eastAsia="Times New Roman" w:hAnsi="OpenDyslexicAlta" w:cstheme="minorHAnsi"/>
          <w:color w:val="0070C0"/>
        </w:rPr>
        <w:t xml:space="preserve">- The Preston Schools Teaching Alliance is holding its annual Teaching and Learning Conference in April.  Please submit your interest to me by the end of the week. 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OpenDyslexicAlta" w:eastAsia="Times New Roman" w:hAnsi="OpenDyslexicAlta" w:cstheme="minorHAnsi"/>
          <w:color w:val="0070C0"/>
        </w:rPr>
        <w:t xml:space="preserve">The </w:t>
      </w:r>
      <w:r>
        <w:rPr>
          <w:rFonts w:ascii="OpenDyslexicAlta" w:eastAsia="Times New Roman" w:hAnsi="OpenDyslexicAlta" w:cstheme="minorHAnsi"/>
          <w:color w:val="FF0000"/>
        </w:rPr>
        <w:t>T&amp;L Think Tank</w:t>
      </w:r>
      <w:r>
        <w:rPr>
          <w:rFonts w:ascii="OpenDyslexicAlta" w:eastAsia="Times New Roman" w:hAnsi="OpenDyslexicAlta" w:cstheme="minorHAnsi"/>
          <w:color w:val="0070C0"/>
        </w:rPr>
        <w:t xml:space="preserve"> has been rearranged from last week, due to the inclement weather.  It will now meet at 4pm on March 13</w:t>
      </w:r>
      <w:r>
        <w:rPr>
          <w:rFonts w:ascii="OpenDyslexicAlta" w:eastAsia="Times New Roman" w:hAnsi="OpenDyslexicAlta" w:cstheme="minorHAnsi"/>
          <w:color w:val="0070C0"/>
          <w:vertAlign w:val="superscript"/>
        </w:rPr>
        <w:t>th</w:t>
      </w:r>
      <w:r>
        <w:rPr>
          <w:rFonts w:ascii="OpenDyslexicAlta" w:eastAsia="Times New Roman" w:hAnsi="OpenDyslexicAlta" w:cstheme="minorHAnsi"/>
          <w:color w:val="0070C0"/>
        </w:rPr>
        <w:t xml:space="preserve"> at </w:t>
      </w:r>
      <w:proofErr w:type="spellStart"/>
      <w:r>
        <w:rPr>
          <w:rFonts w:ascii="OpenDyslexicAlta" w:eastAsia="Times New Roman" w:hAnsi="OpenDyslexicAlta" w:cstheme="minorHAnsi"/>
          <w:color w:val="0070C0"/>
        </w:rPr>
        <w:t>Balshaws</w:t>
      </w:r>
      <w:proofErr w:type="spellEnd"/>
      <w:r>
        <w:rPr>
          <w:rFonts w:ascii="OpenDyslexicAlta" w:eastAsia="Times New Roman" w:hAnsi="OpenDyslexicAlta" w:cstheme="minorHAnsi"/>
          <w:color w:val="0070C0"/>
        </w:rPr>
        <w:t>.  Please let me know if you plan on attending.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51"/>
    <w:multiLevelType w:val="multilevel"/>
    <w:tmpl w:val="114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46075"/>
    <w:multiLevelType w:val="multilevel"/>
    <w:tmpl w:val="774A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952A7"/>
    <w:multiLevelType w:val="multilevel"/>
    <w:tmpl w:val="4048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E33BF"/>
    <w:multiLevelType w:val="multilevel"/>
    <w:tmpl w:val="D14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C4050"/>
    <w:multiLevelType w:val="multilevel"/>
    <w:tmpl w:val="FC6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281E-2BE2-4D50-B74D-32D726A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f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t.org/sites/default/files/periodicals/Rosenshin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ft.org/sites/default/files/periodicals/Rosenshin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badfaf89-0dd4-4f05-94f3-1aafbc7e6f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2018-03-05T07:24:00Z</dcterms:created>
  <dcterms:modified xsi:type="dcterms:W3CDTF">2018-03-05T07:25:00Z</dcterms:modified>
</cp:coreProperties>
</file>