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6" w:rsidRDefault="006E7636" w:rsidP="006E7636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B0F0"/>
          <w:sz w:val="28"/>
          <w:szCs w:val="32"/>
          <w:shd w:val="clear" w:color="auto" w:fill="FFFFFF"/>
        </w:rPr>
        <w:t>WLD Teaching and Learning Digest – w/c 5</w:t>
      </w:r>
      <w:r>
        <w:rPr>
          <w:rFonts w:ascii="Arial" w:eastAsia="Times New Roman" w:hAnsi="Arial" w:cs="Arial"/>
          <w:b/>
          <w:bCs/>
          <w:color w:val="00B0F0"/>
          <w:sz w:val="28"/>
          <w:szCs w:val="32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B0F0"/>
          <w:sz w:val="28"/>
          <w:szCs w:val="32"/>
          <w:shd w:val="clear" w:color="auto" w:fill="FFFFFF"/>
        </w:rPr>
        <w:t xml:space="preserve"> November 2018</w:t>
      </w:r>
    </w:p>
    <w:p w:rsidR="006E7636" w:rsidRDefault="006E7636" w:rsidP="006E7636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90825" cy="807720"/>
            <wp:effectExtent l="0" t="0" r="9525" b="0"/>
            <wp:docPr id="5" name="Picture 5" descr="Image result for fire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421732" descr="Image result for firework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tbl>
      <w:tblPr>
        <w:tblW w:w="0" w:type="auto"/>
        <w:jc w:val="center"/>
        <w:shd w:val="clear" w:color="auto" w:fill="F7CAA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3846"/>
      </w:tblGrid>
      <w:tr w:rsidR="006E7636" w:rsidTr="006E7636">
        <w:trPr>
          <w:jc w:val="center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36" w:rsidRDefault="006E7636">
            <w:pPr>
              <w:pStyle w:val="NormalWeb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Cs w:val="20"/>
                <w:u w:val="single"/>
              </w:rPr>
              <w:t>COMMUNICATION FOCUSES</w:t>
            </w:r>
          </w:p>
          <w:p w:rsidR="006E7636" w:rsidRDefault="006E7636">
            <w:pPr>
              <w:pStyle w:val="NormalWeb"/>
              <w:jc w:val="center"/>
            </w:pPr>
            <w:r>
              <w:rPr>
                <w:rFonts w:ascii="Calibri" w:eastAsia="Times New Roman" w:hAnsi="Calibri" w:cs="Calibri"/>
              </w:rPr>
              <w:t> </w:t>
            </w:r>
          </w:p>
          <w:p w:rsidR="006E7636" w:rsidRDefault="006E7636">
            <w:pPr>
              <w:pStyle w:val="NormalWeb"/>
              <w:jc w:val="center"/>
            </w:pPr>
            <w:r>
              <w:rPr>
                <w:rFonts w:ascii="Calibri" w:eastAsia="Times New Roman" w:hAnsi="Calibri" w:cs="Calibri"/>
                <w:color w:val="0070C0"/>
                <w:szCs w:val="20"/>
              </w:rPr>
              <w:t>How do you teach new, complex vocabulary?  Do you ask students to write in vocab page in planners? (</w:t>
            </w:r>
            <w:proofErr w:type="gramStart"/>
            <w:r>
              <w:rPr>
                <w:rFonts w:ascii="Calibri" w:eastAsia="Times New Roman" w:hAnsi="Calibri" w:cs="Calibri"/>
                <w:color w:val="0070C0"/>
                <w:szCs w:val="20"/>
              </w:rPr>
              <w:t>could</w:t>
            </w:r>
            <w:proofErr w:type="gramEnd"/>
            <w:r>
              <w:rPr>
                <w:rFonts w:ascii="Calibri" w:eastAsia="Times New Roman" w:hAnsi="Calibri" w:cs="Calibri"/>
                <w:color w:val="0070C0"/>
                <w:szCs w:val="20"/>
              </w:rPr>
              <w:t xml:space="preserve"> you do this?)</w:t>
            </w:r>
          </w:p>
        </w:tc>
        <w:tc>
          <w:tcPr>
            <w:tcW w:w="384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36" w:rsidRDefault="006E7636">
            <w:pPr>
              <w:pStyle w:val="NormalWeb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Cs w:val="20"/>
                <w:u w:val="single"/>
              </w:rPr>
              <w:t>INCLUSION FOR ALL</w:t>
            </w:r>
          </w:p>
          <w:p w:rsidR="006E7636" w:rsidRDefault="006E7636">
            <w:pPr>
              <w:pStyle w:val="NormalWeb"/>
            </w:pPr>
            <w:r>
              <w:rPr>
                <w:rFonts w:ascii="Calibri" w:eastAsia="Times New Roman" w:hAnsi="Calibri" w:cs="Calibri"/>
                <w:color w:val="0070C0"/>
                <w:szCs w:val="20"/>
              </w:rPr>
              <w:t> </w:t>
            </w:r>
          </w:p>
          <w:p w:rsidR="006E7636" w:rsidRDefault="006E7636">
            <w:pPr>
              <w:pStyle w:val="NormalWeb"/>
              <w:jc w:val="center"/>
            </w:pPr>
            <w:r>
              <w:rPr>
                <w:rFonts w:ascii="Calibri" w:eastAsia="Times New Roman" w:hAnsi="Calibri" w:cs="Calibri"/>
                <w:color w:val="0070C0"/>
              </w:rPr>
              <w:t xml:space="preserve">Provide MAD/DIRT time so that students have chance to work on their weaknesses.   </w:t>
            </w:r>
          </w:p>
        </w:tc>
      </w:tr>
    </w:tbl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C45911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C45911"/>
          <w:u w:val="single"/>
          <w:shd w:val="clear" w:color="auto" w:fill="FFFFFF"/>
        </w:rPr>
        <w:t>This week:</w:t>
      </w:r>
    </w:p>
    <w:p w:rsidR="006E7636" w:rsidRDefault="006E7636" w:rsidP="006E76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D05C12"/>
          <w:shd w:val="clear" w:color="auto" w:fill="FFFFFF"/>
        </w:rPr>
        <w:t>The </w:t>
      </w:r>
      <w:r>
        <w:rPr>
          <w:rFonts w:ascii="Calibri" w:eastAsia="Times New Roman" w:hAnsi="Calibri" w:cs="Calibri"/>
          <w:b/>
          <w:bCs/>
          <w:color w:val="FF0000"/>
          <w:shd w:val="clear" w:color="auto" w:fill="FFFFFF"/>
        </w:rPr>
        <w:t>thought for the week</w:t>
      </w:r>
      <w:r>
        <w:rPr>
          <w:rFonts w:ascii="Calibri" w:eastAsia="Times New Roman" w:hAnsi="Calibri" w:cs="Calibri"/>
          <w:color w:val="D05C12"/>
          <w:shd w:val="clear" w:color="auto" w:fill="FFFFFF"/>
        </w:rPr>
        <w:t> this week is </w:t>
      </w:r>
      <w:r>
        <w:rPr>
          <w:rFonts w:ascii="Calibri" w:eastAsia="Times New Roman" w:hAnsi="Calibri" w:cs="Calibri"/>
          <w:b/>
          <w:bCs/>
          <w:color w:val="D05C12"/>
          <w:shd w:val="clear" w:color="auto" w:fill="FFFFFF"/>
        </w:rPr>
        <w:t xml:space="preserve">‘Remembrance’.  </w:t>
      </w:r>
      <w:r>
        <w:rPr>
          <w:rFonts w:ascii="Calibri" w:eastAsia="Times New Roman" w:hAnsi="Calibri" w:cs="Calibri"/>
          <w:bCs/>
          <w:color w:val="D05C12"/>
          <w:shd w:val="clear" w:color="auto" w:fill="FFFFFF"/>
        </w:rPr>
        <w:t xml:space="preserve">Materials circulated as usual.  Feel free to use your own as this is a </w:t>
      </w:r>
      <w:proofErr w:type="gramStart"/>
      <w:r>
        <w:rPr>
          <w:rFonts w:ascii="Calibri" w:eastAsia="Times New Roman" w:hAnsi="Calibri" w:cs="Calibri"/>
          <w:bCs/>
          <w:color w:val="D05C12"/>
          <w:shd w:val="clear" w:color="auto" w:fill="FFFFFF"/>
        </w:rPr>
        <w:t>really poignant</w:t>
      </w:r>
      <w:proofErr w:type="gramEnd"/>
      <w:r>
        <w:rPr>
          <w:rFonts w:ascii="Calibri" w:eastAsia="Times New Roman" w:hAnsi="Calibri" w:cs="Calibri"/>
          <w:bCs/>
          <w:color w:val="D05C12"/>
          <w:shd w:val="clear" w:color="auto" w:fill="FFFFFF"/>
        </w:rPr>
        <w:t xml:space="preserve"> occasion for many.</w:t>
      </w:r>
      <w:r>
        <w:rPr>
          <w:rFonts w:eastAsia="Times New Roman"/>
          <w:color w:val="000000"/>
        </w:rPr>
        <w:t xml:space="preserve"> </w:t>
      </w:r>
    </w:p>
    <w:p w:rsidR="006E7636" w:rsidRDefault="006E7636" w:rsidP="006E76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b/>
          <w:color w:val="FF0000"/>
        </w:rPr>
        <w:t>Friday briefing</w:t>
      </w:r>
      <w:r>
        <w:rPr>
          <w:rFonts w:ascii="Calibri" w:eastAsia="Times New Roman" w:hAnsi="Calibri" w:cs="Calibri"/>
          <w:color w:val="FF0000"/>
        </w:rPr>
        <w:t xml:space="preserve"> </w:t>
      </w:r>
      <w:r>
        <w:rPr>
          <w:rFonts w:ascii="Calibri" w:eastAsia="Times New Roman" w:hAnsi="Calibri" w:cs="Calibri"/>
          <w:color w:val="ED7D31" w:themeColor="accent2"/>
        </w:rPr>
        <w:t xml:space="preserve">– please could you all bring an idea to share around how you boost vocabulary/teach new words to your students. We will have a swap shop.  </w:t>
      </w:r>
    </w:p>
    <w:p w:rsidR="006E7636" w:rsidRDefault="006E7636" w:rsidP="006E76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b/>
          <w:color w:val="FF0000"/>
          <w:shd w:val="clear" w:color="auto" w:fill="FFFFFF"/>
        </w:rPr>
        <w:t xml:space="preserve">New staff and NQTs – </w:t>
      </w:r>
      <w:r>
        <w:rPr>
          <w:rFonts w:ascii="Calibri" w:eastAsia="Times New Roman" w:hAnsi="Calibri" w:cs="Calibri"/>
          <w:color w:val="C45911" w:themeColor="accent2" w:themeShade="BF"/>
          <w:shd w:val="clear" w:color="auto" w:fill="FFFFFF"/>
        </w:rPr>
        <w:t xml:space="preserve">CPD session with TU on ICT systems will run on Thursday at 3.15.  Please let TU know if you cannot attend. </w:t>
      </w:r>
    </w:p>
    <w:p w:rsidR="006E7636" w:rsidRDefault="006E7636" w:rsidP="006E76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C45911" w:themeColor="accent2" w:themeShade="BF"/>
        </w:rPr>
      </w:pPr>
      <w:r>
        <w:rPr>
          <w:rFonts w:ascii="Calibri" w:eastAsia="Times New Roman" w:hAnsi="Calibri" w:cs="Calibri"/>
          <w:b/>
          <w:color w:val="FF0000"/>
        </w:rPr>
        <w:t>NQTs</w:t>
      </w:r>
      <w:r>
        <w:rPr>
          <w:rFonts w:ascii="Calibri" w:eastAsia="Times New Roman" w:hAnsi="Calibri" w:cs="Calibri"/>
          <w:color w:val="FF0000"/>
        </w:rPr>
        <w:t xml:space="preserve"> </w:t>
      </w:r>
      <w:r>
        <w:rPr>
          <w:rFonts w:ascii="Calibri" w:eastAsia="Times New Roman" w:hAnsi="Calibri" w:cs="Calibri"/>
          <w:color w:val="C45911" w:themeColor="accent2" w:themeShade="BF"/>
        </w:rPr>
        <w:t xml:space="preserve">– scheduled meetings with LG this week (LG’s office).  </w:t>
      </w:r>
    </w:p>
    <w:p w:rsidR="006E7636" w:rsidRDefault="006E7636" w:rsidP="006E7636">
      <w:pPr>
        <w:pStyle w:val="NormalWeb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color w:val="00B050"/>
          <w:u w:val="single"/>
        </w:rPr>
        <w:t>Teaching Approach of the Week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>Over the last few weeks, you may have heard the terms ‘tier 1, tier 2 and tier 3 vocabulary’ or you may have read about it previously.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lastRenderedPageBreak/>
        <w:t> </w:t>
      </w:r>
      <w:bookmarkStart w:id="0" w:name="_GoBack"/>
      <w:bookmarkEnd w:id="0"/>
      <w:r>
        <w:rPr>
          <w:rFonts w:ascii="Calibri" w:eastAsia="Times New Roman" w:hAnsi="Calibri" w:cstheme="minorHAnsi"/>
          <w:bCs/>
          <w:color w:val="00B050"/>
          <w:szCs w:val="22"/>
          <w:shd w:val="clear" w:color="auto" w:fill="FFFFFF"/>
        </w:rPr>
        <w:t>In case you haven’t come across this before, here is an explanation of the different tiers: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5735955" cy="4429760"/>
            <wp:effectExtent l="0" t="0" r="0" b="8890"/>
            <wp:docPr id="4" name="Picture 4" descr="Image result for tier 1 tier 2 tier 3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473791" descr="Image result for tier 1 tier 2 tier 3 word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442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i/>
          <w:color w:val="FF0000"/>
          <w:sz w:val="18"/>
          <w:szCs w:val="22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 xml:space="preserve">The </w:t>
      </w:r>
      <w:r>
        <w:rPr>
          <w:rFonts w:ascii="Calibri" w:eastAsia="Times New Roman" w:hAnsi="Calibri" w:cs="Calibri"/>
          <w:b/>
          <w:bCs/>
          <w:i/>
          <w:color w:val="00B050"/>
          <w:szCs w:val="22"/>
          <w:shd w:val="clear" w:color="auto" w:fill="FFFFFF"/>
        </w:rPr>
        <w:t>tier 2 words</w:t>
      </w:r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 xml:space="preserve">, the words that we use when teaching our students every lesson, are important in developing comprehension </w:t>
      </w:r>
      <w:proofErr w:type="gramStart"/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>skills</w:t>
      </w:r>
      <w:proofErr w:type="gramEnd"/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 xml:space="preserve"> as they are the ones that often cause confusion (if students have not been exposed to them before).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 xml:space="preserve">Importantly, </w:t>
      </w:r>
      <w:r>
        <w:rPr>
          <w:rFonts w:ascii="Calibri" w:eastAsia="Times New Roman" w:hAnsi="Calibri" w:cs="Calibri"/>
          <w:b/>
          <w:bCs/>
          <w:i/>
          <w:color w:val="00B050"/>
          <w:szCs w:val="22"/>
          <w:shd w:val="clear" w:color="auto" w:fill="FFFFFF"/>
        </w:rPr>
        <w:t>the tier 3 words</w:t>
      </w:r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 xml:space="preserve"> are the new words related to new topics </w:t>
      </w:r>
      <w:proofErr w:type="spellStart"/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>etc</w:t>
      </w:r>
      <w:proofErr w:type="spellEnd"/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 xml:space="preserve"> that we have to explicitly teach and allow students the opportunity to use in context.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 xml:space="preserve">Think about the language that you use when speaking to students: could you use </w:t>
      </w:r>
      <w:proofErr w:type="gramStart"/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>more sophisticated vocabulary (tier 2 words)</w:t>
      </w:r>
      <w:proofErr w:type="gramEnd"/>
      <w:r>
        <w:rPr>
          <w:rFonts w:ascii="Calibri" w:eastAsia="Times New Roman" w:hAnsi="Calibri" w:cs="Calibri"/>
          <w:bCs/>
          <w:color w:val="00B050"/>
          <w:szCs w:val="22"/>
          <w:shd w:val="clear" w:color="auto" w:fill="FFFFFF"/>
        </w:rPr>
        <w:t>?  Are you exposing students to a full range of vocabulary?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i/>
          <w:color w:val="FF0000"/>
          <w:sz w:val="18"/>
          <w:szCs w:val="22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theme="minorHAnsi"/>
          <w:b/>
          <w:bCs/>
          <w:i/>
          <w:color w:val="FF0000"/>
          <w:sz w:val="18"/>
          <w:szCs w:val="22"/>
          <w:shd w:val="clear" w:color="auto" w:fill="FFFFFF"/>
        </w:rPr>
        <w:t>NEW SECTION…</w:t>
      </w:r>
      <w:r>
        <w:rPr>
          <w:rFonts w:ascii="Calibri" w:eastAsia="Times New Roman" w:hAnsi="Calibri" w:cstheme="minorHAnsi"/>
          <w:bCs/>
          <w:color w:val="2F5496" w:themeColor="accent5" w:themeShade="BF"/>
          <w:szCs w:val="22"/>
          <w:u w:val="single"/>
          <w:shd w:val="clear" w:color="auto" w:fill="FFFFFF"/>
        </w:rPr>
        <w:t>Talk-Talk!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915285" cy="2125980"/>
            <wp:effectExtent l="0" t="0" r="0" b="7620"/>
            <wp:docPr id="3" name="Picture 3" descr="Inline image OWAPstImg93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934935" descr="Inline image OWAPstImg93493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Cs/>
          <w:color w:val="2F5496" w:themeColor="accent5" w:themeShade="BF"/>
          <w:szCs w:val="22"/>
          <w:shd w:val="clear" w:color="auto" w:fill="FFFFFF"/>
        </w:rPr>
        <w:t xml:space="preserve">Last week, we focused on </w:t>
      </w:r>
      <w:r>
        <w:rPr>
          <w:rFonts w:ascii="Calibri" w:eastAsia="Times New Roman" w:hAnsi="Calibri" w:cs="Calibri"/>
          <w:b/>
          <w:bCs/>
          <w:i/>
          <w:color w:val="2F5496" w:themeColor="accent5" w:themeShade="BF"/>
          <w:szCs w:val="22"/>
          <w:shd w:val="clear" w:color="auto" w:fill="FFFFFF"/>
        </w:rPr>
        <w:t>think-pair-share</w:t>
      </w:r>
      <w:r>
        <w:rPr>
          <w:rFonts w:ascii="Calibri" w:eastAsia="Times New Roman" w:hAnsi="Calibri" w:cs="Calibri"/>
          <w:bCs/>
          <w:color w:val="2F5496" w:themeColor="accent5" w:themeShade="BF"/>
          <w:szCs w:val="22"/>
          <w:shd w:val="clear" w:color="auto" w:fill="FFFFFF"/>
        </w:rPr>
        <w:t xml:space="preserve">.  As we all know, this works well if we allow that </w:t>
      </w:r>
      <w:r>
        <w:rPr>
          <w:rFonts w:ascii="Calibri" w:eastAsia="Times New Roman" w:hAnsi="Calibri" w:cs="Calibri"/>
          <w:bCs/>
          <w:color w:val="2F5496" w:themeColor="accent5" w:themeShade="BF"/>
          <w:szCs w:val="22"/>
          <w:u w:val="single"/>
          <w:shd w:val="clear" w:color="auto" w:fill="FFFFFF"/>
        </w:rPr>
        <w:t>silent</w:t>
      </w:r>
      <w:r>
        <w:rPr>
          <w:rFonts w:ascii="Calibri" w:eastAsia="Times New Roman" w:hAnsi="Calibri" w:cs="Calibri"/>
          <w:bCs/>
          <w:color w:val="2F5496" w:themeColor="accent5" w:themeShade="BF"/>
          <w:szCs w:val="22"/>
          <w:shd w:val="clear" w:color="auto" w:fill="FFFFFF"/>
        </w:rPr>
        <w:t xml:space="preserve"> thinking time first.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Cs/>
          <w:color w:val="2F5496" w:themeColor="accent5" w:themeShade="BF"/>
          <w:szCs w:val="22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Cs/>
          <w:color w:val="2F5496" w:themeColor="accent5" w:themeShade="BF"/>
          <w:szCs w:val="22"/>
          <w:shd w:val="clear" w:color="auto" w:fill="FFFFFF"/>
        </w:rPr>
        <w:t xml:space="preserve">This week, try the </w:t>
      </w:r>
      <w:r>
        <w:rPr>
          <w:rFonts w:ascii="Calibri" w:eastAsia="Times New Roman" w:hAnsi="Calibri" w:cs="Calibri"/>
          <w:b/>
          <w:bCs/>
          <w:i/>
          <w:color w:val="2F5496" w:themeColor="accent5" w:themeShade="BF"/>
          <w:szCs w:val="22"/>
          <w:shd w:val="clear" w:color="auto" w:fill="FFFFFF"/>
        </w:rPr>
        <w:t>rally robin</w:t>
      </w:r>
      <w:r>
        <w:rPr>
          <w:rFonts w:ascii="Calibri" w:eastAsia="Times New Roman" w:hAnsi="Calibri" w:cs="Calibri"/>
          <w:bCs/>
          <w:color w:val="2F5496" w:themeColor="accent5" w:themeShade="BF"/>
          <w:szCs w:val="22"/>
          <w:shd w:val="clear" w:color="auto" w:fill="FFFFFF"/>
        </w:rPr>
        <w:t>.  It would link well with low-stakes testing at the start of a lesson to check for understanding.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61865" cy="1550035"/>
            <wp:effectExtent l="0" t="0" r="635" b="0"/>
            <wp:docPr id="2" name="Picture 2" descr="Inline image OWAPstImg583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583563" descr="Inline image OWAPstImg58356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Cs/>
          <w:color w:val="5B9BD5" w:themeColor="accent1"/>
          <w:szCs w:val="22"/>
          <w:shd w:val="clear" w:color="auto" w:fill="FFFFFF"/>
        </w:rPr>
        <w:t>Further reading linked to KAGAN structures is available in our CPD library.  Please sign out if you borrow.  Thanks.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219200"/>
            <wp:effectExtent l="0" t="0" r="0" b="0"/>
            <wp:wrapSquare wrapText="bothSides"/>
            <wp:docPr id="7" name="Picture 7" descr="https://images-na.ssl-images-amazon.com/images/I/51MM6M1dX-L._SX38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637922" descr="https://images-na.ssl-images-amazon.com/images/I/51MM6M1dX-L._SX38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1304925"/>
            <wp:effectExtent l="0" t="0" r="9525" b="9525"/>
            <wp:wrapSquare wrapText="bothSides"/>
            <wp:docPr id="6" name="Picture 6" descr="59 Kagan Structures: Proven Engagement Strate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585474" descr="59 Kagan Structures: Proven Engagement Strategi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color w:val="7030A0"/>
          <w:szCs w:val="22"/>
          <w:u w:val="single"/>
          <w:shd w:val="clear" w:color="auto" w:fill="FFFFFF"/>
        </w:rPr>
        <w:t xml:space="preserve">  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7030A0"/>
          <w:szCs w:val="22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7030A0"/>
          <w:szCs w:val="22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7030A0"/>
          <w:szCs w:val="22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7030A0"/>
          <w:szCs w:val="22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7030A0"/>
          <w:szCs w:val="22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7030A0"/>
          <w:szCs w:val="22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7030A0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7030A0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7030A0"/>
          <w:u w:val="single"/>
          <w:shd w:val="clear" w:color="auto" w:fill="FFFFFF"/>
        </w:rPr>
        <w:t>Top Tips in Two this Term (</w:t>
      </w:r>
      <w:proofErr w:type="spellStart"/>
      <w:r>
        <w:rPr>
          <w:rFonts w:ascii="Calibri" w:eastAsia="Times New Roman" w:hAnsi="Calibri" w:cs="Calibri"/>
          <w:b/>
          <w:bCs/>
          <w:color w:val="7030A0"/>
          <w:u w:val="single"/>
          <w:shd w:val="clear" w:color="auto" w:fill="FFFFFF"/>
        </w:rPr>
        <w:t>HoDs</w:t>
      </w:r>
      <w:proofErr w:type="spellEnd"/>
      <w:r>
        <w:rPr>
          <w:rFonts w:ascii="Calibri" w:eastAsia="Times New Roman" w:hAnsi="Calibri" w:cs="Calibri"/>
          <w:b/>
          <w:bCs/>
          <w:color w:val="7030A0"/>
          <w:u w:val="single"/>
          <w:shd w:val="clear" w:color="auto" w:fill="FFFFFF"/>
        </w:rPr>
        <w:t xml:space="preserve"> please organise who will share and let me know)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 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89220" cy="1751330"/>
            <wp:effectExtent l="0" t="0" r="0" b="1270"/>
            <wp:docPr id="1" name="Picture 1" descr="Inline image OWAPstImg18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182128" descr="Inline image OWAPstImg182128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color w:val="00B0F0"/>
          <w:shd w:val="clear" w:color="auto" w:fill="FFFFFF"/>
        </w:rPr>
        <w:lastRenderedPageBreak/>
        <w:t> </w:t>
      </w:r>
    </w:p>
    <w:p w:rsidR="006E7636" w:rsidRDefault="006E7636" w:rsidP="006E7636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b/>
          <w:color w:val="808080" w:themeColor="background1" w:themeShade="80"/>
          <w:u w:val="single"/>
          <w:shd w:val="clear" w:color="auto" w:fill="FFFFFF"/>
        </w:rPr>
        <w:t>CPD Opportunity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theme="minorHAnsi"/>
          <w:color w:val="A6A6A6" w:themeColor="background1" w:themeShade="A6"/>
          <w:shd w:val="clear" w:color="auto" w:fill="FFFFFF"/>
        </w:rPr>
        <w:t xml:space="preserve">Reminder that the T&amp;L Think Tank will be meeting on </w:t>
      </w:r>
      <w:r>
        <w:rPr>
          <w:rFonts w:ascii="Calibri" w:hAnsi="Calibri" w:cstheme="minorHAnsi"/>
          <w:color w:val="A6A6A6" w:themeColor="background1" w:themeShade="A6"/>
        </w:rPr>
        <w:t>Monday 19</w:t>
      </w:r>
      <w:r>
        <w:rPr>
          <w:rFonts w:ascii="Calibri" w:hAnsi="Calibri" w:cstheme="minorHAnsi"/>
          <w:color w:val="A6A6A6" w:themeColor="background1" w:themeShade="A6"/>
          <w:vertAlign w:val="superscript"/>
        </w:rPr>
        <w:t>th</w:t>
      </w:r>
      <w:r>
        <w:rPr>
          <w:rFonts w:ascii="Calibri" w:hAnsi="Calibri" w:cstheme="minorHAnsi"/>
          <w:color w:val="A6A6A6" w:themeColor="background1" w:themeShade="A6"/>
        </w:rPr>
        <w:t xml:space="preserve"> November, 4pm – 5pm.  The focus will be engagement strategies, particularly with underachieving boys.  You </w:t>
      </w:r>
      <w:proofErr w:type="gramStart"/>
      <w:r>
        <w:rPr>
          <w:rFonts w:ascii="Calibri" w:hAnsi="Calibri" w:cstheme="minorHAnsi"/>
          <w:color w:val="A6A6A6" w:themeColor="background1" w:themeShade="A6"/>
        </w:rPr>
        <w:t>are asked</w:t>
      </w:r>
      <w:proofErr w:type="gramEnd"/>
      <w:r>
        <w:rPr>
          <w:rFonts w:ascii="Calibri" w:hAnsi="Calibri" w:cstheme="minorHAnsi"/>
          <w:color w:val="A6A6A6" w:themeColor="background1" w:themeShade="A6"/>
        </w:rPr>
        <w:t xml:space="preserve"> to take an example to share and discuss of a strategy that has worked for you / in your school. Please let me know if you plan to attend (we have two members of staff so far). Thanks.</w:t>
      </w:r>
    </w:p>
    <w:p w:rsidR="006E7636" w:rsidRDefault="006E7636" w:rsidP="006E763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Calibri" w:eastAsia="Times New Roman" w:hAnsi="Calibri" w:cs="Calibri"/>
          <w:color w:val="A6A6A6" w:themeColor="background1" w:themeShade="A6"/>
          <w:shd w:val="clear" w:color="auto" w:fill="FFFFFF"/>
        </w:rPr>
        <w:t> </w:t>
      </w:r>
    </w:p>
    <w:p w:rsidR="00512CE6" w:rsidRDefault="00512CE6"/>
    <w:sectPr w:rsidR="00512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27B9B"/>
    <w:multiLevelType w:val="multilevel"/>
    <w:tmpl w:val="6362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36"/>
    <w:rsid w:val="00512CE6"/>
    <w:rsid w:val="006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EC51CA91-5564-47AD-866C-66CEB36C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e53efbe-db20-487c-ad5e-22891ecc4b84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b2b9c9dc-c967-4b9f-ab4e-f05ce757963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4e1c84b1-31ab-4356-b801-66f331bce3c3" TargetMode="External"/><Relationship Id="rId1" Type="http://schemas.openxmlformats.org/officeDocument/2006/relationships/numbering" Target="numbering.xml"/><Relationship Id="rId6" Type="http://schemas.openxmlformats.org/officeDocument/2006/relationships/image" Target="cid:2bcfeef4-ec92-401b-a5b0-272e80685be3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cid:694516d7-deb2-4ba9-9ab2-1269f96e7c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Harris</dc:creator>
  <cp:keywords/>
  <dc:description/>
  <cp:lastModifiedBy>J Harris</cp:lastModifiedBy>
  <cp:revision>1</cp:revision>
  <dcterms:created xsi:type="dcterms:W3CDTF">2018-11-02T16:09:00Z</dcterms:created>
  <dcterms:modified xsi:type="dcterms:W3CDTF">2018-11-02T16:10:00Z</dcterms:modified>
</cp:coreProperties>
</file>