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7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May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9062" w:type="dxa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sz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i/>
                <w:color w:val="0070C0"/>
                <w:sz w:val="20"/>
                <w:szCs w:val="20"/>
                <w:u w:val="single"/>
              </w:rPr>
              <w:t>Quick starter</w:t>
            </w:r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: open exercise </w:t>
            </w:r>
            <w:proofErr w:type="gramStart"/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books,</w:t>
            </w:r>
            <w:proofErr w:type="gramEnd"/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 highlight all of the subject-specific vocabulary. Use look-cover-spell-check to try these spellings on mini-whiteboards.</w:t>
            </w:r>
          </w:p>
        </w:tc>
        <w:tc>
          <w:tcPr>
            <w:tcW w:w="5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 w:after="100" w:afterAutospacing="1"/>
              <w:jc w:val="center"/>
            </w:pPr>
            <w:r>
              <w:t>How will you use mini-whiteboards, purposefully?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color w:val="FF0000"/>
              </w:rPr>
              <w:t>Use think-pair-share to organise a quick discussion with a BIG QUESTION.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FF0000"/>
              </w:rPr>
              <w:br/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FF0000"/>
              </w:rPr>
              <w:t xml:space="preserve">Use 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</w:rPr>
              <w:t>mini-whiteboards</w:t>
            </w:r>
            <w:r>
              <w:rPr>
                <w:rFonts w:eastAsia="Times New Roman" w:cstheme="minorHAnsi"/>
                <w:color w:val="FF0000"/>
              </w:rPr>
              <w:t xml:space="preserve"> to organise this.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FF0000"/>
              </w:rPr>
              <w:t xml:space="preserve">   </w:t>
            </w:r>
          </w:p>
        </w:tc>
      </w:tr>
      <w:t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/>
        </w:tc>
        <w:tc>
          <w:tcPr>
            <w:tcW w:w="5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45911" w:themeColor="accent2" w:themeShade="BF"/>
          <w:sz w:val="28"/>
          <w:szCs w:val="28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‘Ramadan/Dedication’.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Please use the PPT and article in registers to stimulate discussion in forms.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Rearranged due to Bank Holiday: CJ – Thursday 2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;  AW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– Friday 3. JS as usual.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PTSA Trainee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Weds lunch time – CPD in A7 with </w:t>
      </w:r>
      <w:proofErr w:type="spellStart"/>
      <w:r>
        <w:rPr>
          <w:rFonts w:ascii="Calibri" w:eastAsia="Times New Roman" w:hAnsi="Calibri" w:cs="Calibri"/>
          <w:color w:val="C45911" w:themeColor="accent2" w:themeShade="BF"/>
        </w:rPr>
        <w:t>Yf</w:t>
      </w:r>
      <w:proofErr w:type="spellEnd"/>
      <w:r>
        <w:rPr>
          <w:rFonts w:ascii="Calibri" w:eastAsia="Times New Roman" w:hAnsi="Calibri" w:cs="Calibri"/>
          <w:color w:val="C45911" w:themeColor="accent2" w:themeShade="BF"/>
        </w:rPr>
        <w:t xml:space="preserve"> and </w:t>
      </w:r>
      <w:proofErr w:type="spellStart"/>
      <w:r>
        <w:rPr>
          <w:rFonts w:ascii="Calibri" w:eastAsia="Times New Roman" w:hAnsi="Calibri" w:cs="Calibri"/>
          <w:color w:val="C45911" w:themeColor="accent2" w:themeShade="BF"/>
        </w:rPr>
        <w:t>Tu</w:t>
      </w:r>
      <w:proofErr w:type="spellEnd"/>
      <w:r>
        <w:rPr>
          <w:rFonts w:ascii="Calibri" w:eastAsia="Times New Roman" w:hAnsi="Calibri" w:cs="Calibri"/>
          <w:color w:val="C45911" w:themeColor="accent2" w:themeShade="BF"/>
        </w:rPr>
        <w:t>: literacy and ICT across the curriculum.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Literacy Policy –</w:t>
      </w:r>
      <w:r>
        <w:rPr>
          <w:rFonts w:ascii="Calibri" w:eastAsia="Times New Roman" w:hAnsi="Calibri" w:cs="Calibri"/>
          <w:color w:val="C45911" w:themeColor="accent2" w:themeShade="BF"/>
        </w:rPr>
        <w:t xml:space="preserve"> Please make sure that you are referring to this policy in your feedback (i.e. np, p, c, U </w:t>
      </w:r>
      <w:proofErr w:type="spellStart"/>
      <w:r>
        <w:rPr>
          <w:rFonts w:ascii="Calibri" w:eastAsia="Times New Roman" w:hAnsi="Calibri" w:cs="Calibri"/>
          <w:color w:val="C45911" w:themeColor="accent2" w:themeShade="BF"/>
        </w:rPr>
        <w:t>etc</w:t>
      </w:r>
      <w:proofErr w:type="spellEnd"/>
      <w:r>
        <w:rPr>
          <w:rFonts w:ascii="Calibri" w:eastAsia="Times New Roman" w:hAnsi="Calibri" w:cs="Calibri"/>
          <w:color w:val="C45911" w:themeColor="accent2" w:themeShade="BF"/>
        </w:rPr>
        <w:t xml:space="preserve">).  It needs to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be used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consistently </w:t>
      </w:r>
      <w:r>
        <w:rPr>
          <w:rFonts w:ascii="Calibri" w:eastAsia="Times New Roman" w:hAnsi="Calibri" w:cs="Calibri"/>
          <w:b/>
          <w:color w:val="C45911" w:themeColor="accent2" w:themeShade="BF"/>
          <w:u w:val="single"/>
        </w:rPr>
        <w:t>by all</w:t>
      </w:r>
      <w:r>
        <w:rPr>
          <w:rFonts w:ascii="Calibri" w:eastAsia="Times New Roman" w:hAnsi="Calibri" w:cs="Calibri"/>
          <w:color w:val="C45911" w:themeColor="accent2" w:themeShade="BF"/>
        </w:rPr>
        <w:t xml:space="preserve"> please.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bCs/>
          <w:color w:val="FF0000"/>
        </w:rPr>
        <w:t>Mini-whiteboards</w:t>
      </w:r>
      <w:r>
        <w:rPr>
          <w:rFonts w:ascii="Calibri" w:eastAsia="Times New Roman" w:hAnsi="Calibri" w:cs="Calibri"/>
          <w:color w:val="C45911" w:themeColor="accent2" w:themeShade="BF"/>
        </w:rPr>
        <w:t xml:space="preserve"> - Please continue to use them to promote challenge and to facilitate quick feedback from ALL students.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538135" w:themeColor="accent6" w:themeShade="BF"/>
          <w:sz w:val="28"/>
          <w:szCs w:val="28"/>
        </w:rPr>
        <w:t>Our T&amp;L Targets: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38135" w:themeColor="accent6" w:themeShade="BF"/>
          <w:szCs w:val="22"/>
        </w:rPr>
        <w:t>Brilliant teaching and learning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sp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, u, p, np,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etc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).                    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Challenge for all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Progress for students with low starting points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OM CLIPs 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006FC9"/>
          <w:sz w:val="28"/>
          <w:szCs w:val="28"/>
        </w:rPr>
        <w:t>Try this…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hAnsi="Arial" w:cs="Arial"/>
            <w:color w:val="0070C0"/>
          </w:rPr>
          <w:t>https://offspring.lifehacker.com/teach-girls-to-raise-their-hands-even-when-theyre-not-s-1820177146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5354"/>
      </w:tblGrid>
      <w:tr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>
                  <wp:extent cx="2381250" cy="1333500"/>
                  <wp:effectExtent l="0" t="0" r="0" b="0"/>
                  <wp:docPr id="1" name="Picture 1" descr="https://i.kinja-img.com/gawker-media/image/upload/s--d04DV9cZ--/c_fill,fl_progressive,g_center,h_900,q_80,w_1600/vlbnlshalzx89xl2euui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571735237230.3480947886713841" descr="https://i.kinja-img.com/gawker-media/image/upload/s--d04DV9cZ--/c_fill,fl_progressive,g_center,h_900,q_80,w_1600/vlbnlshalzx89xl2eu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Teach Girls to Raise Their Hands Even When They're Not Sure of the Answer - Offspring</w:t>
              </w:r>
            </w:hyperlink>
          </w:p>
          <w:p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offspring.lifehacker.com</w:t>
            </w:r>
          </w:p>
          <w:p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Last week, Alice Paul Tapper, a fifth-grader in Washington, D.C., wrote an op-ed in the New York Times that had women of all ages nodding in solidarity. On a fourth-grade trip, Tapper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noticed that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“all the boys stood in the front and raised their hands while most of the girls politely stayed in the back and were quiet.” That made her upset.</w:t>
            </w:r>
          </w:p>
        </w:tc>
      </w:tr>
    </w:tbl>
    <w:p>
      <w:pPr>
        <w:rPr>
          <w:rFonts w:ascii="Arial" w:eastAsia="Times New Roman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  <w:szCs w:val="22"/>
        </w:rPr>
        <w:t xml:space="preserve">During ‘walks’ with John Doyle last term, it was noticeable that boys were keener to answer questions than girls.  They really led the class discussions that </w:t>
      </w:r>
      <w:proofErr w:type="gramStart"/>
      <w:r>
        <w:rPr>
          <w:rFonts w:ascii="Arial" w:hAnsi="Arial" w:cs="Arial"/>
          <w:color w:val="0070C0"/>
          <w:szCs w:val="22"/>
        </w:rPr>
        <w:t>were seen</w:t>
      </w:r>
      <w:proofErr w:type="gramEnd"/>
      <w:r>
        <w:rPr>
          <w:rFonts w:ascii="Arial" w:hAnsi="Arial" w:cs="Arial"/>
          <w:color w:val="0070C0"/>
          <w:szCs w:val="22"/>
        </w:rPr>
        <w:t xml:space="preserve">. 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  <w:szCs w:val="22"/>
        </w:rPr>
        <w:t>In the link above, the writer claims that ‘research s</w:t>
      </w:r>
      <w:r>
        <w:rPr>
          <w:rFonts w:ascii="Arial" w:hAnsi="Arial" w:cs="Arial"/>
          <w:color w:val="0070C0"/>
          <w:szCs w:val="22"/>
          <w:shd w:val="clear" w:color="auto" w:fill="FFFFFF"/>
        </w:rPr>
        <w:t xml:space="preserve">hows that by the age of six, girls believe they are less likely than boys to </w:t>
      </w:r>
      <w:proofErr w:type="gramStart"/>
      <w:r>
        <w:rPr>
          <w:rFonts w:ascii="Arial" w:hAnsi="Arial" w:cs="Arial"/>
          <w:color w:val="0070C0"/>
          <w:szCs w:val="22"/>
          <w:shd w:val="clear" w:color="auto" w:fill="FFFFFF"/>
        </w:rPr>
        <w:t>be</w:t>
      </w:r>
      <w:proofErr w:type="gramEnd"/>
      <w:r>
        <w:rPr>
          <w:rFonts w:ascii="Arial" w:hAnsi="Arial" w:cs="Arial"/>
          <w:color w:val="0070C0"/>
          <w:szCs w:val="22"/>
          <w:shd w:val="clear" w:color="auto" w:fill="FFFFFF"/>
        </w:rPr>
        <w:t xml:space="preserve"> “really, really smart.” Self-doubt can seep in through messages sent by parents, teachers, peers, cultural norms, and the media, messages that say: </w:t>
      </w:r>
      <w:r>
        <w:rPr>
          <w:rStyle w:val="Emphasis"/>
          <w:rFonts w:asciiTheme="minorHAnsi" w:hAnsiTheme="minorHAnsi" w:cstheme="minorBidi"/>
          <w:color w:val="0070C0"/>
          <w:szCs w:val="22"/>
          <w:shd w:val="clear" w:color="auto" w:fill="FFFFFF"/>
        </w:rPr>
        <w:t xml:space="preserve">Stay within the lines. Be respectful. </w:t>
      </w:r>
      <w:proofErr w:type="gramStart"/>
      <w:r>
        <w:rPr>
          <w:rStyle w:val="Emphasis"/>
          <w:rFonts w:asciiTheme="minorHAnsi" w:hAnsiTheme="minorHAnsi" w:cstheme="minorBidi"/>
          <w:color w:val="0070C0"/>
          <w:szCs w:val="22"/>
          <w:shd w:val="clear" w:color="auto" w:fill="FFFFFF"/>
        </w:rPr>
        <w:t>Don’t</w:t>
      </w:r>
      <w:proofErr w:type="gramEnd"/>
      <w:r>
        <w:rPr>
          <w:rStyle w:val="Emphasis"/>
          <w:rFonts w:asciiTheme="minorHAnsi" w:hAnsiTheme="minorHAnsi" w:cstheme="minorBidi"/>
          <w:color w:val="0070C0"/>
          <w:szCs w:val="22"/>
          <w:shd w:val="clear" w:color="auto" w:fill="FFFFFF"/>
        </w:rPr>
        <w:t xml:space="preserve"> be too much. Do not fail.’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6FC9"/>
          <w:shd w:val="clear" w:color="auto" w:fill="FFFFFF"/>
        </w:rPr>
        <w:t>This week, think about how you direct and control who answers your questions. Try a ‘no hands up’ approach or use the think-pair-share structure to elicit answers.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8"/>
          <w:szCs w:val="28"/>
          <w:shd w:val="clear" w:color="auto" w:fill="FFFFFF"/>
        </w:rPr>
        <w:t>Talk-Talk!  Three Structures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 xml:space="preserve">Try </w:t>
      </w:r>
      <w:proofErr w:type="gramStart"/>
      <w:r>
        <w:rPr>
          <w:rFonts w:ascii="Calibri" w:eastAsia="Times New Roman" w:hAnsi="Calibri" w:cs="Calibri"/>
          <w:color w:val="C00000"/>
        </w:rPr>
        <w:t>and</w:t>
      </w:r>
      <w:proofErr w:type="gramEnd"/>
      <w:r>
        <w:rPr>
          <w:rFonts w:ascii="Calibri" w:eastAsia="Times New Roman" w:hAnsi="Calibri" w:cs="Calibri"/>
          <w:color w:val="C00000"/>
        </w:rPr>
        <w:t xml:space="preserve"> use one of the three structures showcased last week: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Think-Pair-Share OR Timed-Pair-Share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Silent conversation OR Continuous Rally Robin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Jigsaw groups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The PowerPoint for this Top Tip is stored in the ‘WLD Teachers’ Team under ‘Teaching and Learning’.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8" w:history="1">
        <w:proofErr w:type="spellStart"/>
        <w:r>
          <w:rPr>
            <w:rStyle w:val="Hyperlink"/>
            <w:rFonts w:ascii="Calibri" w:eastAsia="Times New Roman" w:hAnsi="Calibri" w:cs="Calibri"/>
          </w:rPr>
          <w:t>Kagan</w:t>
        </w:r>
        <w:proofErr w:type="spellEnd"/>
        <w:r>
          <w:rPr>
            <w:rStyle w:val="Hyperlink"/>
            <w:rFonts w:ascii="Calibri" w:eastAsia="Times New Roman" w:hAnsi="Calibri" w:cs="Calibri"/>
          </w:rPr>
          <w:t xml:space="preserve"> Three Structures</w:t>
        </w:r>
      </w:hyperlink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this Half-Term   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7030A0"/>
        </w:rPr>
        <w:t xml:space="preserve">I have attached the Top Tip schedule for this </w:t>
      </w:r>
      <w:proofErr w:type="gramStart"/>
      <w:r>
        <w:rPr>
          <w:rFonts w:ascii="Arial" w:hAnsi="Arial" w:cs="Arial"/>
          <w:color w:val="7030A0"/>
        </w:rPr>
        <w:t>half-term</w:t>
      </w:r>
      <w:proofErr w:type="gramEnd"/>
      <w:r>
        <w:rPr>
          <w:rFonts w:ascii="Arial" w:hAnsi="Arial" w:cs="Arial"/>
          <w:color w:val="7030A0"/>
        </w:rPr>
        <w:t xml:space="preserve">.  </w:t>
      </w:r>
      <w:r>
        <w:rPr>
          <w:rFonts w:ascii="Arial" w:hAnsi="Arial" w:cs="Arial"/>
          <w:color w:val="FF0000"/>
        </w:rPr>
        <w:t>Amendments in red.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tbl>
      <w:tblPr>
        <w:tblW w:w="0" w:type="dxa"/>
        <w:tblInd w:w="562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061"/>
        <w:gridCol w:w="2693"/>
        <w:gridCol w:w="3828"/>
      </w:tblGrid>
      <w:tr>
        <w:tc>
          <w:tcPr>
            <w:tcW w:w="134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FF0000"/>
                <w:highlight w:val="yellow"/>
              </w:rPr>
              <w:t>W/C</w:t>
            </w:r>
          </w:p>
        </w:tc>
        <w:tc>
          <w:tcPr>
            <w:tcW w:w="106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Cs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  <w:color w:val="FFFFFF" w:themeColor="background1"/>
              </w:rPr>
              <w:t> 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23/04/2019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TUES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Whole-School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LG – Priorities/Progress this year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color w:val="00000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FRI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Humanities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HS - interleaving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29/04/2019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MON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Cooperative Learning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CN, WL, LG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WEDS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Pastries and Progress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KAGAN – Implementing ideas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07/05/2019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Opening Minds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Cross-curricular links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Inclusion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Learning Support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FF0000"/>
              </w:rPr>
              <w:t>13/05/2019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0000"/>
              </w:rPr>
              <w:t>MON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FF0000"/>
              </w:rPr>
              <w:t>Music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0000"/>
              </w:rPr>
              <w:t xml:space="preserve">F. Rawson - </w:t>
            </w:r>
            <w:proofErr w:type="spellStart"/>
            <w:r>
              <w:rPr>
                <w:rFonts w:cstheme="minorHAnsi"/>
                <w:color w:val="FF0000"/>
              </w:rPr>
              <w:t>Thunks</w:t>
            </w:r>
            <w:proofErr w:type="spellEnd"/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20/05/2019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Computing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67171" w:themeColor="background2" w:themeShade="80"/>
          <w:sz w:val="28"/>
          <w:szCs w:val="28"/>
        </w:rPr>
        <w:t>CPD Cascade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Literacy Workshops</w:t>
      </w:r>
      <w:r>
        <w:rPr>
          <w:rStyle w:val="xeop"/>
          <w:rFonts w:asciiTheme="minorHAnsi" w:hAnsiTheme="minorHAnsi" w:cstheme="minorHAnsi"/>
          <w:color w:val="808080" w:themeColor="background1" w:themeShade="80"/>
          <w:sz w:val="22"/>
          <w:szCs w:val="22"/>
        </w:rPr>
        <w:t>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>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>We propose to run 2 hours of CPD over two separate Mondays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: 24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  <w:vertAlign w:val="superscript"/>
        </w:rPr>
        <w:t>th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 </w:t>
      </w:r>
      <w:r>
        <w:rPr>
          <w:rStyle w:val="xcontextualspellingandgrammarerror"/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June,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 1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  <w:vertAlign w:val="superscript"/>
        </w:rPr>
        <w:t>st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 July.</w:t>
      </w:r>
      <w:r>
        <w:rPr>
          <w:rStyle w:val="xeop"/>
          <w:rFonts w:asciiTheme="minorHAnsi" w:hAnsiTheme="minorHAnsi" w:cstheme="minorHAnsi"/>
          <w:color w:val="808080" w:themeColor="background1" w:themeShade="80"/>
          <w:sz w:val="22"/>
          <w:szCs w:val="22"/>
        </w:rPr>
        <w:t>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eop"/>
          <w:rFonts w:asciiTheme="minorHAnsi" w:hAnsiTheme="minorHAnsi" w:cstheme="minorHAnsi"/>
          <w:color w:val="808080" w:themeColor="background1" w:themeShade="80"/>
          <w:sz w:val="22"/>
          <w:szCs w:val="22"/>
        </w:rPr>
        <w:t>  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Staff will opt to participate in </w:t>
      </w:r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</w:rPr>
        <w:t xml:space="preserve">one </w:t>
      </w:r>
      <w:proofErr w:type="gramStart"/>
      <w:r>
        <w:rPr>
          <w:rStyle w:val="xnormaltextrun"/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</w:rPr>
        <w:t>workshop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which</w:t>
      </w:r>
      <w:proofErr w:type="gramEnd"/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will take place on 24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  <w:vertAlign w:val="superscript"/>
        </w:rPr>
        <w:t>th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June, 3:15-4:15</w:t>
      </w:r>
      <w:r>
        <w:rPr>
          <w:rStyle w:val="xeop"/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LG and CJ- Mini-whiteboards – to promote stretch and challenge</w:t>
      </w:r>
      <w:r>
        <w:rPr>
          <w:rStyle w:val="xeop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 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AL and CX - Extended Writing (structure strips, PEA, self-checking, WAGOLLs from different subject areas)</w:t>
      </w:r>
      <w:r>
        <w:rPr>
          <w:rStyle w:val="xeop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 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WL, GA - Structured Talk – improving </w:t>
      </w:r>
      <w:proofErr w:type="spellStart"/>
      <w:r>
        <w:rPr>
          <w:rStyle w:val="xspellingerror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oracy</w:t>
      </w:r>
      <w:proofErr w:type="spellEnd"/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CN and RI - Vocabulary Building (tier two, low stakes quizzes, knowledge organisers)</w:t>
      </w:r>
      <w:r>
        <w:rPr>
          <w:rStyle w:val="xeop"/>
          <w:rFonts w:asciiTheme="minorHAnsi" w:eastAsia="Times New Roman" w:hAnsiTheme="minorHAnsi" w:cstheme="minorHAnsi"/>
          <w:color w:val="808080" w:themeColor="background1" w:themeShade="80"/>
          <w:sz w:val="22"/>
          <w:szCs w:val="22"/>
        </w:rPr>
        <w:t> </w:t>
      </w:r>
    </w:p>
    <w:p>
      <w:pPr>
        <w:pStyle w:val="xparagraph"/>
        <w:textAlignment w:val="baseline"/>
        <w:rPr>
          <w:rFonts w:ascii="Arial" w:hAnsi="Arial" w:cstheme="minorHAnsi"/>
          <w:color w:val="808080" w:themeColor="background1" w:themeShade="80"/>
        </w:rPr>
      </w:pP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>The second session on 1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  <w:vertAlign w:val="superscript"/>
        </w:rPr>
        <w:t>st</w:t>
      </w:r>
      <w:r>
        <w:rPr>
          <w:rStyle w:val="xnormaltextrun"/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July will involve departments working together to produce resources/approaches/strategies based on what they have learnt from their workshops. </w:t>
      </w:r>
    </w:p>
    <w:p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 w:val="22"/>
          <w:szCs w:val="22"/>
        </w:rPr>
        <w:t xml:space="preserve">Sign-up sheets will go up over the next few weeks. </w:t>
      </w:r>
      <w:r>
        <w:rPr>
          <w:rFonts w:ascii="Arial" w:eastAsia="Times New Roman" w:hAnsi="Arial" w:cstheme="minorHAnsi"/>
          <w:color w:val="808080" w:themeColor="background1" w:themeShade="80"/>
        </w:rPr>
        <w:t xml:space="preserve">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>
      <w:pPr>
        <w:rPr>
          <w:rFonts w:ascii="Arial" w:eastAsia="Times New Roman" w:hAnsi="Arial" w:cs="Arial"/>
          <w:color w:val="000000"/>
        </w:rPr>
      </w:pPr>
    </w:p>
    <w:p>
      <w:pPr>
        <w:spacing w:before="100" w:before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Thanks for reading. </w:t>
      </w:r>
      <w:bookmarkStart w:id="0" w:name="_GoBack"/>
      <w:bookmarkEnd w:id="0"/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4E05"/>
    <w:multiLevelType w:val="multilevel"/>
    <w:tmpl w:val="A80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04BE2"/>
    <w:multiLevelType w:val="multilevel"/>
    <w:tmpl w:val="B93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D1BD1"/>
    <w:multiLevelType w:val="multilevel"/>
    <w:tmpl w:val="96B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340CF"/>
    <w:multiLevelType w:val="multilevel"/>
    <w:tmpl w:val="EB96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FE5F6-3794-467C-BE5D-8A8088D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xparagraph">
    <w:name w:val="xparagraph"/>
    <w:basedOn w:val="Normal"/>
    <w:uiPriority w:val="99"/>
    <w:semiHidden/>
  </w:style>
  <w:style w:type="character" w:customStyle="1" w:styleId="xnormaltextrun">
    <w:name w:val="xnormaltextrun"/>
    <w:basedOn w:val="DefaultParagraphFont"/>
  </w:style>
  <w:style w:type="character" w:customStyle="1" w:styleId="xeop">
    <w:name w:val="xeop"/>
    <w:basedOn w:val="DefaultParagraphFont"/>
  </w:style>
  <w:style w:type="character" w:customStyle="1" w:styleId="xcontextualspellingandgrammarerror">
    <w:name w:val="xcontextualspellingandgrammarerror"/>
    <w:basedOn w:val="DefaultParagraphFont"/>
  </w:style>
  <w:style w:type="character" w:customStyle="1" w:styleId="xspellingerror">
    <w:name w:val="xspellingerro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file/E16AD0B5-81AF-4C89-9917-4E4608013119?tenantId=e2c1c4a9-e444-46de-bc3b-a98c82527d33&amp;fileType=pptx&amp;objectUrl=https%3A%2F%2F8884150.sharepoint.com%2Fsites%2FWLDTeachers%2FShared%20Documents%2FTeaching%20and%20Learning%2FTop%20Tips%20in%20Two%20Minutes%2FkAGAN%20top%20tip.pptx&amp;baseUrl=https%3A%2F%2F8884150.sharepoint.com%2Fsites%2FWLDTeachers&amp;serviceName=teams&amp;threadId=19:88af73d36e4e44118029bbd9832c463b@thread.skype&amp;groupId=334f6390-7bf8-4407-bcd2-d73698bc5d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fspring.lifehacker.com/teach-girls-to-raise-their-hands-even-when-theyre-not-s-1820177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ffspring.lifehacker.com/teach-girls-to-raise-their-hands-even-when-theyre-not-s-18201771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2019-05-07T07:56:00Z</dcterms:created>
  <dcterms:modified xsi:type="dcterms:W3CDTF">2019-05-07T07:57:00Z</dcterms:modified>
</cp:coreProperties>
</file>